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240" w:lineRule="auto"/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bookmarkStart w:id="0" w:name="_GoBack"/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Приложение 3</w:t>
      </w:r>
    </w:p>
    <w:bookmarkEnd w:id="0"/>
    <w:p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t>Отчет о проведенных Федеральным казначейством государственных закупках за отчетный период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Основным направлением деятельности Контрактной службы Федерального казначейства является планирование, организация, проведение закупок и заключение государственных контрактов, связанных с информационными технологиями, а также организация их последующего исполнения. 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В 2016 году в общей сложности Федеральным казначейством было размещено 10 редакций Плана закупок и Плана-графика закупок,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br/>
        <w:t>на основании которых проведено 46 процедур определения поставщика. Распределение количества проведенных процедур по месяцам приведено ниже.</w:t>
      </w:r>
    </w:p>
    <w:p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760085" cy="3779220"/>
            <wp:effectExtent l="0" t="0" r="12065" b="12065"/>
            <wp:docPr id="1" name="Диаграмма 1" title="Распределение закупок по месяцам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Общее количество проведенных закупок по сравнению с 2015 годом уменьшилось на 17 процентов (с 55 до 46 закупок). Вместе с тем, общая начальная (максимальная) цена объявленных закупок возросла на 12,6 процентов (с 7 214 373 669,89 рублей в 2015 году до 8 122 237 953,94 рублей в 2016 году), что является положительной тенденцией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br/>
        <w:t xml:space="preserve">и свидетельствует о централизации закупок, являющейся одним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br/>
        <w:t>из принципов Контрактной системы.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tbl>
      <w:tblPr>
        <w:tblStyle w:val="a3"/>
        <w:tblW w:w="9116" w:type="dxa"/>
        <w:jc w:val="center"/>
        <w:tblLayout w:type="fixed"/>
        <w:tblLook w:val="04A0" w:firstRow="1" w:lastRow="0" w:firstColumn="1" w:lastColumn="0" w:noHBand="0" w:noVBand="1"/>
      </w:tblPr>
      <w:tblGrid>
        <w:gridCol w:w="611"/>
        <w:gridCol w:w="4819"/>
        <w:gridCol w:w="1843"/>
        <w:gridCol w:w="1843"/>
      </w:tblGrid>
      <w:tr>
        <w:trPr>
          <w:trHeight w:val="30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lastRenderedPageBreak/>
              <w:t>№ 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Наименование процедуры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Количество в 2015 году,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Количество в 2016 году, шт.</w:t>
            </w:r>
          </w:p>
        </w:tc>
      </w:tr>
      <w:tr>
        <w:trPr>
          <w:trHeight w:val="375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Закупка у единственного поставщика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</w:tr>
      <w:tr>
        <w:trPr>
          <w:trHeight w:val="30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Открытый конкурс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30</w:t>
            </w:r>
          </w:p>
        </w:tc>
      </w:tr>
      <w:tr>
        <w:trPr>
          <w:trHeight w:val="300"/>
          <w:jc w:val="center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Аукцион в электронной форме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15</w:t>
            </w:r>
          </w:p>
        </w:tc>
      </w:tr>
      <w:tr>
        <w:trPr>
          <w:trHeight w:val="300"/>
          <w:jc w:val="center"/>
        </w:trPr>
        <w:tc>
          <w:tcPr>
            <w:tcW w:w="5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46</w:t>
            </w:r>
          </w:p>
        </w:tc>
      </w:tr>
    </w:tbl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Основными способами определения поставщиков в 2016 году были открытые конкурсы и аукционы в электронной форме. Распределение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br/>
        <w:t>по способам определения поставщиков представлено на диаграмме ниже.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624423" cy="3631721"/>
            <wp:effectExtent l="0" t="0" r="14605" b="2603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По сравнению с 2015 годом значительно возрос удельный вес такого способа определения поставщика, как «открытый конкурс». Это связано,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br/>
        <w:t>в первую очередь, с возросшей потребностью в заключении государственных контрактов, предметом которых является развитие информационных систем, особенно государственной интегрированной информационной системы управления общественными финансами «Электронный бюджет».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Закупка у единственного поставщика проводилась в соответствии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br/>
        <w:t xml:space="preserve">с распоряжением Правительства Российской Федерации от 30 декабря 2014 г. № 2792-р «Об определении ФГУП «Гознак» единственным исполнителем осуществляемых Министерством финансов Российской Федерации и подведомственными ему федеральными органами исполнительной власти закупок работ, услуг». В частности, был заключен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lastRenderedPageBreak/>
        <w:t>государственный контракт на оказание услуг по предоставлению программно-аппаратных комплексов (первой очереди единой «облачной» инфраструктуры) для обеспечения функционирования прикладного программного обеспечения информационных систем Федерального казначейства до декабря 2017 года.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Из 30 проведенных открытых конкурсов 1 был признан несостоявшимся, и контракт по его результатам заключен не был.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Из 15 проведенных электронных аукционов 1 был признан несостоявшимся, и контракт по его результатам заключен не был.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589917" cy="4528868"/>
            <wp:effectExtent l="0" t="0" r="10795" b="2413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Общая начальная (максимальная) цена объявленных в 2016 году процедур закупок составила 8,12 млрд рублей.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Средний процент экономии по проведенным закупкам составил 4,75%.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Процент закупок, размещенных у субъектов малого предпринимательства и социально ориентированных некоммерческих организаций в 2016 году составил 19,79 %, при установленном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br/>
        <w:t xml:space="preserve">в соответствии с законодательством минимумом в размере 15 процентов. 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lastRenderedPageBreak/>
        <w:t xml:space="preserve">В среднем в каждой из проведенных закупок принимало участие более двух организаций. Статистика по количеству поданных заявок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br/>
        <w:t xml:space="preserve">в зависимости от способа определения поставщика приведена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br/>
        <w:t xml:space="preserve">на диаграмме ниже. По сравнению с 2015 годом, среднее количество заявок увеличилось, с 2,1 до 2,3 по открытым конкурсам и с 2,55 до 2,67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br/>
        <w:t xml:space="preserve">по электронным аукционам, что свидетельствует о росте конкуренции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br/>
        <w:t>в рамках проводимых Федеральным казначейством закупок.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762445" cy="3786997"/>
            <wp:effectExtent l="0" t="0" r="10160" b="2349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Максимальное количество участников торгов было зафиксировано при проведении аукциона в электронной форме на поставку рабочих станций для нужд центрального аппарата Федерального казначейства – 11 организаций.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В соответствии с закрепленными за Контрактной службой полномочиями, в 2016 году было организовано 84 заседаний комиссий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br/>
        <w:t xml:space="preserve">по определению поставщиков (подрядчиков, исполнителей) и 46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br/>
        <w:t>по определению начальной (максимальной) цены контракта.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Одной из задач Контрактной службы Федерального казначейства является заключение дополнительных соглашений по уже заключенным контрактам, соглашений о расторжении или исполнении контракта. В 2016 году было заключено 25 дополнительных соглашений и 19 соглашений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br/>
        <w:t xml:space="preserve">о расторжении/исполнении контрактов, учитывая, что в 2016 году в стадии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lastRenderedPageBreak/>
        <w:t xml:space="preserve">исполнения находилось 86 контрактов, дополнительные соглашения,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br/>
        <w:t>в среднем, заключались к каждому второму государственному контракту. Большое количество заключенных дополнительных соглашений обуславливается, в первую очередь, изменением платежных реквизитов поставщиков, которое в каждом случае оформлялось в виде дополнительного соглашения к соответствующему контракту.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В 2016 году на Федеральное казначейство было подано 9 жалоб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br/>
        <w:t>в Федеральную антимонопольную службу. Все жалобы были признаны необоснованными.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Кроме того, Контрактной службой Федерального казначейства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br/>
        <w:t>в 2016 году проводились работы по организации исполнения заключенных государственных контрактов.</w:t>
      </w:r>
    </w:p>
    <w:p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753100" cy="3738563"/>
            <wp:effectExtent l="0" t="0" r="19050" b="1460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Всего было проверено и организовано подписание следующих документов: 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Закрывающие (подтверждающие) документы по государственным контрактам – 3 372 шт.;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Экспертные заключения – 346 шт.;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Отчеты об исполнении контракта (этапов контракта) – 218 шт.;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Акты сдачи-приемки товаров, работ, услуг – 295 шт.;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Оформлено платежных поручений – 317 шт.</w:t>
      </w:r>
    </w:p>
    <w:p>
      <w:pPr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lastRenderedPageBreak/>
        <w:t xml:space="preserve">Объем документов, оформляемых в рамках исполнения контрактов, по сравнению с 2015 годом существенно возрос, за исключением закрывающих (подтверждающих) документов. Проведена работа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br/>
        <w:t>по оптимизации количества документов, часть документов исключена за счет использования Системы управления эксплуатацией Федерального казначейства и их перевода в электронный вид.</w:t>
      </w:r>
    </w:p>
    <w:p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819775" cy="3467100"/>
            <wp:effectExtent l="0" t="0" r="9525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sectPr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fontTable" Target="fontTable.xml"/><Relationship Id="rId5" Type="http://schemas.openxmlformats.org/officeDocument/2006/relationships/chart" Target="charts/chart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2473\Desktop\&#1044;&#1086;&#1082;&#1083;&#1072;&#1076;\&#1057;&#1090;&#1072;&#1090;&#1080;&#1089;&#1090;&#1080;&#1082;&#1072;%20&#1087;&#1086;%20&#1088;&#1072;&#1079;&#1084;&#1077;&#1097;&#1077;&#1085;&#1085;&#1099;&#1084;%20&#1079;&#1072;&#1082;&#1091;&#1087;&#1082;&#1072;&#1084;%202016_3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2473\Desktop\&#1044;&#1086;&#1082;&#1083;&#1072;&#1076;\&#1057;&#1090;&#1072;&#1090;&#1080;&#1089;&#1090;&#1080;&#1082;&#1072;%20&#1087;&#1086;%20&#1088;&#1072;&#1079;&#1084;&#1077;&#1097;&#1077;&#1085;&#1085;&#1099;&#1084;%20&#1079;&#1072;&#1082;&#1091;&#1087;&#1082;&#1072;&#1084;%202016_3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2473\Desktop\&#1044;&#1086;&#1082;&#1083;&#1072;&#1076;\&#1057;&#1090;&#1072;&#1090;&#1080;&#1089;&#1090;&#1080;&#1082;&#1072;%20&#1087;&#1086;%20&#1088;&#1072;&#1079;&#1084;&#1077;&#1097;&#1077;&#1085;&#1085;&#1099;&#1084;%20&#1079;&#1072;&#1082;&#1091;&#1087;&#1082;&#1072;&#1084;%202016_3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2473\Desktop\&#1044;&#1086;&#1082;&#1083;&#1072;&#1076;\&#1057;&#1090;&#1072;&#1090;&#1080;&#1089;&#1090;&#1080;&#1082;&#1072;%20&#1087;&#1086;%20&#1088;&#1072;&#1079;&#1084;&#1077;&#1097;&#1077;&#1085;&#1085;&#1099;&#1084;%20&#1079;&#1072;&#1082;&#1091;&#1087;&#1082;&#1072;&#1084;%202016_3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Распределение закупок по месяцам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1"/>
        <c:ser>
          <c:idx val="0"/>
          <c:order val="0"/>
          <c:invertIfNegative val="0"/>
          <c:cat>
            <c:strRef>
              <c:f>Закупки!$C$80:$C$91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Закупки!$D$80:$D$91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7</c:v>
                </c:pt>
                <c:pt idx="4">
                  <c:v>1</c:v>
                </c:pt>
                <c:pt idx="5">
                  <c:v>2</c:v>
                </c:pt>
                <c:pt idx="6">
                  <c:v>9</c:v>
                </c:pt>
                <c:pt idx="7">
                  <c:v>1</c:v>
                </c:pt>
                <c:pt idx="8">
                  <c:v>9</c:v>
                </c:pt>
                <c:pt idx="9">
                  <c:v>6</c:v>
                </c:pt>
                <c:pt idx="10">
                  <c:v>10</c:v>
                </c:pt>
                <c:pt idx="11">
                  <c:v>0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-56"/>
        <c:axId val="252719872"/>
        <c:axId val="252721408"/>
      </c:barChart>
      <c:catAx>
        <c:axId val="252719872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52721408"/>
        <c:crosses val="autoZero"/>
        <c:auto val="1"/>
        <c:lblAlgn val="ctr"/>
        <c:lblOffset val="100"/>
        <c:noMultiLvlLbl val="0"/>
      </c:catAx>
      <c:valAx>
        <c:axId val="2527214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25271987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Способы осуществления</a:t>
            </a:r>
            <a:r>
              <a:rPr lang="ru-RU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закупок</a:t>
            </a:r>
            <a:endParaRPr lang="ru-RU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8776109292085355"/>
          <c:y val="0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9.4023034378376696E-2"/>
                  <c:y val="7.209117348092650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Закупки!$C$60:$C$62</c:f>
              <c:strCache>
                <c:ptCount val="3"/>
                <c:pt idx="0">
                  <c:v>Закупка у единственного поставщика</c:v>
                </c:pt>
                <c:pt idx="1">
                  <c:v>Открытый конкурс </c:v>
                </c:pt>
                <c:pt idx="2">
                  <c:v>Элетронный аукцион</c:v>
                </c:pt>
              </c:strCache>
            </c:strRef>
          </c:cat>
          <c:val>
            <c:numRef>
              <c:f>Закупки!$D$60:$D$62</c:f>
              <c:numCache>
                <c:formatCode>General</c:formatCode>
                <c:ptCount val="3"/>
                <c:pt idx="0">
                  <c:v>1</c:v>
                </c:pt>
                <c:pt idx="1">
                  <c:v>30</c:v>
                </c:pt>
                <c:pt idx="2">
                  <c:v>15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Стоимостные</a:t>
            </a:r>
            <a:r>
              <a:rPr lang="ru-RU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критерии закупок</a:t>
            </a:r>
            <a:endParaRPr lang="ru-RU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21855647382920099"/>
          <c:y val="1.2708333333333301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9369887854927226"/>
          <c:y val="9.4268638106983618E-2"/>
          <c:w val="0.49163549597622613"/>
          <c:h val="0.59616698515095257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Закупки!$E$59</c:f>
              <c:strCache>
                <c:ptCount val="1"/>
                <c:pt idx="0">
                  <c:v>Цена заключенных 
контрактов 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7540964404242899E-2"/>
                  <c:y val="-0.151974695470758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133250905620199E-2"/>
                  <c:y val="-0.248326087444198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6.0251881737923299E-2"/>
                  <c:y val="-0.2816478453013889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Закупки!$C$60:$C$62</c:f>
              <c:strCache>
                <c:ptCount val="3"/>
                <c:pt idx="0">
                  <c:v>Закупка у единственного поставщика</c:v>
                </c:pt>
                <c:pt idx="1">
                  <c:v>Открытый конкурс </c:v>
                </c:pt>
                <c:pt idx="2">
                  <c:v>Элетронный аукцион</c:v>
                </c:pt>
              </c:strCache>
            </c:strRef>
          </c:cat>
          <c:val>
            <c:numRef>
              <c:f>Закупки!$E$60:$E$62</c:f>
              <c:numCache>
                <c:formatCode>#,##0.00</c:formatCode>
                <c:ptCount val="3"/>
                <c:pt idx="0">
                  <c:v>1382811703.4400001</c:v>
                </c:pt>
                <c:pt idx="1">
                  <c:v>2871267014</c:v>
                </c:pt>
                <c:pt idx="2">
                  <c:v>3758218000.5</c:v>
                </c:pt>
              </c:numCache>
            </c:numRef>
          </c:val>
        </c:ser>
        <c:ser>
          <c:idx val="1"/>
          <c:order val="1"/>
          <c:tx>
            <c:strRef>
              <c:f>Закупки!$F$59</c:f>
              <c:strCache>
                <c:ptCount val="1"/>
                <c:pt idx="0">
                  <c:v>Экономия по результатам 
процедур</c:v>
                </c:pt>
              </c:strCache>
            </c:strRef>
          </c:tx>
          <c:invertIfNegative val="0"/>
          <c:cat>
            <c:strRef>
              <c:f>Закупки!$C$60:$C$62</c:f>
              <c:strCache>
                <c:ptCount val="3"/>
                <c:pt idx="0">
                  <c:v>Закупка у единственного поставщика</c:v>
                </c:pt>
                <c:pt idx="1">
                  <c:v>Открытый конкурс </c:v>
                </c:pt>
                <c:pt idx="2">
                  <c:v>Элетронный аукцион</c:v>
                </c:pt>
              </c:strCache>
            </c:strRef>
          </c:cat>
          <c:val>
            <c:numRef>
              <c:f>Закупки!$F$60:$F$62</c:f>
              <c:numCache>
                <c:formatCode>#,##0.00</c:formatCode>
                <c:ptCount val="3"/>
                <c:pt idx="1">
                  <c:v>57802886</c:v>
                </c:pt>
                <c:pt idx="2">
                  <c:v>48639400.5</c:v>
                </c:pt>
              </c:numCache>
            </c:numRef>
          </c:val>
        </c:ser>
        <c:ser>
          <c:idx val="2"/>
          <c:order val="2"/>
          <c:tx>
            <c:strRef>
              <c:f>Закупки!$I$59</c:f>
              <c:strCache>
                <c:ptCount val="1"/>
                <c:pt idx="0">
                  <c:v>Закупки 
не состоялись</c:v>
                </c:pt>
              </c:strCache>
            </c:strRef>
          </c:tx>
          <c:invertIfNegative val="0"/>
          <c:cat>
            <c:strRef>
              <c:f>Закупки!$C$60:$C$62</c:f>
              <c:strCache>
                <c:ptCount val="3"/>
                <c:pt idx="0">
                  <c:v>Закупка у единственного поставщика</c:v>
                </c:pt>
                <c:pt idx="1">
                  <c:v>Открытый конкурс </c:v>
                </c:pt>
                <c:pt idx="2">
                  <c:v>Элетронный аукцион</c:v>
                </c:pt>
              </c:strCache>
            </c:strRef>
          </c:cat>
          <c:val>
            <c:numRef>
              <c:f>Закупки!$I$60:$I$62</c:f>
              <c:numCache>
                <c:formatCode>#,##0.00</c:formatCode>
                <c:ptCount val="3"/>
                <c:pt idx="1">
                  <c:v>3000000</c:v>
                </c:pt>
                <c:pt idx="2">
                  <c:v>498949.5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52738176"/>
        <c:axId val="252744064"/>
        <c:axId val="0"/>
      </c:bar3DChart>
      <c:catAx>
        <c:axId val="252738176"/>
        <c:scaling>
          <c:orientation val="minMax"/>
        </c:scaling>
        <c:delete val="0"/>
        <c:axPos val="b"/>
        <c:majorTickMark val="out"/>
        <c:minorTickMark val="none"/>
        <c:tickLblPos val="nextTo"/>
        <c:crossAx val="252744064"/>
        <c:crosses val="autoZero"/>
        <c:auto val="1"/>
        <c:lblAlgn val="ctr"/>
        <c:lblOffset val="100"/>
        <c:noMultiLvlLbl val="0"/>
      </c:catAx>
      <c:valAx>
        <c:axId val="252744064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5273817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Среднее</a:t>
            </a:r>
            <a:r>
              <a:rPr lang="ru-RU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количество заявок</a:t>
            </a:r>
            <a:endParaRPr lang="ru-RU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1"/>
        <c:ser>
          <c:idx val="0"/>
          <c:order val="0"/>
          <c:invertIfNegative val="0"/>
          <c:dLbls>
            <c:dLbl>
              <c:idx val="0"/>
              <c:layout>
                <c:manualLayout>
                  <c:x val="3.1421762125105099E-2"/>
                  <c:y val="0.11230955644930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86894349837916E-2"/>
                  <c:y val="0.251656598710487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Закупки!$C$61:$C$62</c:f>
              <c:strCache>
                <c:ptCount val="2"/>
                <c:pt idx="0">
                  <c:v>Открытый конкурс </c:v>
                </c:pt>
                <c:pt idx="1">
                  <c:v>Элетронный аукцион</c:v>
                </c:pt>
              </c:strCache>
            </c:strRef>
          </c:cat>
          <c:val>
            <c:numRef>
              <c:f>Закупки!$G$61:$G$62</c:f>
              <c:numCache>
                <c:formatCode>0.00</c:formatCode>
                <c:ptCount val="2"/>
                <c:pt idx="0">
                  <c:v>2.2999999999999998</c:v>
                </c:pt>
                <c:pt idx="1">
                  <c:v>2.6666666666666661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158"/>
        <c:shape val="cylinder"/>
        <c:axId val="252784640"/>
        <c:axId val="252787328"/>
        <c:axId val="0"/>
      </c:bar3DChart>
      <c:catAx>
        <c:axId val="252784640"/>
        <c:scaling>
          <c:orientation val="minMax"/>
        </c:scaling>
        <c:delete val="0"/>
        <c:axPos val="b"/>
        <c:majorTickMark val="out"/>
        <c:minorTickMark val="none"/>
        <c:tickLblPos val="nextTo"/>
        <c:crossAx val="252787328"/>
        <c:crosses val="autoZero"/>
        <c:auto val="1"/>
        <c:lblAlgn val="ctr"/>
        <c:lblOffset val="100"/>
        <c:noMultiLvlLbl val="0"/>
      </c:catAx>
      <c:valAx>
        <c:axId val="252787328"/>
        <c:scaling>
          <c:orientation val="minMax"/>
        </c:scaling>
        <c:delete val="0"/>
        <c:axPos val="l"/>
        <c:majorGridlines/>
        <c:numFmt formatCode="0.00" sourceLinked="1"/>
        <c:majorTickMark val="out"/>
        <c:minorTickMark val="none"/>
        <c:tickLblPos val="nextTo"/>
        <c:crossAx val="25278464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Документы, оформляемые в рамках исполнения</a:t>
            </a:r>
            <a:r>
              <a:rPr lang="ru-RU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контрактов</a:t>
            </a:r>
            <a:endParaRPr lang="ru-RU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'Отдел администрирования контрак'!$C$3</c:f>
              <c:strCache>
                <c:ptCount val="1"/>
                <c:pt idx="0">
                  <c:v>2015 год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'Отдел администрирования контрак'!$B$5:$B$8</c:f>
              <c:strCache>
                <c:ptCount val="4"/>
                <c:pt idx="0">
                  <c:v>Количество экспертных заключений</c:v>
                </c:pt>
                <c:pt idx="1">
                  <c:v>Количество Отчетов об исполнении  контракта (этапов контракта)</c:v>
                </c:pt>
                <c:pt idx="2">
                  <c:v>Количество актов</c:v>
                </c:pt>
                <c:pt idx="3">
                  <c:v>Количество платежных поручений</c:v>
                </c:pt>
              </c:strCache>
            </c:strRef>
          </c:cat>
          <c:val>
            <c:numRef>
              <c:f>'Отдел администрирования контрак'!$C$5:$C$8</c:f>
              <c:numCache>
                <c:formatCode>General</c:formatCode>
                <c:ptCount val="4"/>
                <c:pt idx="0">
                  <c:v>196</c:v>
                </c:pt>
                <c:pt idx="1">
                  <c:v>188</c:v>
                </c:pt>
                <c:pt idx="2">
                  <c:v>248</c:v>
                </c:pt>
                <c:pt idx="3">
                  <c:v>236</c:v>
                </c:pt>
              </c:numCache>
            </c:numRef>
          </c:val>
        </c:ser>
        <c:ser>
          <c:idx val="1"/>
          <c:order val="1"/>
          <c:tx>
            <c:strRef>
              <c:f>'Отдел администрирования контрак'!$D$3</c:f>
              <c:strCache>
                <c:ptCount val="1"/>
                <c:pt idx="0">
                  <c:v>2016 год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'Отдел администрирования контрак'!$B$5:$B$8</c:f>
              <c:strCache>
                <c:ptCount val="4"/>
                <c:pt idx="0">
                  <c:v>Количество экспертных заключений</c:v>
                </c:pt>
                <c:pt idx="1">
                  <c:v>Количество Отчетов об исполнении  контракта (этапов контракта)</c:v>
                </c:pt>
                <c:pt idx="2">
                  <c:v>Количество актов</c:v>
                </c:pt>
                <c:pt idx="3">
                  <c:v>Количество платежных поручений</c:v>
                </c:pt>
              </c:strCache>
            </c:strRef>
          </c:cat>
          <c:val>
            <c:numRef>
              <c:f>'Отдел администрирования контрак'!$D$5:$D$8</c:f>
              <c:numCache>
                <c:formatCode>General</c:formatCode>
                <c:ptCount val="4"/>
                <c:pt idx="0">
                  <c:v>346</c:v>
                </c:pt>
                <c:pt idx="1">
                  <c:v>218</c:v>
                </c:pt>
                <c:pt idx="2">
                  <c:v>295</c:v>
                </c:pt>
                <c:pt idx="3">
                  <c:v>317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53207680"/>
        <c:axId val="253209216"/>
        <c:axId val="0"/>
      </c:bar3DChart>
      <c:catAx>
        <c:axId val="253207680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53209216"/>
        <c:crosses val="autoZero"/>
        <c:auto val="1"/>
        <c:lblAlgn val="ctr"/>
        <c:lblOffset val="100"/>
        <c:noMultiLvlLbl val="0"/>
      </c:catAx>
      <c:valAx>
        <c:axId val="253209216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253207680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'Отдел администрирования контрак'!$B$4</c:f>
              <c:strCache>
                <c:ptCount val="1"/>
                <c:pt idx="0">
                  <c:v>Количество закрывающих (подтверждающих) документов по контрактам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'Отдел администрирования контрак'!$C$3:$D$3</c:f>
              <c:strCache>
                <c:ptCount val="2"/>
                <c:pt idx="0">
                  <c:v>2015 год</c:v>
                </c:pt>
                <c:pt idx="1">
                  <c:v>2016 год</c:v>
                </c:pt>
              </c:strCache>
            </c:strRef>
          </c:cat>
          <c:val>
            <c:numRef>
              <c:f>'Отдел администрирования контрак'!$C$4:$D$4</c:f>
              <c:numCache>
                <c:formatCode>General</c:formatCode>
                <c:ptCount val="2"/>
                <c:pt idx="0">
                  <c:v>4483</c:v>
                </c:pt>
                <c:pt idx="1">
                  <c:v>3372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52573568"/>
        <c:axId val="252575104"/>
      </c:barChart>
      <c:catAx>
        <c:axId val="252573568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52575104"/>
        <c:crosses val="autoZero"/>
        <c:auto val="1"/>
        <c:lblAlgn val="ctr"/>
        <c:lblOffset val="100"/>
        <c:noMultiLvlLbl val="0"/>
      </c:catAx>
      <c:valAx>
        <c:axId val="25257510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252573568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861</Words>
  <Characters>4909</Characters>
  <Application>Microsoft Office Word</Application>
  <DocSecurity>0</DocSecurity>
  <Lines>40</Lines>
  <Paragraphs>11</Paragraphs>
  <ScaleCrop>false</ScaleCrop>
  <Company>S9500SCCM01</Company>
  <LinksUpToDate>false</LinksUpToDate>
  <CharactersWithSpaces>5759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Исакова Татьяна Васильевна</dc:creator>
  <cp:keywords/>
  <dc:description/>
  <cp:lastModifiedBy>Исакова Татьяна Васильевна</cp:lastModifiedBy>
  <cp:revision>6</cp:revision>
  <dcterms:created xsi:type="dcterms:W3CDTF">2017-02-15T14:27:00Z</dcterms:created>
  <dcterms:modified xsi:type="dcterms:W3CDTF">2017-03-02T14:45:00Z</dcterms:modified>
</cp:coreProperties>
</file>