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408" w:rsidRDefault="00A55408" w:rsidP="00A554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7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3. Отчет о проведенных Федеральным казначейством государственных закупках за отчетный период</w:t>
      </w:r>
    </w:p>
    <w:p w:rsidR="00A55408" w:rsidRDefault="00A55408" w:rsidP="00A554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5408" w:rsidRPr="00C43955" w:rsidRDefault="00A55408" w:rsidP="00A5540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43955">
        <w:rPr>
          <w:rFonts w:ascii="Times New Roman" w:hAnsi="Times New Roman"/>
          <w:b/>
          <w:sz w:val="28"/>
          <w:szCs w:val="28"/>
        </w:rPr>
        <w:t>Отчет об осуществлении государственных закупок (включая крупные) Федеральным казенным учреждением «Центр по обеспечению деятельности Казначейства России» (его территориальными органами и подведомственными учреждениями) в 2020 году</w:t>
      </w:r>
    </w:p>
    <w:p w:rsidR="00A55408" w:rsidRPr="00C43955" w:rsidRDefault="00A55408" w:rsidP="00A5540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55408" w:rsidRPr="00C43955" w:rsidRDefault="00A55408" w:rsidP="00A55408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C43955">
        <w:rPr>
          <w:rFonts w:ascii="Times New Roman" w:hAnsi="Times New Roman"/>
          <w:b/>
          <w:sz w:val="28"/>
          <w:szCs w:val="28"/>
          <w:lang w:val="en-US"/>
        </w:rPr>
        <w:t>I</w:t>
      </w:r>
      <w:r w:rsidRPr="00C43955">
        <w:rPr>
          <w:rFonts w:ascii="Times New Roman" w:hAnsi="Times New Roman"/>
          <w:b/>
          <w:sz w:val="28"/>
          <w:szCs w:val="28"/>
        </w:rPr>
        <w:t>. Информация о закупках ФКУ «ЦОКР».</w:t>
      </w:r>
    </w:p>
    <w:p w:rsidR="00A55408" w:rsidRPr="00C43955" w:rsidRDefault="00A55408" w:rsidP="00A55408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43955">
        <w:rPr>
          <w:rFonts w:ascii="Times New Roman" w:hAnsi="Times New Roman"/>
          <w:b/>
          <w:sz w:val="28"/>
          <w:szCs w:val="28"/>
        </w:rPr>
        <w:t>1. Деятельность контрактных служб Федерального казенного учреждения «Центр по обеспечению деятельности Казначейства России» (далее – ФКУ «ЦОКР»).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Контрактные службы созданы в: </w:t>
      </w:r>
    </w:p>
    <w:p w:rsidR="00A55408" w:rsidRPr="00C43955" w:rsidRDefault="00A55408" w:rsidP="00A55408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ФКУ «ЦОКР», </w:t>
      </w:r>
    </w:p>
    <w:p w:rsidR="00A55408" w:rsidRPr="00C43955" w:rsidRDefault="00A55408" w:rsidP="00A55408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Межрегиональном филиале ФКУ «ЦОКР» в г. Владимире, </w:t>
      </w:r>
    </w:p>
    <w:p w:rsidR="00A55408" w:rsidRPr="00C43955" w:rsidRDefault="00A55408" w:rsidP="00A55408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Межрегиональном филиале ФКУ «ЦОКР» в г. Симферополе, </w:t>
      </w:r>
    </w:p>
    <w:p w:rsidR="00A55408" w:rsidRPr="00C43955" w:rsidRDefault="00A55408" w:rsidP="00A55408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Межрегиональном филиале ФКУ «ЦОКР» в г. Екатеринбурге, </w:t>
      </w:r>
    </w:p>
    <w:p w:rsidR="00A55408" w:rsidRPr="00C43955" w:rsidRDefault="00A55408" w:rsidP="00A55408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Межрегиональном филиале ФКУ «ЦОКР» в г. Казани, </w:t>
      </w:r>
    </w:p>
    <w:p w:rsidR="00A55408" w:rsidRPr="00C43955" w:rsidRDefault="00A55408" w:rsidP="00A55408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Филиале ФКУ "ЦОКР" по Калининградской области, </w:t>
      </w:r>
    </w:p>
    <w:p w:rsidR="00A55408" w:rsidRPr="00C43955" w:rsidRDefault="00A55408" w:rsidP="00A55408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Межрегиональном филиале ФКУ «ЦОКР» в г. Нижнем Новгороде, </w:t>
      </w:r>
    </w:p>
    <w:p w:rsidR="00A55408" w:rsidRPr="00C43955" w:rsidRDefault="00A55408" w:rsidP="00A55408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Межрегиональном филиале ФКУ «ЦОКР» в г. Новосибирске, </w:t>
      </w:r>
    </w:p>
    <w:p w:rsidR="00A55408" w:rsidRPr="00C43955" w:rsidRDefault="00A55408" w:rsidP="00A55408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Межрегиональном филиале ФКУ «ЦОКР» в г. Ростове-на-Дону, </w:t>
      </w:r>
    </w:p>
    <w:p w:rsidR="00A55408" w:rsidRPr="00C43955" w:rsidRDefault="00A55408" w:rsidP="00A55408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Межрегиональном филиале ФКУ «ЦОКР» в г. Санкт-Петербурге, </w:t>
      </w:r>
    </w:p>
    <w:p w:rsidR="00A55408" w:rsidRPr="00C43955" w:rsidRDefault="00A55408" w:rsidP="00A55408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Межрегиональном филиале ФКУ «ЦОКР» в г. Ставрополе, </w:t>
      </w:r>
    </w:p>
    <w:p w:rsidR="00A55408" w:rsidRPr="00C43955" w:rsidRDefault="00A55408" w:rsidP="00A55408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Межрегиональном филиале ФКУ «ЦОКР» в г. Владивостоке.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(далее – Заказчики ФКУ «ЦОКР») функционируют на основании Федерального закона от 05.04.2013 г. № 44-ФЗ «О контрактной системе в сфере закупок товаров, работ, услуг для обеспечения государственных и муниципальных нужд».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sz w:val="28"/>
          <w:szCs w:val="28"/>
        </w:rPr>
        <w:t xml:space="preserve"> </w:t>
      </w:r>
      <w:r w:rsidRPr="00C43955">
        <w:rPr>
          <w:rFonts w:ascii="Times New Roman" w:hAnsi="Times New Roman"/>
          <w:sz w:val="28"/>
          <w:szCs w:val="28"/>
        </w:rPr>
        <w:t>Межрегиональные филиалы</w:t>
      </w:r>
      <w:r w:rsidRPr="00C43955">
        <w:rPr>
          <w:sz w:val="28"/>
          <w:szCs w:val="28"/>
        </w:rPr>
        <w:t xml:space="preserve"> </w:t>
      </w:r>
      <w:r w:rsidRPr="00C43955">
        <w:rPr>
          <w:rFonts w:ascii="Times New Roman" w:hAnsi="Times New Roman"/>
          <w:sz w:val="28"/>
          <w:szCs w:val="28"/>
        </w:rPr>
        <w:t>ФКУ "ЦОКР" и Филиал ФКУ "ЦОКР" по Калининградской области осуществляют функции государственного заказчика самостоятельно.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43955">
        <w:rPr>
          <w:rFonts w:ascii="Times New Roman" w:hAnsi="Times New Roman"/>
          <w:b/>
          <w:sz w:val="28"/>
          <w:szCs w:val="28"/>
        </w:rPr>
        <w:t xml:space="preserve">2. Организация закупок в ФКУ «ЦОКР».  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В 2020 году ФКУ «ЦОКР» и его филиалами осуществлялись закупки для нужд Федерального казначейства и его территориальных органов в соответствии с приказами Казначейства России: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- от 18.01.2017 г. № 2н «О наделении Федерального казенного учреждения «Центр по обеспечению деятельности Казначейства России» полномочиями по планированию и осуществлению закупок товаров, работ, услуг для обеспечения функций центрального аппарата, территориальных органов Федерального казначейства и об утверждении Порядка взаимодействия центрального аппарата, территориальных органов Федерального казначейства и Федерального казенного учреждения «Центр по обеспечению деятельности Казначейства России» при осуществлении Федеральным казенным учреждением «Центр по обеспечению </w:t>
      </w:r>
      <w:r w:rsidRPr="00C43955">
        <w:rPr>
          <w:rFonts w:ascii="Times New Roman" w:hAnsi="Times New Roman"/>
          <w:sz w:val="28"/>
          <w:szCs w:val="28"/>
        </w:rPr>
        <w:lastRenderedPageBreak/>
        <w:t xml:space="preserve">деятельности Казначейства России» полномочий по планированию и осуществлению закупок товаров, работ, услуг для обеспечения функций центрального аппарата, территориальных органов Федерального казначейства». </w:t>
      </w:r>
    </w:p>
    <w:p w:rsidR="00A55408" w:rsidRPr="00C43955" w:rsidRDefault="00A55408" w:rsidP="00A554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3955">
        <w:rPr>
          <w:rFonts w:ascii="Times New Roman" w:eastAsia="Times New Roman" w:hAnsi="Times New Roman"/>
          <w:sz w:val="28"/>
          <w:szCs w:val="28"/>
          <w:lang w:eastAsia="ru-RU"/>
        </w:rPr>
        <w:t>- от 28.08.2017 № 217  "Об организации работы территориальных органов Федерального казначейства и Федерального казенного учреждения "Центр по обеспечению деятельности Казначейства России" по исполнению Порядка взаимодействия центрального аппарата, территориальных органов Федерального казначейства и Федерального казенного учреждения "Центр по обеспечению деятельности Казначейства России" при осуществлении Федеральным казенным учреждением "Центр по обеспечению деятельности Казначейства России" полномочий по планированию и осуществлению закупок товаров, работ, услуг для обеспечения функций центрального аппарата, территориальных органов Федерального казначейства, утвержденного приказом Федерального казначейства от 18 января 2017 г. N 2н"</w:t>
      </w:r>
    </w:p>
    <w:p w:rsidR="00A55408" w:rsidRPr="00C43955" w:rsidRDefault="00A55408" w:rsidP="00A554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3955">
        <w:rPr>
          <w:rFonts w:ascii="Times New Roman" w:eastAsia="Times New Roman" w:hAnsi="Times New Roman"/>
          <w:sz w:val="28"/>
          <w:szCs w:val="28"/>
          <w:lang w:eastAsia="ru-RU"/>
        </w:rPr>
        <w:t>- от 31.10.2018 № 346 "Об организации работы в центральном аппарате Федерального казначейства и Федеральном казенном учреждении "Центр по обеспечению деятельности Казначейства России" по исполнению Порядка взаимодействия центрального аппарата, территориальных органов Федерального казначейства и Федерального казенного учреждения "Центр по обеспечению деятельности Казначейства России" при осуществлении Федеральным казенным учреждением "Центр по обеспечению деятельности Казначейства России" полномочий по планированию и осуществлению закупок товаров, работ, услуг для обеспечения функций центрального аппарата, территориальных органов Федерального казначейства, утвержденного приказом Федерального казначейства от 18 января 2017 г. N 2н".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Информация о деятельности Заказчиков ФКУ «ЦОКР» планы-графики закупок, информация об извещениях об осуществлении закупок, а также приказы, регулирующие деятельность контрактных служб размещены на официальном сайте ФКУ «ЦОКР»: cokr.roskazna.ru.</w:t>
      </w:r>
    </w:p>
    <w:p w:rsidR="00A55408" w:rsidRPr="00BB0008" w:rsidRDefault="00A55408" w:rsidP="00A5540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55408" w:rsidRPr="00C43955" w:rsidRDefault="00A55408" w:rsidP="00A5540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43955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C43955">
        <w:rPr>
          <w:rFonts w:ascii="Times New Roman" w:hAnsi="Times New Roman"/>
          <w:b/>
          <w:sz w:val="28"/>
          <w:szCs w:val="28"/>
        </w:rPr>
        <w:t>. Итоги осуществления закупок ФКУ «ЦОКР» в 2020 году.</w:t>
      </w:r>
    </w:p>
    <w:p w:rsidR="00A55408" w:rsidRDefault="00A55408" w:rsidP="00A5540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2"/>
        <w:gridCol w:w="1677"/>
        <w:gridCol w:w="1600"/>
        <w:gridCol w:w="1684"/>
        <w:gridCol w:w="1848"/>
        <w:gridCol w:w="1705"/>
      </w:tblGrid>
      <w:tr w:rsidR="00A55408" w:rsidRPr="000404BD" w:rsidTr="00CF496B">
        <w:tc>
          <w:tcPr>
            <w:tcW w:w="1822" w:type="dxa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4BD">
              <w:rPr>
                <w:rFonts w:ascii="Times New Roman" w:hAnsi="Times New Roman"/>
                <w:sz w:val="24"/>
                <w:szCs w:val="24"/>
              </w:rPr>
              <w:t>Осуществление закупок</w:t>
            </w:r>
          </w:p>
        </w:tc>
        <w:tc>
          <w:tcPr>
            <w:tcW w:w="1696" w:type="dxa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BD">
              <w:rPr>
                <w:rFonts w:ascii="Times New Roman" w:hAnsi="Times New Roman"/>
                <w:sz w:val="24"/>
                <w:szCs w:val="24"/>
              </w:rPr>
              <w:t>Количество Заказчиков</w:t>
            </w:r>
          </w:p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4BD">
              <w:rPr>
                <w:rFonts w:ascii="Times New Roman" w:hAnsi="Times New Roman"/>
                <w:sz w:val="24"/>
                <w:szCs w:val="24"/>
              </w:rPr>
              <w:t>ФКУ «ЦОКР»</w:t>
            </w:r>
          </w:p>
        </w:tc>
        <w:tc>
          <w:tcPr>
            <w:tcW w:w="1643" w:type="dxa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ind w:firstLine="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408" w:rsidRPr="000404BD" w:rsidRDefault="00A55408" w:rsidP="00CF496B">
            <w:pPr>
              <w:spacing w:after="0" w:line="240" w:lineRule="auto"/>
              <w:ind w:firstLine="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408" w:rsidRPr="000404BD" w:rsidRDefault="00A55408" w:rsidP="00CF496B">
            <w:pPr>
              <w:spacing w:after="0" w:line="240" w:lineRule="auto"/>
              <w:ind w:firstLine="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408" w:rsidRPr="000404BD" w:rsidRDefault="00A55408" w:rsidP="00CF496B">
            <w:pPr>
              <w:spacing w:after="0" w:line="240" w:lineRule="auto"/>
              <w:ind w:firstLine="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408" w:rsidRPr="000404BD" w:rsidRDefault="00A55408" w:rsidP="00CF496B">
            <w:pPr>
              <w:spacing w:after="0" w:line="240" w:lineRule="auto"/>
              <w:ind w:firstLine="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4BD">
              <w:rPr>
                <w:rFonts w:ascii="Times New Roman" w:hAnsi="Times New Roman"/>
                <w:sz w:val="24"/>
                <w:szCs w:val="24"/>
              </w:rPr>
              <w:t>Период</w:t>
            </w:r>
          </w:p>
        </w:tc>
        <w:tc>
          <w:tcPr>
            <w:tcW w:w="1697" w:type="dxa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ind w:firstLine="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408" w:rsidRPr="000404BD" w:rsidRDefault="00A55408" w:rsidP="00CF496B">
            <w:pPr>
              <w:spacing w:after="0" w:line="240" w:lineRule="auto"/>
              <w:ind w:firstLine="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408" w:rsidRPr="000404BD" w:rsidRDefault="00A55408" w:rsidP="00CF496B">
            <w:pPr>
              <w:spacing w:after="0" w:line="240" w:lineRule="auto"/>
              <w:ind w:firstLine="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408" w:rsidRPr="000404BD" w:rsidRDefault="00A55408" w:rsidP="00CF496B">
            <w:pPr>
              <w:spacing w:after="0" w:line="240" w:lineRule="auto"/>
              <w:ind w:firstLine="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4BD">
              <w:rPr>
                <w:rFonts w:ascii="Times New Roman" w:hAnsi="Times New Roman"/>
                <w:sz w:val="24"/>
                <w:szCs w:val="24"/>
              </w:rPr>
              <w:t>Количество закупок</w:t>
            </w:r>
          </w:p>
        </w:tc>
        <w:tc>
          <w:tcPr>
            <w:tcW w:w="1848" w:type="dxa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404BD">
              <w:rPr>
                <w:rFonts w:ascii="Times New Roman" w:hAnsi="Times New Roman"/>
                <w:bCs/>
                <w:sz w:val="24"/>
                <w:szCs w:val="24"/>
              </w:rPr>
              <w:t>Количество</w:t>
            </w:r>
          </w:p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404BD">
              <w:rPr>
                <w:rFonts w:ascii="Times New Roman" w:hAnsi="Times New Roman"/>
                <w:bCs/>
                <w:sz w:val="24"/>
                <w:szCs w:val="24"/>
              </w:rPr>
              <w:t>Закупок</w:t>
            </w:r>
          </w:p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404BD">
              <w:rPr>
                <w:rFonts w:ascii="Times New Roman" w:hAnsi="Times New Roman"/>
                <w:bCs/>
                <w:sz w:val="24"/>
                <w:szCs w:val="24"/>
              </w:rPr>
              <w:t>Размещенных</w:t>
            </w:r>
          </w:p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4BD">
              <w:rPr>
                <w:rFonts w:ascii="Times New Roman" w:hAnsi="Times New Roman"/>
                <w:bCs/>
                <w:sz w:val="24"/>
                <w:szCs w:val="24"/>
              </w:rPr>
              <w:t>конкурентными способами</w:t>
            </w:r>
          </w:p>
        </w:tc>
        <w:tc>
          <w:tcPr>
            <w:tcW w:w="1715" w:type="dxa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4BD">
              <w:rPr>
                <w:rFonts w:ascii="Times New Roman" w:hAnsi="Times New Roman"/>
                <w:sz w:val="24"/>
                <w:szCs w:val="24"/>
              </w:rPr>
              <w:t>Среднее количество закупок</w:t>
            </w:r>
            <w:r w:rsidRPr="000404BD">
              <w:rPr>
                <w:rFonts w:ascii="Times New Roman" w:hAnsi="Times New Roman"/>
                <w:sz w:val="24"/>
                <w:szCs w:val="24"/>
              </w:rPr>
              <w:br/>
              <w:t xml:space="preserve">на контрактную службу  </w:t>
            </w:r>
            <w:r w:rsidRPr="000404BD">
              <w:rPr>
                <w:rFonts w:ascii="Times New Roman" w:hAnsi="Times New Roman"/>
                <w:sz w:val="24"/>
                <w:szCs w:val="24"/>
              </w:rPr>
              <w:br/>
              <w:t>в отчетном году</w:t>
            </w:r>
          </w:p>
        </w:tc>
      </w:tr>
      <w:tr w:rsidR="00A55408" w:rsidRPr="000404BD" w:rsidTr="00CF496B">
        <w:trPr>
          <w:trHeight w:val="134"/>
        </w:trPr>
        <w:tc>
          <w:tcPr>
            <w:tcW w:w="1822" w:type="dxa"/>
            <w:vMerge w:val="restart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BD">
              <w:rPr>
                <w:rFonts w:ascii="Times New Roman" w:hAnsi="Times New Roman"/>
                <w:sz w:val="24"/>
                <w:szCs w:val="24"/>
              </w:rPr>
              <w:t>ФКУ «ЦОКР»</w:t>
            </w:r>
          </w:p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4BD">
              <w:rPr>
                <w:rFonts w:ascii="Times New Roman" w:hAnsi="Times New Roman"/>
                <w:sz w:val="24"/>
                <w:szCs w:val="24"/>
              </w:rPr>
              <w:t>(филиалы)</w:t>
            </w:r>
          </w:p>
        </w:tc>
        <w:tc>
          <w:tcPr>
            <w:tcW w:w="1696" w:type="dxa"/>
            <w:vMerge w:val="restart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B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43" w:type="dxa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ind w:firstLine="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BD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697" w:type="dxa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ind w:firstLine="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BD">
              <w:rPr>
                <w:rFonts w:ascii="Times New Roman" w:hAnsi="Times New Roman"/>
                <w:sz w:val="24"/>
                <w:szCs w:val="24"/>
              </w:rPr>
              <w:t>16 501</w:t>
            </w:r>
          </w:p>
        </w:tc>
        <w:tc>
          <w:tcPr>
            <w:tcW w:w="1848" w:type="dxa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BD">
              <w:rPr>
                <w:rFonts w:ascii="Times New Roman" w:hAnsi="Times New Roman"/>
                <w:sz w:val="24"/>
                <w:szCs w:val="24"/>
              </w:rPr>
              <w:t>5 130</w:t>
            </w:r>
          </w:p>
        </w:tc>
        <w:tc>
          <w:tcPr>
            <w:tcW w:w="1715" w:type="dxa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4BD">
              <w:rPr>
                <w:rFonts w:ascii="Times New Roman" w:hAnsi="Times New Roman"/>
                <w:sz w:val="24"/>
                <w:szCs w:val="24"/>
              </w:rPr>
              <w:t>1 375</w:t>
            </w:r>
          </w:p>
        </w:tc>
      </w:tr>
      <w:tr w:rsidR="00A55408" w:rsidRPr="000404BD" w:rsidTr="00CF496B">
        <w:trPr>
          <w:trHeight w:val="132"/>
        </w:trPr>
        <w:tc>
          <w:tcPr>
            <w:tcW w:w="1822" w:type="dxa"/>
            <w:vMerge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ind w:firstLine="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BD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697" w:type="dxa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ind w:firstLine="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4BD">
              <w:rPr>
                <w:rFonts w:ascii="Times New Roman" w:hAnsi="Times New Roman"/>
                <w:bCs/>
                <w:sz w:val="24"/>
                <w:szCs w:val="24"/>
              </w:rPr>
              <w:t>16 246 </w:t>
            </w:r>
          </w:p>
        </w:tc>
        <w:tc>
          <w:tcPr>
            <w:tcW w:w="1848" w:type="dxa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4BD">
              <w:rPr>
                <w:rFonts w:ascii="Times New Roman" w:hAnsi="Times New Roman"/>
                <w:sz w:val="24"/>
                <w:szCs w:val="24"/>
              </w:rPr>
              <w:t>5 254</w:t>
            </w:r>
          </w:p>
        </w:tc>
        <w:tc>
          <w:tcPr>
            <w:tcW w:w="1715" w:type="dxa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4BD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</w:rPr>
              <w:t>020</w:t>
            </w:r>
          </w:p>
        </w:tc>
      </w:tr>
      <w:tr w:rsidR="00A55408" w:rsidRPr="000404BD" w:rsidTr="00CF496B">
        <w:trPr>
          <w:trHeight w:val="132"/>
        </w:trPr>
        <w:tc>
          <w:tcPr>
            <w:tcW w:w="1822" w:type="dxa"/>
            <w:vMerge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ind w:firstLine="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BD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697" w:type="dxa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ind w:firstLine="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4BD"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404BD">
              <w:rPr>
                <w:rFonts w:ascii="Times New Roman" w:hAnsi="Times New Roman"/>
                <w:bCs/>
                <w:sz w:val="24"/>
                <w:szCs w:val="24"/>
              </w:rPr>
              <w:t>532</w:t>
            </w:r>
          </w:p>
        </w:tc>
        <w:tc>
          <w:tcPr>
            <w:tcW w:w="1848" w:type="dxa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4BD">
              <w:rPr>
                <w:rFonts w:ascii="Times New Roman" w:hAnsi="Times New Roman"/>
                <w:bCs/>
                <w:sz w:val="24"/>
                <w:szCs w:val="24"/>
              </w:rPr>
              <w:t>5 973</w:t>
            </w:r>
          </w:p>
        </w:tc>
        <w:tc>
          <w:tcPr>
            <w:tcW w:w="1715" w:type="dxa"/>
            <w:shd w:val="clear" w:color="auto" w:fill="auto"/>
          </w:tcPr>
          <w:p w:rsidR="00A55408" w:rsidRPr="000404BD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4BD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</w:rPr>
              <w:t>627</w:t>
            </w:r>
          </w:p>
        </w:tc>
      </w:tr>
    </w:tbl>
    <w:p w:rsidR="00A55408" w:rsidRDefault="00A55408" w:rsidP="00A5540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55408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43955">
        <w:rPr>
          <w:rFonts w:ascii="Times New Roman" w:hAnsi="Times New Roman"/>
          <w:b/>
          <w:sz w:val="28"/>
          <w:szCs w:val="28"/>
        </w:rPr>
        <w:t>1. Анализ выбора Заказчиками способа определения поставщика (подрядчика, исполнителя) при организации закупок.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A55408" w:rsidRPr="00C43955" w:rsidRDefault="00A55408" w:rsidP="00A55408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C43955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 xml:space="preserve">Основным способом определения поставщика (подрядчика, исполнителя) в 2020 году, ка и в предыдущие годы является электронный аукцион. Электронный аукцион является самым востребованным способом определения поставщика (подрядчика, исполнителя). Электронный аукцион лидирует как по количеству опубликованных процедур, так и по объему заказа. Электронный аукцион – открытый, наиболее удобный и эффективный способ определения поставщиков (подрядчиков, исполнителей). Электронные аукционы проводятся посредством использования информационно-телекоммуникационной системы «Интернет», что позволяет проводить торги оперативно, привлекать достаточно большое количество фирм-конкурентов, так же увеличивается прозрачность проведения торгов, что положительно влияет на конкурентную среду </w:t>
      </w:r>
      <w:r w:rsidRPr="00C43955">
        <w:rPr>
          <w:rFonts w:ascii="Times New Roman" w:eastAsia="Times New Roman" w:hAnsi="Times New Roman" w:cs="Arial"/>
          <w:sz w:val="28"/>
          <w:szCs w:val="28"/>
          <w:lang w:eastAsia="ru-RU"/>
        </w:rPr>
        <w:br/>
        <w:t xml:space="preserve">и использование бюджетных средств. </w:t>
      </w:r>
    </w:p>
    <w:p w:rsidR="00A55408" w:rsidRDefault="00A55408" w:rsidP="00A55408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3955">
        <w:rPr>
          <w:rFonts w:ascii="Times New Roman" w:eastAsia="Times New Roman" w:hAnsi="Times New Roman" w:cs="Arial"/>
          <w:sz w:val="28"/>
          <w:szCs w:val="28"/>
          <w:lang w:eastAsia="ru-RU"/>
        </w:rPr>
        <w:t>Открытый конкурс в электронной форме и Запрос котировок являются более трудоемкими процедурами, применение которых обусловлено сложностью предметов закупок (например, развитие или эксплуатация информационных систем), поэтому они реже использовались Заказчиками.</w:t>
      </w:r>
      <w:r w:rsidRPr="00561643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</w:p>
    <w:p w:rsidR="00A55408" w:rsidRDefault="00A55408" w:rsidP="00A5540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55408" w:rsidRDefault="00A55408" w:rsidP="00A5540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61643">
        <w:rPr>
          <w:rFonts w:ascii="Times New Roman" w:hAnsi="Times New Roman"/>
          <w:b/>
          <w:sz w:val="24"/>
          <w:szCs w:val="24"/>
        </w:rPr>
        <w:t xml:space="preserve">Информация </w:t>
      </w:r>
      <w:r>
        <w:rPr>
          <w:rFonts w:ascii="Times New Roman" w:hAnsi="Times New Roman"/>
          <w:b/>
          <w:sz w:val="24"/>
          <w:szCs w:val="24"/>
        </w:rPr>
        <w:t>по способам определения поставщиков,</w:t>
      </w:r>
    </w:p>
    <w:p w:rsidR="00A55408" w:rsidRDefault="00A55408" w:rsidP="00A5540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561643">
        <w:rPr>
          <w:rFonts w:ascii="Times New Roman" w:hAnsi="Times New Roman"/>
          <w:b/>
          <w:sz w:val="24"/>
          <w:szCs w:val="24"/>
        </w:rPr>
        <w:t>роведенным в 20</w:t>
      </w:r>
      <w:r>
        <w:rPr>
          <w:rFonts w:ascii="Times New Roman" w:hAnsi="Times New Roman"/>
          <w:b/>
          <w:sz w:val="24"/>
          <w:szCs w:val="24"/>
        </w:rPr>
        <w:t xml:space="preserve">20 </w:t>
      </w:r>
      <w:r w:rsidRPr="00561643">
        <w:rPr>
          <w:rFonts w:ascii="Times New Roman" w:hAnsi="Times New Roman"/>
          <w:b/>
          <w:sz w:val="24"/>
          <w:szCs w:val="24"/>
        </w:rPr>
        <w:t>году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55408" w:rsidRPr="00561643" w:rsidRDefault="00A55408" w:rsidP="00A5540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0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1559"/>
        <w:gridCol w:w="1134"/>
        <w:gridCol w:w="992"/>
        <w:gridCol w:w="1843"/>
        <w:gridCol w:w="1843"/>
        <w:gridCol w:w="1135"/>
        <w:gridCol w:w="16"/>
        <w:gridCol w:w="1259"/>
      </w:tblGrid>
      <w:tr w:rsidR="00A55408" w:rsidRPr="00643CC9" w:rsidTr="00CF496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408" w:rsidRPr="00643CC9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3CC9">
              <w:rPr>
                <w:rFonts w:ascii="Times New Roman" w:eastAsia="Times New Roman" w:hAnsi="Times New Roman"/>
                <w:sz w:val="20"/>
                <w:szCs w:val="20"/>
              </w:rPr>
              <w:t xml:space="preserve">№ </w:t>
            </w:r>
            <w:r w:rsidRPr="00643CC9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408" w:rsidRPr="00643CC9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3CC9">
              <w:rPr>
                <w:rFonts w:ascii="Times New Roman" w:hAnsi="Times New Roman"/>
                <w:sz w:val="20"/>
                <w:szCs w:val="20"/>
              </w:rPr>
              <w:t>Наименование способа определения поставщика (подрядчика исполнителя)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408" w:rsidRPr="00643CC9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3CC9">
              <w:rPr>
                <w:rFonts w:ascii="Times New Roman" w:hAnsi="Times New Roman"/>
                <w:sz w:val="20"/>
                <w:szCs w:val="20"/>
              </w:rPr>
              <w:t>Общее кол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643CC9">
              <w:rPr>
                <w:rFonts w:ascii="Times New Roman" w:hAnsi="Times New Roman"/>
                <w:sz w:val="20"/>
                <w:szCs w:val="20"/>
              </w:rPr>
              <w:t>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408" w:rsidRPr="00643CC9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отмененных закупок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408" w:rsidRPr="00693368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3CC9">
              <w:rPr>
                <w:rFonts w:ascii="Times New Roman" w:hAnsi="Times New Roman"/>
                <w:sz w:val="20"/>
                <w:szCs w:val="20"/>
              </w:rPr>
              <w:t>Общая начальная (максимальная) цена контрактов (</w:t>
            </w:r>
            <w:r w:rsidRPr="00693368">
              <w:rPr>
                <w:rFonts w:ascii="Times New Roman" w:hAnsi="Times New Roman"/>
                <w:sz w:val="20"/>
                <w:szCs w:val="20"/>
              </w:rPr>
              <w:t>тыс. руб</w:t>
            </w:r>
            <w:r w:rsidRPr="00643CC9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408" w:rsidRPr="00643CC9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3CC9">
              <w:rPr>
                <w:rFonts w:ascii="Times New Roman" w:hAnsi="Times New Roman"/>
                <w:sz w:val="20"/>
                <w:szCs w:val="20"/>
              </w:rPr>
              <w:t>Цена контрактов, (</w:t>
            </w:r>
            <w:r w:rsidRPr="00561643">
              <w:rPr>
                <w:rFonts w:ascii="Times New Roman" w:hAnsi="Times New Roman"/>
                <w:sz w:val="20"/>
                <w:szCs w:val="20"/>
                <w:u w:val="single"/>
              </w:rPr>
              <w:t>тыс. руб.</w:t>
            </w:r>
            <w:r w:rsidRPr="00643CC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408" w:rsidRPr="00643CC9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AF1EC6">
              <w:rPr>
                <w:rFonts w:ascii="Times New Roman" w:hAnsi="Times New Roman"/>
                <w:sz w:val="20"/>
                <w:szCs w:val="20"/>
              </w:rPr>
              <w:t>роцент экономии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408" w:rsidRPr="00643CC9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Среднее кол-во участников</w:t>
            </w:r>
          </w:p>
        </w:tc>
      </w:tr>
      <w:tr w:rsidR="00A55408" w:rsidRPr="00643CC9" w:rsidTr="00CF496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408" w:rsidRPr="00643CC9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3CC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408" w:rsidRPr="00643CC9" w:rsidRDefault="00A55408" w:rsidP="00CF49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3CC9">
              <w:rPr>
                <w:rFonts w:ascii="Times New Roman" w:hAnsi="Times New Roman"/>
                <w:sz w:val="20"/>
                <w:szCs w:val="20"/>
              </w:rPr>
              <w:t>Электронный аукцион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5 080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12 945 582,21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11 758 068,97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19,90%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3,70</w:t>
            </w:r>
          </w:p>
        </w:tc>
      </w:tr>
      <w:tr w:rsidR="00A55408" w:rsidRPr="00643CC9" w:rsidTr="00CF496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408" w:rsidRPr="00643CC9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3CC9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408" w:rsidRPr="00643CC9" w:rsidRDefault="00A55408" w:rsidP="00CF496B">
            <w:pPr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3CC9">
              <w:rPr>
                <w:rFonts w:ascii="Times New Roman" w:hAnsi="Times New Roman"/>
                <w:sz w:val="20"/>
                <w:szCs w:val="20"/>
              </w:rPr>
              <w:t>Запрос котировок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0,00%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55408" w:rsidRPr="00643CC9" w:rsidTr="00CF496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408" w:rsidRPr="00643CC9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3CC9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408" w:rsidRPr="00643CC9" w:rsidRDefault="00A55408" w:rsidP="00CF49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3CC9">
              <w:rPr>
                <w:rFonts w:ascii="Times New Roman" w:hAnsi="Times New Roman"/>
                <w:sz w:val="20"/>
                <w:szCs w:val="20"/>
              </w:rPr>
              <w:t>Открытый конкурс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0,00%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55408" w:rsidRPr="00643CC9" w:rsidTr="00CF496B">
        <w:trPr>
          <w:trHeight w:val="41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408" w:rsidRPr="00643CC9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3CC9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408" w:rsidRPr="00643CC9" w:rsidRDefault="00A55408" w:rsidP="00CF49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3CC9">
              <w:rPr>
                <w:rFonts w:ascii="Times New Roman" w:hAnsi="Times New Roman"/>
                <w:sz w:val="20"/>
                <w:szCs w:val="20"/>
              </w:rPr>
              <w:t>Запрос предложений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0,00%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55408" w:rsidRPr="00643CC9" w:rsidTr="00CF496B">
        <w:trPr>
          <w:trHeight w:val="41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408" w:rsidRPr="00643CC9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408" w:rsidRPr="00643CC9" w:rsidRDefault="00A55408" w:rsidP="00CF49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Закрытый аукцион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0,00%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55408" w:rsidRPr="00643CC9" w:rsidTr="00CF496B">
        <w:trPr>
          <w:trHeight w:val="41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408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408" w:rsidRDefault="00A55408" w:rsidP="00CF49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Открытый конкурс в электронной форме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8 187 642,36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8 067 278,05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1,35%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1,29</w:t>
            </w:r>
          </w:p>
        </w:tc>
      </w:tr>
      <w:tr w:rsidR="00A55408" w:rsidRPr="00C42C3E" w:rsidTr="00CF496B">
        <w:trPr>
          <w:trHeight w:val="41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408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408" w:rsidRDefault="00A55408" w:rsidP="00CF49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Единственный поставщик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408" w:rsidRPr="00BB4CEE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11 371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408" w:rsidRPr="00BB4CEE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B4CE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3 961 193,91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3 961 193,91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0,00%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55408" w:rsidRPr="00C42C3E" w:rsidTr="00CF496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408" w:rsidRPr="00643CC9" w:rsidRDefault="00A55408" w:rsidP="00CF49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408" w:rsidRPr="00643CC9" w:rsidRDefault="00A55408" w:rsidP="00CF49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3CC9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16 501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408" w:rsidRPr="00BB4CEE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B4CE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25 094 418,48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23 168 590,32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17,19%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408" w:rsidRPr="00AC4C71" w:rsidRDefault="00A55408" w:rsidP="00CF496B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C4C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4,40</w:t>
            </w:r>
          </w:p>
        </w:tc>
      </w:tr>
      <w:tr w:rsidR="00A55408" w:rsidRPr="00C42C3E" w:rsidTr="00CF496B">
        <w:trPr>
          <w:trHeight w:val="225"/>
        </w:trPr>
        <w:tc>
          <w:tcPr>
            <w:tcW w:w="1020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408" w:rsidRPr="000218CD" w:rsidRDefault="00A55408" w:rsidP="00CF496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18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2019 год</w:t>
            </w:r>
          </w:p>
        </w:tc>
      </w:tr>
      <w:tr w:rsidR="00A55408" w:rsidRPr="00C42C3E" w:rsidTr="00CF496B">
        <w:trPr>
          <w:trHeight w:val="59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408" w:rsidRPr="000218CD" w:rsidRDefault="00A55408" w:rsidP="00CF496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408" w:rsidRPr="000218CD" w:rsidRDefault="00A55408" w:rsidP="00CF496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56F7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408" w:rsidRPr="000218CD" w:rsidRDefault="00A55408" w:rsidP="00CF496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56F7">
              <w:rPr>
                <w:rFonts w:ascii="Times New Roman" w:hAnsi="Times New Roman"/>
                <w:sz w:val="20"/>
                <w:szCs w:val="20"/>
              </w:rPr>
              <w:t>16246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408" w:rsidRPr="000218CD" w:rsidRDefault="00A55408" w:rsidP="00CF496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56F7"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408" w:rsidRPr="004456F7" w:rsidRDefault="00A55408" w:rsidP="00CF496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456F7">
              <w:rPr>
                <w:rFonts w:ascii="Times New Roman" w:hAnsi="Times New Roman"/>
                <w:sz w:val="20"/>
                <w:szCs w:val="20"/>
              </w:rPr>
              <w:t>91 793 621,96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408" w:rsidRPr="004456F7" w:rsidRDefault="00A55408" w:rsidP="00CF496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456F7">
              <w:rPr>
                <w:rFonts w:ascii="Times New Roman" w:hAnsi="Times New Roman"/>
                <w:sz w:val="20"/>
                <w:szCs w:val="20"/>
              </w:rPr>
              <w:t>90 659 184,31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408" w:rsidRPr="004456F7" w:rsidRDefault="00A55408" w:rsidP="00CF496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456F7">
              <w:rPr>
                <w:rFonts w:ascii="Times New Roman" w:hAnsi="Times New Roman"/>
                <w:sz w:val="20"/>
                <w:szCs w:val="20"/>
              </w:rPr>
              <w:t>12,76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408" w:rsidRPr="004456F7" w:rsidRDefault="00A55408" w:rsidP="00CF496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456F7">
              <w:rPr>
                <w:rFonts w:ascii="Times New Roman" w:hAnsi="Times New Roman"/>
                <w:sz w:val="20"/>
                <w:szCs w:val="20"/>
              </w:rPr>
              <w:t>2,42</w:t>
            </w:r>
          </w:p>
        </w:tc>
      </w:tr>
      <w:tr w:rsidR="00A55408" w:rsidRPr="00C42C3E" w:rsidTr="00CF496B">
        <w:trPr>
          <w:trHeight w:val="553"/>
        </w:trPr>
        <w:tc>
          <w:tcPr>
            <w:tcW w:w="1020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408" w:rsidRPr="000218CD" w:rsidRDefault="00A55408" w:rsidP="00CF49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218CD">
              <w:rPr>
                <w:rFonts w:ascii="Times New Roman" w:hAnsi="Times New Roman"/>
                <w:b/>
                <w:sz w:val="20"/>
                <w:szCs w:val="20"/>
              </w:rPr>
              <w:t>2018 год</w:t>
            </w:r>
          </w:p>
        </w:tc>
      </w:tr>
      <w:tr w:rsidR="00A55408" w:rsidRPr="00C42C3E" w:rsidTr="00CF496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408" w:rsidRPr="000218CD" w:rsidRDefault="00A55408" w:rsidP="00CF496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408" w:rsidRPr="004456F7" w:rsidRDefault="00A55408" w:rsidP="00CF496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456F7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408" w:rsidRPr="004456F7" w:rsidRDefault="00A55408" w:rsidP="00CF496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19 532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408" w:rsidRPr="004456F7" w:rsidRDefault="00A55408" w:rsidP="00CF496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456F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22 452 456,30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408" w:rsidRPr="004456F7" w:rsidRDefault="00A55408" w:rsidP="00CF496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456F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20 955 592,59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408" w:rsidRPr="004456F7" w:rsidRDefault="00A55408" w:rsidP="00CF496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456F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13,07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408" w:rsidRPr="004456F7" w:rsidRDefault="00A55408" w:rsidP="00CF496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456F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408" w:rsidRPr="004456F7" w:rsidRDefault="00A55408" w:rsidP="00CF496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55408" w:rsidRPr="004456F7" w:rsidRDefault="00A55408" w:rsidP="00A5540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A55408" w:rsidRPr="004456F7" w:rsidRDefault="00A55408" w:rsidP="00A5540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A55408" w:rsidRDefault="00A55408" w:rsidP="00A5540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8148BA">
        <w:rPr>
          <w:rFonts w:ascii="Times New Roman" w:hAnsi="Times New Roman"/>
          <w:bCs/>
          <w:sz w:val="24"/>
          <w:szCs w:val="24"/>
        </w:rPr>
        <w:lastRenderedPageBreak/>
        <w:t xml:space="preserve">Использование конкурентных способов определения </w:t>
      </w:r>
      <w:r w:rsidRPr="008148BA">
        <w:rPr>
          <w:rFonts w:ascii="Times New Roman" w:hAnsi="Times New Roman"/>
          <w:sz w:val="24"/>
          <w:szCs w:val="24"/>
        </w:rPr>
        <w:t>поставщика (подрядчика, исполнителя) распределилось следующим образом:</w:t>
      </w:r>
    </w:p>
    <w:p w:rsidR="00A55408" w:rsidRDefault="00A55408" w:rsidP="00A55408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55408" w:rsidRDefault="00A55408" w:rsidP="00A55408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6512E">
        <w:rPr>
          <w:rFonts w:ascii="Times New Roman" w:hAnsi="Times New Roman"/>
          <w:b/>
          <w:sz w:val="24"/>
          <w:szCs w:val="24"/>
        </w:rPr>
        <w:t>Распределение закупок по Заказчикам ФКУ «ЦОКР»</w:t>
      </w:r>
    </w:p>
    <w:p w:rsidR="00A55408" w:rsidRPr="00A6512E" w:rsidRDefault="00A55408" w:rsidP="00A55408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76E04">
        <w:rPr>
          <w:noProof/>
          <w:lang w:eastAsia="ru-RU"/>
        </w:rPr>
        <w:drawing>
          <wp:inline distT="0" distB="0" distL="0" distR="0" wp14:anchorId="1A5456C2" wp14:editId="309102AE">
            <wp:extent cx="6154420" cy="4176395"/>
            <wp:effectExtent l="0" t="0" r="17780" b="14605"/>
            <wp:docPr id="29" name="Диаграмма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55408" w:rsidRDefault="00A55408" w:rsidP="00A55408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148BA">
        <w:rPr>
          <w:rFonts w:ascii="Times New Roman" w:hAnsi="Times New Roman"/>
          <w:b/>
          <w:sz w:val="24"/>
          <w:szCs w:val="24"/>
        </w:rPr>
        <w:t xml:space="preserve">Распределение НМЦК по способу размещения закупок </w:t>
      </w:r>
    </w:p>
    <w:p w:rsidR="00A55408" w:rsidRDefault="00A55408" w:rsidP="00A55408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76E04">
        <w:rPr>
          <w:noProof/>
          <w:lang w:eastAsia="ru-RU"/>
        </w:rPr>
        <w:drawing>
          <wp:inline distT="0" distB="0" distL="0" distR="0" wp14:anchorId="46209B83" wp14:editId="6BFAC34F">
            <wp:extent cx="6154420" cy="3057525"/>
            <wp:effectExtent l="0" t="0" r="17780" b="9525"/>
            <wp:docPr id="28" name="Диаграмма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55408" w:rsidRDefault="00A55408" w:rsidP="00A55408">
      <w:pPr>
        <w:jc w:val="both"/>
        <w:rPr>
          <w:rFonts w:ascii="Times New Roman" w:hAnsi="Times New Roman"/>
          <w:sz w:val="24"/>
          <w:szCs w:val="24"/>
        </w:rPr>
      </w:pPr>
    </w:p>
    <w:p w:rsidR="00A55408" w:rsidRDefault="00A55408" w:rsidP="00A55408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55408" w:rsidRDefault="00A55408" w:rsidP="00A55408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55408" w:rsidRDefault="00A55408" w:rsidP="00A55408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55408" w:rsidRDefault="00A55408" w:rsidP="00A55408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148BA">
        <w:rPr>
          <w:rFonts w:ascii="Times New Roman" w:hAnsi="Times New Roman"/>
          <w:b/>
          <w:sz w:val="24"/>
          <w:szCs w:val="24"/>
        </w:rPr>
        <w:t>Распределение сумм заключ</w:t>
      </w:r>
      <w:r>
        <w:rPr>
          <w:rFonts w:ascii="Times New Roman" w:hAnsi="Times New Roman"/>
          <w:b/>
          <w:sz w:val="24"/>
          <w:szCs w:val="24"/>
        </w:rPr>
        <w:t>енных Государственных контрактов</w:t>
      </w:r>
    </w:p>
    <w:p w:rsidR="00A55408" w:rsidRDefault="00A55408" w:rsidP="00A5540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476E04">
        <w:rPr>
          <w:noProof/>
          <w:lang w:eastAsia="ru-RU"/>
        </w:rPr>
        <w:drawing>
          <wp:inline distT="0" distB="0" distL="0" distR="0" wp14:anchorId="0E239BEC" wp14:editId="072167B5">
            <wp:extent cx="5090795" cy="3607435"/>
            <wp:effectExtent l="0" t="0" r="14605" b="12065"/>
            <wp:docPr id="27" name="Диаграмма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55408" w:rsidRPr="0013054C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3054C">
        <w:rPr>
          <w:rFonts w:ascii="Times New Roman" w:hAnsi="Times New Roman"/>
          <w:sz w:val="24"/>
          <w:szCs w:val="24"/>
        </w:rPr>
        <w:tab/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В 2020 году ФКУ "ЦОКР" заключено </w:t>
      </w:r>
      <w:r w:rsidRPr="00C43955">
        <w:rPr>
          <w:rFonts w:ascii="Times New Roman" w:hAnsi="Times New Roman"/>
          <w:bCs/>
          <w:color w:val="000000"/>
          <w:sz w:val="28"/>
          <w:szCs w:val="28"/>
        </w:rPr>
        <w:t>16 501</w:t>
      </w:r>
      <w:r w:rsidRPr="00C43955">
        <w:rPr>
          <w:rFonts w:ascii="Times New Roman" w:hAnsi="Times New Roman"/>
          <w:sz w:val="28"/>
          <w:szCs w:val="28"/>
        </w:rPr>
        <w:t xml:space="preserve"> государственный контракт, наиболее крупными из них являются контракты: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1. а оказание услуг, поставку товара в целях предупреждения чрезвычайной ситуации (COVID-19) при условиях, где применение конкурентных способов определения поставщика (подрядчика, исполнителя) требующих длительных затрат времени нецелесообразно на общую сумму 60 525 861,23 руб., предметами контрактов являлись: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- оказание медицинских услуг по предотвращению распространения коронавирусной инфекции (COVID-19).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- оказание услуг по проведению бесконтактной термометрии, 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- оказание услуг по проведению комплексной дезинфекционной противовирусной обработки,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- поставка (приобретение) товаров хозяйственно-бытового назначения (поставка моющих средств, респираторов, средств для дезинфекции и кожного антисептика, автоматических (сенсорных) диспенсеров, облучателей-рециркуляторов воздуха ультрофиолетовых бактериацидных, медицинских масок, перчаток латексных, ноутбуков.</w:t>
      </w:r>
    </w:p>
    <w:p w:rsidR="00A55408" w:rsidRPr="00C43955" w:rsidRDefault="00A55408" w:rsidP="00A5540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2.  на развития Единой облачной инфраструктуры Федерального казначейства:</w:t>
      </w:r>
    </w:p>
    <w:p w:rsidR="00A55408" w:rsidRPr="00C43955" w:rsidRDefault="00A55408" w:rsidP="00A5540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на поставку товаров (включая их установку и настройку) на 2020-2022 года на общую сумму 4 000 592 261,45 руб.: </w:t>
      </w:r>
    </w:p>
    <w:p w:rsidR="00A55408" w:rsidRPr="00C43955" w:rsidRDefault="00A55408" w:rsidP="00A5540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lastRenderedPageBreak/>
        <w:t>- на оказание услуг по обеспечению эксплуатации единой облачной инфраструктуры и резерва портальных решений Федерального казначейства и обеспечению функционирования тестовых интеграционных стендов портальных решений в 2021-2022 годах на сумму 561 180 000,00 руб.</w:t>
      </w:r>
    </w:p>
    <w:p w:rsidR="00A55408" w:rsidRPr="00C43955" w:rsidRDefault="00A55408" w:rsidP="00A5540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3. по развитию, сопровождению, обеспечению эксплуатации государственных информационных систем: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sz w:val="28"/>
          <w:szCs w:val="28"/>
        </w:rPr>
      </w:pPr>
      <w:bookmarkStart w:id="0" w:name="OLE_LINK1"/>
      <w:bookmarkStart w:id="1" w:name="OLE_LINK2"/>
      <w:r w:rsidRPr="00C43955">
        <w:rPr>
          <w:rFonts w:ascii="Times New Roman" w:hAnsi="Times New Roman"/>
          <w:sz w:val="28"/>
          <w:szCs w:val="28"/>
        </w:rPr>
        <w:t xml:space="preserve">- Единой информационной системы в сфере закупок </w:t>
      </w:r>
      <w:bookmarkEnd w:id="0"/>
      <w:bookmarkEnd w:id="1"/>
      <w:r w:rsidRPr="00C43955">
        <w:rPr>
          <w:rFonts w:ascii="Times New Roman" w:hAnsi="Times New Roman"/>
          <w:sz w:val="28"/>
          <w:szCs w:val="28"/>
        </w:rPr>
        <w:t>на 2020-2022 года на сумму 3 885 224 795,47 руб.;</w:t>
      </w:r>
    </w:p>
    <w:p w:rsidR="00A55408" w:rsidRPr="00C43955" w:rsidRDefault="00A55408" w:rsidP="00A5540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- государственной информационной системы «Официальный сайт Российской Федерации в информационно-телекоммуникационной сети Интернет для размещения информации о государственных (муниципальных) учреждениях» на 2020-2021 годы на сумму 140 990 000,00 руб.;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государственной интегрированной информационной системы управления общественными финансами «Электронный бюджет» на 2020-2022 годы на сумму  2 569 947 775,83 руб., в том числе поставка товаров (включая их установку и настройку) в целях развития (197 088 775,83 руб.);</w:t>
      </w:r>
    </w:p>
    <w:p w:rsidR="00A55408" w:rsidRPr="00C43955" w:rsidRDefault="00A55408" w:rsidP="00A5540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государственной информационной системы «Независимый регистратор» на 2020-2022 годы на сумму 327 150 943,64 руб.;</w:t>
      </w:r>
    </w:p>
    <w:p w:rsidR="00A55408" w:rsidRPr="00C43955" w:rsidRDefault="00A55408" w:rsidP="00A5540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государственной автоматизированной информационной системы «Управление» на сумму 538 502 212,93 руб.</w:t>
      </w:r>
    </w:p>
    <w:p w:rsidR="00A55408" w:rsidRPr="00C43955" w:rsidRDefault="00A55408" w:rsidP="00A5540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4. по развитию, сопровождению, обеспечению эксплуатации следующих ведомственных информационных систем на общую сумму 684 508 500,00 руб.: </w:t>
      </w:r>
    </w:p>
    <w:p w:rsidR="00A55408" w:rsidRPr="00C43955" w:rsidRDefault="00A55408" w:rsidP="00A5540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- системы комплексного информационно-аналитического обеспечения деятельности органов Федерального казначейства» на 2020 и 2021 годы</w:t>
      </w:r>
    </w:p>
    <w:p w:rsidR="00A55408" w:rsidRPr="00C43955" w:rsidRDefault="00A55408" w:rsidP="00A5540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-  информационной системы «Удостоверяющий центр Федерального казначейства» на 2020 и 2021 годы </w:t>
      </w:r>
    </w:p>
    <w:p w:rsidR="00A55408" w:rsidRPr="00C43955" w:rsidRDefault="00A55408" w:rsidP="00A5540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- информационной системы «Автоматизированная система Федерального казначейства»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- информационной системы «АКСИОК.Net»;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- автоматизированной системы документооборота Федерального казначейств, внутриведомственных систем бюджетного учета;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 - информационной системы «Управление ликвидностью единого счета федерального бюджета»;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- информационной системы «Кассовое обслуживание бюджетов РФ», 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- информационной системы «Управление ликвидностью единого счета федерального бюджета»;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- информационной системы «Центр-КС».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- заключены государственные контракты на Поставку (приобретение) рабочих станций (основных средств) для нужд территориальных органов Федерального казначейства в 2020 году на общую сумму 142 521 647,19 руб.;</w:t>
      </w:r>
    </w:p>
    <w:p w:rsidR="00A55408" w:rsidRPr="00C43955" w:rsidRDefault="00A55408" w:rsidP="00A5540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5. централизованные контракты: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- оказание услуг по организации и проведению медицинских осмотров водителей автомобилей» на 2021 год на сумму 21 312 642,00.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- поставка горюче-смазочных материалов (топлива) с использованием системы топливных карт на 2021-2022 годы на сумму 135 149 859,90 руб.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lastRenderedPageBreak/>
        <w:t>- оказание услуг по обязательному страхованию гражданской ответственности владельцев транспортных средств на 2021 год на сумму 3 016 074,49 руб.</w:t>
      </w:r>
    </w:p>
    <w:p w:rsidR="00A55408" w:rsidRPr="00C43955" w:rsidRDefault="00A55408" w:rsidP="00A5540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 xml:space="preserve">- оказание автотранспортных услуг по перевозке, в том числе автобусами и микроавтобусами, сотрудников центрального аппарата и территориальных органов Федерального казначейства, распложенных на территории г. Москвы и Московской области и грузов на 2021-2022 годы на сумму </w:t>
      </w:r>
      <w:r w:rsidRPr="00C43955">
        <w:rPr>
          <w:rFonts w:ascii="Times New Roman" w:hAnsi="Times New Roman"/>
          <w:bCs/>
          <w:sz w:val="28"/>
          <w:szCs w:val="28"/>
        </w:rPr>
        <w:t>225 284 026,21</w:t>
      </w:r>
      <w:r w:rsidRPr="00C43955">
        <w:rPr>
          <w:rFonts w:ascii="Times New Roman" w:hAnsi="Times New Roman"/>
          <w:sz w:val="28"/>
          <w:szCs w:val="28"/>
        </w:rPr>
        <w:t xml:space="preserve"> руб.;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955">
        <w:rPr>
          <w:rFonts w:ascii="Times New Roman" w:hAnsi="Times New Roman"/>
          <w:sz w:val="28"/>
          <w:szCs w:val="28"/>
        </w:rPr>
        <w:t>6. на поставку товара, включая установку (монтаж и наладка), оказание услуг по разработке по разработке проектной документации и научно-проектной документации, выполнение работ по восстановлению эксплуатационной способности, на выполнение работ по приспособлению и сохранению объекта культурного наследия регионального значения «Большая Сибирская гостиница» Н.Д. Стахеева, 1900 г., архитектор М.Ф. Бугровский. Здесь в 1926 году жил писатель А.П. Платонов», расположенный по адресу: г. Москва Б. Златоустинский пер., д. 6, с. 1 на общую сумму 45 837 422,07 руб..</w:t>
      </w: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5408" w:rsidRPr="00C43955" w:rsidRDefault="00A55408" w:rsidP="00A5540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43955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C43955">
        <w:rPr>
          <w:rFonts w:ascii="Times New Roman" w:hAnsi="Times New Roman"/>
          <w:b/>
          <w:sz w:val="28"/>
          <w:szCs w:val="28"/>
        </w:rPr>
        <w:t>. Жалобы на действия ФКУ «ЦОКР» в отношении закупок</w:t>
      </w:r>
      <w:r w:rsidRPr="00C43955">
        <w:rPr>
          <w:rFonts w:ascii="Times New Roman" w:hAnsi="Times New Roman"/>
          <w:sz w:val="28"/>
          <w:szCs w:val="28"/>
        </w:rPr>
        <w:t xml:space="preserve"> </w:t>
      </w:r>
      <w:r w:rsidRPr="00C43955">
        <w:rPr>
          <w:rFonts w:ascii="Times New Roman" w:hAnsi="Times New Roman"/>
          <w:b/>
          <w:sz w:val="28"/>
          <w:szCs w:val="28"/>
        </w:rPr>
        <w:t>в 2020 году.</w:t>
      </w:r>
    </w:p>
    <w:p w:rsidR="00A55408" w:rsidRPr="00C43955" w:rsidRDefault="00A55408" w:rsidP="00A5540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55408" w:rsidRPr="00C43955" w:rsidRDefault="00A55408" w:rsidP="00A55408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439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Федеральным законом от 05.04.2013 № 44-ФЗ «</w:t>
      </w:r>
      <w:r w:rsidRPr="00C43955">
        <w:rPr>
          <w:rFonts w:ascii="Times New Roman" w:hAnsi="Times New Roman"/>
          <w:sz w:val="28"/>
          <w:szCs w:val="28"/>
          <w:lang w:eastAsia="ru-RU"/>
        </w:rPr>
        <w:t xml:space="preserve">О контрактной системе в сфере закупок товаров, работ, услуг для обеспечения государственных </w:t>
      </w:r>
      <w:r w:rsidRPr="00C43955">
        <w:rPr>
          <w:rFonts w:ascii="Times New Roman" w:hAnsi="Times New Roman"/>
          <w:sz w:val="28"/>
          <w:szCs w:val="28"/>
          <w:lang w:eastAsia="ru-RU"/>
        </w:rPr>
        <w:br/>
        <w:t>и муниципальных нужд</w:t>
      </w:r>
      <w:r w:rsidRPr="00C439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у участника закупки есть право подать жалобу на действия заказчика, уполномоченного органа, конкурсной, аукционной, котировочной комиссии, комиссии по запросу предложений.</w:t>
      </w:r>
    </w:p>
    <w:p w:rsidR="00A55408" w:rsidRPr="00561643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6"/>
        <w:gridCol w:w="4253"/>
        <w:gridCol w:w="4677"/>
      </w:tblGrid>
      <w:tr w:rsidR="00A55408" w:rsidRPr="00561643" w:rsidTr="00CF496B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408" w:rsidRPr="00561643" w:rsidRDefault="00A55408" w:rsidP="00CF496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408" w:rsidRPr="00561643" w:rsidRDefault="00A55408" w:rsidP="00CF496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Общее количество </w:t>
            </w:r>
          </w:p>
          <w:p w:rsidR="00A55408" w:rsidRPr="00561643" w:rsidRDefault="00A55408" w:rsidP="00CF496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643">
              <w:rPr>
                <w:rFonts w:ascii="Times New Roman" w:hAnsi="Times New Roman"/>
                <w:color w:val="000000"/>
                <w:sz w:val="24"/>
                <w:szCs w:val="24"/>
              </w:rPr>
              <w:t>жалоб ФАС России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408" w:rsidRPr="00561643" w:rsidRDefault="00A55408" w:rsidP="00CF496B">
            <w:pPr>
              <w:spacing w:after="0" w:line="240" w:lineRule="auto"/>
              <w:ind w:firstLine="709"/>
              <w:jc w:val="center"/>
              <w:rPr>
                <w:sz w:val="24"/>
                <w:szCs w:val="24"/>
              </w:rPr>
            </w:pPr>
            <w:r w:rsidRPr="00561643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необоснованных жалоб</w:t>
            </w:r>
          </w:p>
        </w:tc>
      </w:tr>
      <w:tr w:rsidR="00A55408" w:rsidRPr="00561643" w:rsidTr="00CF496B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408" w:rsidRPr="00561643" w:rsidRDefault="00A55408" w:rsidP="00CF496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408" w:rsidRPr="00561643" w:rsidRDefault="00A55408" w:rsidP="00CF496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408" w:rsidRPr="00561643" w:rsidRDefault="00A55408" w:rsidP="00CF496B">
            <w:pPr>
              <w:spacing w:after="0" w:line="240" w:lineRule="auto"/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A55408" w:rsidRPr="00561643" w:rsidTr="00CF496B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408" w:rsidRPr="00561643" w:rsidRDefault="00A55408" w:rsidP="00CF496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408" w:rsidRPr="00561643" w:rsidRDefault="00A55408" w:rsidP="00CF496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408" w:rsidRPr="004456F7" w:rsidRDefault="00A55408" w:rsidP="00CF496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56F7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</w:tr>
      <w:tr w:rsidR="00A55408" w:rsidRPr="00561643" w:rsidTr="00CF496B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408" w:rsidRPr="004456F7" w:rsidRDefault="00A55408" w:rsidP="00CF496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56F7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408" w:rsidRPr="004456F7" w:rsidRDefault="00A55408" w:rsidP="00CF496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56F7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408" w:rsidRPr="004456F7" w:rsidRDefault="00A55408" w:rsidP="00CF496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56F7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</w:tr>
    </w:tbl>
    <w:p w:rsidR="00A55408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5408" w:rsidRPr="00C43955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3955">
        <w:rPr>
          <w:rFonts w:ascii="Times New Roman" w:hAnsi="Times New Roman"/>
          <w:sz w:val="28"/>
          <w:szCs w:val="28"/>
          <w:lang w:eastAsia="ru-RU"/>
        </w:rPr>
        <w:t>В 2020 году количество жалоб, признанных обоснованными составило 19 жалоб, наблюдается снижение количества обоснованных жалоб относительно поданных в 2019 году (21 жалоба) и 2018 году (23 жалобы).</w:t>
      </w:r>
    </w:p>
    <w:p w:rsidR="00A55408" w:rsidRDefault="00A55408" w:rsidP="00A554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  <w:sectPr w:rsidR="00A55408" w:rsidSect="00997110">
          <w:pgSz w:w="11906" w:h="16838"/>
          <w:pgMar w:top="709" w:right="567" w:bottom="1134" w:left="993" w:header="709" w:footer="720" w:gutter="0"/>
          <w:cols w:space="720"/>
          <w:titlePg/>
          <w:docGrid w:linePitch="360"/>
        </w:sectPr>
      </w:pPr>
    </w:p>
    <w:tbl>
      <w:tblPr>
        <w:tblW w:w="13084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824"/>
        <w:gridCol w:w="1262"/>
        <w:gridCol w:w="1326"/>
        <w:gridCol w:w="1093"/>
        <w:gridCol w:w="1262"/>
        <w:gridCol w:w="612"/>
        <w:gridCol w:w="850"/>
        <w:gridCol w:w="620"/>
        <w:gridCol w:w="709"/>
        <w:gridCol w:w="1275"/>
        <w:gridCol w:w="1380"/>
        <w:gridCol w:w="1020"/>
      </w:tblGrid>
      <w:tr w:rsidR="00A55408" w:rsidRPr="00447E11" w:rsidTr="00A55408">
        <w:trPr>
          <w:trHeight w:val="300"/>
          <w:jc w:val="center"/>
        </w:trPr>
        <w:tc>
          <w:tcPr>
            <w:tcW w:w="130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bookmarkStart w:id="2" w:name="RANGE!A1:M23"/>
            <w:r w:rsidRPr="00447E11">
              <w:rPr>
                <w:rFonts w:eastAsia="Times New Roman"/>
                <w:b/>
                <w:bCs/>
                <w:color w:val="000000"/>
                <w:lang w:eastAsia="ru-RU"/>
              </w:rPr>
              <w:lastRenderedPageBreak/>
              <w:t>Сведения об исполнении принятых на учет бюджетных обязательств на 2020 год</w:t>
            </w:r>
            <w:bookmarkEnd w:id="2"/>
          </w:p>
        </w:tc>
      </w:tr>
      <w:tr w:rsidR="00A55408" w:rsidRPr="00447E11" w:rsidTr="00A55408">
        <w:trPr>
          <w:trHeight w:val="16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408" w:rsidRPr="00447E11" w:rsidRDefault="00A55408" w:rsidP="00CF496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47E11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47E11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447E11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447E11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447E11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447E11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447E11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447E11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447E11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447E11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447E11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447E11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447E11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  <w:tr w:rsidR="00A55408" w:rsidRPr="00447E11" w:rsidTr="00A55408">
        <w:trPr>
          <w:trHeight w:val="94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КБК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вид расходов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ЛБО на 2020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Законтрактовано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контрактации ЛБО 2020 года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Кассовый расход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исполнения сметы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Незаконтрактовано, руб</w:t>
            </w: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</w:r>
            <w:r w:rsidRPr="00447E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(ВОЗВРАТ В БЮДЖЕТ)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Неоплаченные БО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Запрошена кредиторка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Неоплаченные БО и незапрошена кредиторка</w:t>
            </w: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</w:r>
            <w:r w:rsidRPr="00447E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(ВОЗВРАТ В БЮДЖЕТ)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ИТОГО ВОЗВРАТ В БЮДЖЕТ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исполнения сметы (с учетом  кредиторки)</w:t>
            </w:r>
          </w:p>
        </w:tc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5=4/3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7=6/3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8=3-6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9=4-6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11=9-10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12=8+11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447E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13=(6+10)/3</w:t>
            </w:r>
          </w:p>
        </w:tc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0106.3920590019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242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13 951 988 531,75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13 950 066 330,82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99,99%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13 594 866 780,89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97,44%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1 922 200,93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355 199 549,93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351 328 129,49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3 871 420,44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5 793 621,37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99,96%</w:t>
            </w:r>
          </w:p>
        </w:tc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0106.3920590059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242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93 490 918,02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93 339 303,03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99,84%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92 385 085,68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98,82%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151 614,99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954 217,35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611 370,51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342 846,84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494 461,83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99,47%</w:t>
            </w:r>
          </w:p>
        </w:tc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0106.9970092041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242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17 900,00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17 900,00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17 900,00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100,00%</w:t>
            </w:r>
          </w:p>
        </w:tc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0106.3920392013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242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476 896 242,11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476 887 524,55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476 885 254,16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8 717,56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2 270,39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2 270,39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10 987,95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100,00%</w:t>
            </w:r>
          </w:p>
        </w:tc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0410.234D687400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242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303 399 300,00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303 399 230,02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303 399 230,02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69,98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69,98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100,00%</w:t>
            </w:r>
          </w:p>
        </w:tc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Итого 242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14 825 792 891,88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14 823 710 288,42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99,99%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14 467 554 250,75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97,58%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2 082 603,46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356 156 037,67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351 939 500,00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4 216 537,67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6 299 141,13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99,96%</w:t>
            </w:r>
          </w:p>
        </w:tc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0106.3920390019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243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439 361 069,48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435 755 951,20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99,18%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269 521 368,49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61,34%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3 605 118,28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166 234 582,71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149 642 000,00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16 592 582,71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20 197 700,99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95,40%</w:t>
            </w:r>
          </w:p>
        </w:tc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0106.3920390059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243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184 836 000,00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184 698 922,53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99,93%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183 336 149,32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99,19%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137 077,47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1 362 773,21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1 264 773,21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1 401 850,68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99,24%</w:t>
            </w:r>
          </w:p>
        </w:tc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Итого 243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624 197 069,48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620 454 873,73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99,40%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452 857 517,81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72,55%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3 742 195,75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167 597 355,92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149 740 000,00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17 857 355,92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21 599 551,67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96,54%</w:t>
            </w:r>
          </w:p>
        </w:tc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0106.3920390019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3 381 743 553,98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3 376 823 115,58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99,85%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3 165 666 976,11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93,61%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4 920 438,40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211 156 139,47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92 810 665,93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118 345 473,54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123 265 911,94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96,35%</w:t>
            </w:r>
          </w:p>
        </w:tc>
        <w:bookmarkStart w:id="3" w:name="_GoBack"/>
        <w:bookmarkEnd w:id="3"/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0106.3920390059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830 734 590,54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826 088 659,60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99,44%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718 075 996,26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86,44%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4 645 930,94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108 012 663,34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68 673 734,07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39 338 929,27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43 984 860,21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94,71%</w:t>
            </w:r>
          </w:p>
        </w:tc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0106.9970092041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6 859 900,00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6 851 377,80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99,88%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6 851 377,80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99,88%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8 522,20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8 522,20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99,88%</w:t>
            </w:r>
          </w:p>
        </w:tc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0705.3920390019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2 472 000,00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2 310 165,56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93,45%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2 300 777,56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93,07%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161 834,44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9 388,00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8 800,00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588,00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162 422,44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93,43%</w:t>
            </w:r>
          </w:p>
        </w:tc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0705.3920390059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1 751 300,00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1 693 624,45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96,71%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1 689 374,45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96,46%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57 675,55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4 250,00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4 250,00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61 925,55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96,46%</w:t>
            </w:r>
          </w:p>
        </w:tc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0705.3920392040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1 556 100,00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1 549 260,00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99,56%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1 549 260,00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99,56%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6 840,00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6 840,00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99,56%</w:t>
            </w:r>
          </w:p>
        </w:tc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0113.15Ж059203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2 579 100,00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2 572 893,17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99,76%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2 572 893,17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99,76%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6 206,83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6 206,83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99,76%</w:t>
            </w:r>
          </w:p>
        </w:tc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0113.3950492032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609 500,00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608 263,33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99,80%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608 263,33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99,80%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1 236,67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1 236,67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sz w:val="14"/>
                <w:szCs w:val="14"/>
                <w:lang w:eastAsia="ru-RU"/>
              </w:rPr>
              <w:t>99,80%</w:t>
            </w:r>
          </w:p>
        </w:tc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Итого 244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4 228 306 044,52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4 218 497 359,49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99,77%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3 899 314 918,68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92,22%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9 808 685,03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319 182 440,81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161 493 200,00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157 689 240,81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167 497 925,84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4"/>
                <w:szCs w:val="14"/>
                <w:lang w:eastAsia="ru-RU"/>
              </w:rPr>
              <w:t>96,04%</w:t>
            </w:r>
          </w:p>
        </w:tc>
      </w:tr>
      <w:tr w:rsidR="00A55408" w:rsidRPr="00447E11" w:rsidTr="00A55408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  <w:t>19 678 296 005,88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  <w:t>19 662 662 521,64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  <w:t>99,92%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  <w:t>18 819 726 687,24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  <w:t>95,64%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  <w:t>15 633 484,24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  <w:t>842 935 834,40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  <w:t>663 172 700,00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  <w:t>179 763 134,40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  <w:t>195 396 618,64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A55408" w:rsidRPr="00447E11" w:rsidRDefault="00A55408" w:rsidP="00CF496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</w:pPr>
            <w:r w:rsidRPr="00447E11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ru-RU"/>
              </w:rPr>
              <w:t>99,01%</w:t>
            </w:r>
          </w:p>
        </w:tc>
      </w:tr>
    </w:tbl>
    <w:p w:rsidR="00717FD2" w:rsidRDefault="00717FD2" w:rsidP="00A55408"/>
    <w:sectPr w:rsidR="00717FD2" w:rsidSect="00A55408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F7503D"/>
    <w:multiLevelType w:val="hybridMultilevel"/>
    <w:tmpl w:val="E1F61B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408"/>
    <w:rsid w:val="00717FD2"/>
    <w:rsid w:val="00A5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B97837-FB0A-4462-8F15-77C9EDF5E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408"/>
    <w:pPr>
      <w:spacing w:after="200" w:line="276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4.2.2"/>
    <w:basedOn w:val="a"/>
    <w:link w:val="a4"/>
    <w:uiPriority w:val="34"/>
    <w:qFormat/>
    <w:rsid w:val="00A5540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aliases w:val="4.2.2 Знак"/>
    <w:link w:val="a3"/>
    <w:uiPriority w:val="34"/>
    <w:locked/>
    <w:rsid w:val="00A55408"/>
    <w:rPr>
      <w:rFonts w:ascii="Calibri" w:eastAsia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6194\&#1076;&#1083;&#1103;%20&#1062;&#1054;&#1050;&#1056;\&#1086;&#1090;&#1095;&#1077;&#1090;&#1099;\&#1086;&#1090;&#1095;&#1077;&#1090;%202020\&#1089;&#1074;&#1086;&#1076;%202020_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6194\&#1076;&#1083;&#1103;%20&#1062;&#1054;&#1050;&#1056;\&#1086;&#1090;&#1095;&#1077;&#1090;&#1099;\&#1086;&#1090;&#1095;&#1077;&#1090;%202020\&#1089;&#1074;&#1086;&#1076;%202020_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6194\&#1076;&#1083;&#1103;%20&#1062;&#1054;&#1050;&#1056;\&#1086;&#1090;&#1095;&#1077;&#1090;&#1099;\&#1086;&#1090;&#1095;&#1077;&#1090;%202020\&#1089;&#1074;&#1086;&#1076;%202020_.xlsx" TargetMode="External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8104746480124378E-2"/>
          <c:y val="3.5141499852831479E-2"/>
          <c:w val="0.91719182906390229"/>
          <c:h val="0.66648971552487069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Лист2!$B$3</c:f>
              <c:strCache>
                <c:ptCount val="1"/>
                <c:pt idx="0">
                  <c:v>Электронный аукцион</c:v>
                </c:pt>
              </c:strCache>
            </c:strRef>
          </c:tx>
          <c:invertIfNegative val="0"/>
          <c:cat>
            <c:strRef>
              <c:f>Лист2!$C$2:$N$2</c:f>
              <c:strCache>
                <c:ptCount val="12"/>
                <c:pt idx="0">
                  <c:v>ЦОКР</c:v>
                </c:pt>
                <c:pt idx="1">
                  <c:v>Калининград</c:v>
                </c:pt>
                <c:pt idx="2">
                  <c:v>Ставрополь</c:v>
                </c:pt>
                <c:pt idx="3">
                  <c:v>Владимир</c:v>
                </c:pt>
                <c:pt idx="4">
                  <c:v>Екатеринбург</c:v>
                </c:pt>
                <c:pt idx="5">
                  <c:v>Н.Новгород</c:v>
                </c:pt>
                <c:pt idx="6">
                  <c:v>Симферополь</c:v>
                </c:pt>
                <c:pt idx="7">
                  <c:v>Казань</c:v>
                </c:pt>
                <c:pt idx="8">
                  <c:v>Хабаровск-Владивосток</c:v>
                </c:pt>
                <c:pt idx="9">
                  <c:v>Новосибирск</c:v>
                </c:pt>
                <c:pt idx="10">
                  <c:v>Санкт-Петербург</c:v>
                </c:pt>
                <c:pt idx="11">
                  <c:v>Ростов-на-Дону</c:v>
                </c:pt>
              </c:strCache>
            </c:strRef>
          </c:cat>
          <c:val>
            <c:numRef>
              <c:f>Лист2!$C$3:$N$3</c:f>
              <c:numCache>
                <c:formatCode>#,##0.00</c:formatCode>
                <c:ptCount val="12"/>
                <c:pt idx="0">
                  <c:v>237</c:v>
                </c:pt>
                <c:pt idx="1">
                  <c:v>66</c:v>
                </c:pt>
                <c:pt idx="2">
                  <c:v>442</c:v>
                </c:pt>
                <c:pt idx="3">
                  <c:v>905</c:v>
                </c:pt>
                <c:pt idx="4">
                  <c:v>659</c:v>
                </c:pt>
                <c:pt idx="5" formatCode="General">
                  <c:v>123</c:v>
                </c:pt>
                <c:pt idx="6">
                  <c:v>46</c:v>
                </c:pt>
                <c:pt idx="7">
                  <c:v>598</c:v>
                </c:pt>
                <c:pt idx="8" formatCode="General">
                  <c:v>529</c:v>
                </c:pt>
                <c:pt idx="9" formatCode="General">
                  <c:v>579</c:v>
                </c:pt>
                <c:pt idx="10" formatCode="General">
                  <c:v>448</c:v>
                </c:pt>
                <c:pt idx="11" formatCode="General">
                  <c:v>448</c:v>
                </c:pt>
              </c:numCache>
            </c:numRef>
          </c:val>
        </c:ser>
        <c:ser>
          <c:idx val="1"/>
          <c:order val="1"/>
          <c:tx>
            <c:strRef>
              <c:f>Лист2!$B$4</c:f>
              <c:strCache>
                <c:ptCount val="1"/>
                <c:pt idx="0">
                  <c:v>Запрос котировок</c:v>
                </c:pt>
              </c:strCache>
            </c:strRef>
          </c:tx>
          <c:invertIfNegative val="0"/>
          <c:cat>
            <c:strRef>
              <c:f>Лист2!$C$2:$N$2</c:f>
              <c:strCache>
                <c:ptCount val="12"/>
                <c:pt idx="0">
                  <c:v>ЦОКР</c:v>
                </c:pt>
                <c:pt idx="1">
                  <c:v>Калининград</c:v>
                </c:pt>
                <c:pt idx="2">
                  <c:v>Ставрополь</c:v>
                </c:pt>
                <c:pt idx="3">
                  <c:v>Владимир</c:v>
                </c:pt>
                <c:pt idx="4">
                  <c:v>Екатеринбург</c:v>
                </c:pt>
                <c:pt idx="5">
                  <c:v>Н.Новгород</c:v>
                </c:pt>
                <c:pt idx="6">
                  <c:v>Симферополь</c:v>
                </c:pt>
                <c:pt idx="7">
                  <c:v>Казань</c:v>
                </c:pt>
                <c:pt idx="8">
                  <c:v>Хабаровск-Владивосток</c:v>
                </c:pt>
                <c:pt idx="9">
                  <c:v>Новосибирск</c:v>
                </c:pt>
                <c:pt idx="10">
                  <c:v>Санкт-Петербург</c:v>
                </c:pt>
                <c:pt idx="11">
                  <c:v>Ростов-на-Дону</c:v>
                </c:pt>
              </c:strCache>
            </c:strRef>
          </c:cat>
          <c:val>
            <c:numRef>
              <c:f>Лист2!$C$4:$N$4</c:f>
            </c:numRef>
          </c:val>
        </c:ser>
        <c:ser>
          <c:idx val="2"/>
          <c:order val="2"/>
          <c:tx>
            <c:strRef>
              <c:f>Лист2!$B$5</c:f>
              <c:strCache>
                <c:ptCount val="1"/>
                <c:pt idx="0">
                  <c:v>Открытый конкурс</c:v>
                </c:pt>
              </c:strCache>
            </c:strRef>
          </c:tx>
          <c:invertIfNegative val="0"/>
          <c:cat>
            <c:strRef>
              <c:f>Лист2!$C$2:$N$2</c:f>
              <c:strCache>
                <c:ptCount val="12"/>
                <c:pt idx="0">
                  <c:v>ЦОКР</c:v>
                </c:pt>
                <c:pt idx="1">
                  <c:v>Калининград</c:v>
                </c:pt>
                <c:pt idx="2">
                  <c:v>Ставрополь</c:v>
                </c:pt>
                <c:pt idx="3">
                  <c:v>Владимир</c:v>
                </c:pt>
                <c:pt idx="4">
                  <c:v>Екатеринбург</c:v>
                </c:pt>
                <c:pt idx="5">
                  <c:v>Н.Новгород</c:v>
                </c:pt>
                <c:pt idx="6">
                  <c:v>Симферополь</c:v>
                </c:pt>
                <c:pt idx="7">
                  <c:v>Казань</c:v>
                </c:pt>
                <c:pt idx="8">
                  <c:v>Хабаровск-Владивосток</c:v>
                </c:pt>
                <c:pt idx="9">
                  <c:v>Новосибирск</c:v>
                </c:pt>
                <c:pt idx="10">
                  <c:v>Санкт-Петербург</c:v>
                </c:pt>
                <c:pt idx="11">
                  <c:v>Ростов-на-Дону</c:v>
                </c:pt>
              </c:strCache>
            </c:strRef>
          </c:cat>
          <c:val>
            <c:numRef>
              <c:f>Лист2!$C$5:$N$5</c:f>
            </c:numRef>
          </c:val>
        </c:ser>
        <c:ser>
          <c:idx val="3"/>
          <c:order val="3"/>
          <c:tx>
            <c:strRef>
              <c:f>Лист2!$B$6</c:f>
              <c:strCache>
                <c:ptCount val="1"/>
                <c:pt idx="0">
                  <c:v>Запрос предложений</c:v>
                </c:pt>
              </c:strCache>
            </c:strRef>
          </c:tx>
          <c:invertIfNegative val="0"/>
          <c:cat>
            <c:strRef>
              <c:f>Лист2!$C$2:$N$2</c:f>
              <c:strCache>
                <c:ptCount val="12"/>
                <c:pt idx="0">
                  <c:v>ЦОКР</c:v>
                </c:pt>
                <c:pt idx="1">
                  <c:v>Калининград</c:v>
                </c:pt>
                <c:pt idx="2">
                  <c:v>Ставрополь</c:v>
                </c:pt>
                <c:pt idx="3">
                  <c:v>Владимир</c:v>
                </c:pt>
                <c:pt idx="4">
                  <c:v>Екатеринбург</c:v>
                </c:pt>
                <c:pt idx="5">
                  <c:v>Н.Новгород</c:v>
                </c:pt>
                <c:pt idx="6">
                  <c:v>Симферополь</c:v>
                </c:pt>
                <c:pt idx="7">
                  <c:v>Казань</c:v>
                </c:pt>
                <c:pt idx="8">
                  <c:v>Хабаровск-Владивосток</c:v>
                </c:pt>
                <c:pt idx="9">
                  <c:v>Новосибирск</c:v>
                </c:pt>
                <c:pt idx="10">
                  <c:v>Санкт-Петербург</c:v>
                </c:pt>
                <c:pt idx="11">
                  <c:v>Ростов-на-Дону</c:v>
                </c:pt>
              </c:strCache>
            </c:strRef>
          </c:cat>
          <c:val>
            <c:numRef>
              <c:f>Лист2!$C$6:$N$6</c:f>
            </c:numRef>
          </c:val>
        </c:ser>
        <c:ser>
          <c:idx val="4"/>
          <c:order val="4"/>
          <c:tx>
            <c:strRef>
              <c:f>Лист2!$B$8</c:f>
              <c:strCache>
                <c:ptCount val="1"/>
                <c:pt idx="0">
                  <c:v>Открытый конкурс в электронной форме</c:v>
                </c:pt>
              </c:strCache>
            </c:strRef>
          </c:tx>
          <c:spPr>
            <a:solidFill>
              <a:schemeClr val="accent3">
                <a:lumMod val="60000"/>
                <a:lumOff val="40000"/>
              </a:schemeClr>
            </a:solidFill>
          </c:spPr>
          <c:invertIfNegative val="0"/>
          <c:cat>
            <c:strRef>
              <c:f>Лист2!$C$2:$N$2</c:f>
              <c:strCache>
                <c:ptCount val="12"/>
                <c:pt idx="0">
                  <c:v>ЦОКР</c:v>
                </c:pt>
                <c:pt idx="1">
                  <c:v>Калининград</c:v>
                </c:pt>
                <c:pt idx="2">
                  <c:v>Ставрополь</c:v>
                </c:pt>
                <c:pt idx="3">
                  <c:v>Владимир</c:v>
                </c:pt>
                <c:pt idx="4">
                  <c:v>Екатеринбург</c:v>
                </c:pt>
                <c:pt idx="5">
                  <c:v>Н.Новгород</c:v>
                </c:pt>
                <c:pt idx="6">
                  <c:v>Симферополь</c:v>
                </c:pt>
                <c:pt idx="7">
                  <c:v>Казань</c:v>
                </c:pt>
                <c:pt idx="8">
                  <c:v>Хабаровск-Владивосток</c:v>
                </c:pt>
                <c:pt idx="9">
                  <c:v>Новосибирск</c:v>
                </c:pt>
                <c:pt idx="10">
                  <c:v>Санкт-Петербург</c:v>
                </c:pt>
                <c:pt idx="11">
                  <c:v>Ростов-на-Дону</c:v>
                </c:pt>
              </c:strCache>
            </c:strRef>
          </c:cat>
          <c:val>
            <c:numRef>
              <c:f>Лист2!$C$8:$N$8</c:f>
              <c:numCache>
                <c:formatCode>#,##0.00</c:formatCode>
                <c:ptCount val="12"/>
                <c:pt idx="0">
                  <c:v>46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 formatCode="General">
                  <c:v>0</c:v>
                </c:pt>
                <c:pt idx="6">
                  <c:v>0</c:v>
                </c:pt>
                <c:pt idx="7">
                  <c:v>0</c:v>
                </c:pt>
                <c:pt idx="8" formatCode="General">
                  <c:v>0</c:v>
                </c:pt>
                <c:pt idx="9" formatCode="General">
                  <c:v>4</c:v>
                </c:pt>
                <c:pt idx="10" formatCode="General">
                  <c:v>0</c:v>
                </c:pt>
                <c:pt idx="11" formatCode="General">
                  <c:v>0</c:v>
                </c:pt>
              </c:numCache>
            </c:numRef>
          </c:val>
        </c:ser>
        <c:ser>
          <c:idx val="5"/>
          <c:order val="5"/>
          <c:tx>
            <c:strRef>
              <c:f>Лист2!$B$9</c:f>
              <c:strCache>
                <c:ptCount val="1"/>
                <c:pt idx="0">
                  <c:v>Единственный поставщик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</c:spPr>
          <c:invertIfNegative val="0"/>
          <c:cat>
            <c:strRef>
              <c:f>Лист2!$C$2:$N$2</c:f>
              <c:strCache>
                <c:ptCount val="12"/>
                <c:pt idx="0">
                  <c:v>ЦОКР</c:v>
                </c:pt>
                <c:pt idx="1">
                  <c:v>Калининград</c:v>
                </c:pt>
                <c:pt idx="2">
                  <c:v>Ставрополь</c:v>
                </c:pt>
                <c:pt idx="3">
                  <c:v>Владимир</c:v>
                </c:pt>
                <c:pt idx="4">
                  <c:v>Екатеринбург</c:v>
                </c:pt>
                <c:pt idx="5">
                  <c:v>Н.Новгород</c:v>
                </c:pt>
                <c:pt idx="6">
                  <c:v>Симферополь</c:v>
                </c:pt>
                <c:pt idx="7">
                  <c:v>Казань</c:v>
                </c:pt>
                <c:pt idx="8">
                  <c:v>Хабаровск-Владивосток</c:v>
                </c:pt>
                <c:pt idx="9">
                  <c:v>Новосибирск</c:v>
                </c:pt>
                <c:pt idx="10">
                  <c:v>Санкт-Петербург</c:v>
                </c:pt>
                <c:pt idx="11">
                  <c:v>Ростов-на-Дону</c:v>
                </c:pt>
              </c:strCache>
            </c:strRef>
          </c:cat>
          <c:val>
            <c:numRef>
              <c:f>Лист2!$C$9:$N$9</c:f>
              <c:numCache>
                <c:formatCode>#,##0.00</c:formatCode>
                <c:ptCount val="12"/>
                <c:pt idx="0">
                  <c:v>527</c:v>
                </c:pt>
                <c:pt idx="1">
                  <c:v>140</c:v>
                </c:pt>
                <c:pt idx="2">
                  <c:v>663</c:v>
                </c:pt>
                <c:pt idx="3">
                  <c:v>2246</c:v>
                </c:pt>
                <c:pt idx="4">
                  <c:v>2628</c:v>
                </c:pt>
                <c:pt idx="5" formatCode="General">
                  <c:v>428</c:v>
                </c:pt>
                <c:pt idx="6">
                  <c:v>162</c:v>
                </c:pt>
                <c:pt idx="7">
                  <c:v>889</c:v>
                </c:pt>
                <c:pt idx="8" formatCode="General">
                  <c:v>513</c:v>
                </c:pt>
                <c:pt idx="9" formatCode="General">
                  <c:v>2189</c:v>
                </c:pt>
                <c:pt idx="10" formatCode="General">
                  <c:v>493</c:v>
                </c:pt>
                <c:pt idx="11" formatCode="General">
                  <c:v>493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57348256"/>
        <c:axId val="357352176"/>
      </c:barChart>
      <c:catAx>
        <c:axId val="3573482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57352176"/>
        <c:crosses val="autoZero"/>
        <c:auto val="1"/>
        <c:lblAlgn val="ctr"/>
        <c:lblOffset val="100"/>
        <c:noMultiLvlLbl val="0"/>
      </c:catAx>
      <c:valAx>
        <c:axId val="357352176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crossAx val="357348256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Лист2!$B$38</c:f>
              <c:strCache>
                <c:ptCount val="1"/>
                <c:pt idx="0">
                  <c:v>Электронный аукцион</c:v>
                </c:pt>
              </c:strCache>
            </c:strRef>
          </c:tx>
          <c:invertIfNegative val="0"/>
          <c:cat>
            <c:strRef>
              <c:f>Лист2!$C$37:$N$37</c:f>
              <c:strCache>
                <c:ptCount val="12"/>
                <c:pt idx="0">
                  <c:v>ЦОКР</c:v>
                </c:pt>
                <c:pt idx="1">
                  <c:v>Калининград</c:v>
                </c:pt>
                <c:pt idx="2">
                  <c:v>Ставрополь</c:v>
                </c:pt>
                <c:pt idx="3">
                  <c:v>Владимир</c:v>
                </c:pt>
                <c:pt idx="4">
                  <c:v>Екатеринбург</c:v>
                </c:pt>
                <c:pt idx="5">
                  <c:v>Н.Новгород</c:v>
                </c:pt>
                <c:pt idx="6">
                  <c:v>Симферополь</c:v>
                </c:pt>
                <c:pt idx="7">
                  <c:v>Казань</c:v>
                </c:pt>
                <c:pt idx="8">
                  <c:v>Хабаровск-Владивосток</c:v>
                </c:pt>
                <c:pt idx="9">
                  <c:v>Новосибирск</c:v>
                </c:pt>
                <c:pt idx="10">
                  <c:v>Санкт-Петербург</c:v>
                </c:pt>
                <c:pt idx="11">
                  <c:v>Ростов-на-Дону</c:v>
                </c:pt>
              </c:strCache>
            </c:strRef>
          </c:cat>
          <c:val>
            <c:numRef>
              <c:f>Лист2!$C$38:$N$38</c:f>
              <c:numCache>
                <c:formatCode>#,##0.00</c:formatCode>
                <c:ptCount val="12"/>
                <c:pt idx="0">
                  <c:v>10421831.23581</c:v>
                </c:pt>
                <c:pt idx="1">
                  <c:v>46795.27</c:v>
                </c:pt>
                <c:pt idx="2">
                  <c:v>270863.09999999998</c:v>
                </c:pt>
                <c:pt idx="3">
                  <c:v>905</c:v>
                </c:pt>
                <c:pt idx="4">
                  <c:v>336733.33</c:v>
                </c:pt>
                <c:pt idx="5" formatCode="#,##0.00\ _₽;[Red]#,##0.00\ _₽">
                  <c:v>66717.740000000005</c:v>
                </c:pt>
                <c:pt idx="6" formatCode="#,##0.00\ _₽;[Red]#,##0.00\ _₽">
                  <c:v>98314.9</c:v>
                </c:pt>
                <c:pt idx="7" formatCode="#,##0.00\ _₽;[Red]#,##0.00\ _₽">
                  <c:v>253933.87</c:v>
                </c:pt>
                <c:pt idx="8" formatCode="#,##0.00\ _₽;[Red]#,##0.00\ _₽">
                  <c:v>243217.87</c:v>
                </c:pt>
                <c:pt idx="9" formatCode="#,##0.00\ _₽;[Red]#,##0.00\ _₽">
                  <c:v>404273.46059999999</c:v>
                </c:pt>
                <c:pt idx="10" formatCode="#,##0.00\ _₽;[Red]#,##0.00\ _₽">
                  <c:v>210689</c:v>
                </c:pt>
                <c:pt idx="11" formatCode="#,##0.00\ _₽;[Red]#,##0.00\ _₽">
                  <c:v>210689</c:v>
                </c:pt>
              </c:numCache>
            </c:numRef>
          </c:val>
        </c:ser>
        <c:ser>
          <c:idx val="1"/>
          <c:order val="1"/>
          <c:tx>
            <c:strRef>
              <c:f>Лист2!$B$39</c:f>
              <c:strCache>
                <c:ptCount val="1"/>
                <c:pt idx="0">
                  <c:v>Запрос котировок</c:v>
                </c:pt>
              </c:strCache>
            </c:strRef>
          </c:tx>
          <c:invertIfNegative val="0"/>
          <c:cat>
            <c:strRef>
              <c:f>Лист2!$C$37:$N$37</c:f>
              <c:strCache>
                <c:ptCount val="12"/>
                <c:pt idx="0">
                  <c:v>ЦОКР</c:v>
                </c:pt>
                <c:pt idx="1">
                  <c:v>Калининград</c:v>
                </c:pt>
                <c:pt idx="2">
                  <c:v>Ставрополь</c:v>
                </c:pt>
                <c:pt idx="3">
                  <c:v>Владимир</c:v>
                </c:pt>
                <c:pt idx="4">
                  <c:v>Екатеринбург</c:v>
                </c:pt>
                <c:pt idx="5">
                  <c:v>Н.Новгород</c:v>
                </c:pt>
                <c:pt idx="6">
                  <c:v>Симферополь</c:v>
                </c:pt>
                <c:pt idx="7">
                  <c:v>Казань</c:v>
                </c:pt>
                <c:pt idx="8">
                  <c:v>Хабаровск-Владивосток</c:v>
                </c:pt>
                <c:pt idx="9">
                  <c:v>Новосибирск</c:v>
                </c:pt>
                <c:pt idx="10">
                  <c:v>Санкт-Петербург</c:v>
                </c:pt>
                <c:pt idx="11">
                  <c:v>Ростов-на-Дону</c:v>
                </c:pt>
              </c:strCache>
            </c:strRef>
          </c:cat>
          <c:val>
            <c:numRef>
              <c:f>Лист2!$C$39:$N$39</c:f>
            </c:numRef>
          </c:val>
        </c:ser>
        <c:ser>
          <c:idx val="2"/>
          <c:order val="2"/>
          <c:tx>
            <c:strRef>
              <c:f>Лист2!$B$40</c:f>
              <c:strCache>
                <c:ptCount val="1"/>
                <c:pt idx="0">
                  <c:v>Открытый конкурс</c:v>
                </c:pt>
              </c:strCache>
            </c:strRef>
          </c:tx>
          <c:invertIfNegative val="0"/>
          <c:cat>
            <c:strRef>
              <c:f>Лист2!$C$37:$N$37</c:f>
              <c:strCache>
                <c:ptCount val="12"/>
                <c:pt idx="0">
                  <c:v>ЦОКР</c:v>
                </c:pt>
                <c:pt idx="1">
                  <c:v>Калининград</c:v>
                </c:pt>
                <c:pt idx="2">
                  <c:v>Ставрополь</c:v>
                </c:pt>
                <c:pt idx="3">
                  <c:v>Владимир</c:v>
                </c:pt>
                <c:pt idx="4">
                  <c:v>Екатеринбург</c:v>
                </c:pt>
                <c:pt idx="5">
                  <c:v>Н.Новгород</c:v>
                </c:pt>
                <c:pt idx="6">
                  <c:v>Симферополь</c:v>
                </c:pt>
                <c:pt idx="7">
                  <c:v>Казань</c:v>
                </c:pt>
                <c:pt idx="8">
                  <c:v>Хабаровск-Владивосток</c:v>
                </c:pt>
                <c:pt idx="9">
                  <c:v>Новосибирск</c:v>
                </c:pt>
                <c:pt idx="10">
                  <c:v>Санкт-Петербург</c:v>
                </c:pt>
                <c:pt idx="11">
                  <c:v>Ростов-на-Дону</c:v>
                </c:pt>
              </c:strCache>
            </c:strRef>
          </c:cat>
          <c:val>
            <c:numRef>
              <c:f>Лист2!$C$40:$N$40</c:f>
            </c:numRef>
          </c:val>
        </c:ser>
        <c:ser>
          <c:idx val="3"/>
          <c:order val="3"/>
          <c:tx>
            <c:strRef>
              <c:f>Лист2!$B$41</c:f>
              <c:strCache>
                <c:ptCount val="1"/>
                <c:pt idx="0">
                  <c:v>Запрос предложений</c:v>
                </c:pt>
              </c:strCache>
            </c:strRef>
          </c:tx>
          <c:invertIfNegative val="0"/>
          <c:cat>
            <c:strRef>
              <c:f>Лист2!$C$37:$N$37</c:f>
              <c:strCache>
                <c:ptCount val="12"/>
                <c:pt idx="0">
                  <c:v>ЦОКР</c:v>
                </c:pt>
                <c:pt idx="1">
                  <c:v>Калининград</c:v>
                </c:pt>
                <c:pt idx="2">
                  <c:v>Ставрополь</c:v>
                </c:pt>
                <c:pt idx="3">
                  <c:v>Владимир</c:v>
                </c:pt>
                <c:pt idx="4">
                  <c:v>Екатеринбург</c:v>
                </c:pt>
                <c:pt idx="5">
                  <c:v>Н.Новгород</c:v>
                </c:pt>
                <c:pt idx="6">
                  <c:v>Симферополь</c:v>
                </c:pt>
                <c:pt idx="7">
                  <c:v>Казань</c:v>
                </c:pt>
                <c:pt idx="8">
                  <c:v>Хабаровск-Владивосток</c:v>
                </c:pt>
                <c:pt idx="9">
                  <c:v>Новосибирск</c:v>
                </c:pt>
                <c:pt idx="10">
                  <c:v>Санкт-Петербург</c:v>
                </c:pt>
                <c:pt idx="11">
                  <c:v>Ростов-на-Дону</c:v>
                </c:pt>
              </c:strCache>
            </c:strRef>
          </c:cat>
          <c:val>
            <c:numRef>
              <c:f>Лист2!$C$41:$N$41</c:f>
            </c:numRef>
          </c:val>
        </c:ser>
        <c:ser>
          <c:idx val="4"/>
          <c:order val="4"/>
          <c:tx>
            <c:strRef>
              <c:f>Лист2!$B$42</c:f>
              <c:strCache>
                <c:ptCount val="1"/>
                <c:pt idx="0">
                  <c:v>Закрытый аукцион</c:v>
                </c:pt>
              </c:strCache>
            </c:strRef>
          </c:tx>
          <c:invertIfNegative val="0"/>
          <c:cat>
            <c:strRef>
              <c:f>Лист2!$C$37:$N$37</c:f>
              <c:strCache>
                <c:ptCount val="12"/>
                <c:pt idx="0">
                  <c:v>ЦОКР</c:v>
                </c:pt>
                <c:pt idx="1">
                  <c:v>Калининград</c:v>
                </c:pt>
                <c:pt idx="2">
                  <c:v>Ставрополь</c:v>
                </c:pt>
                <c:pt idx="3">
                  <c:v>Владимир</c:v>
                </c:pt>
                <c:pt idx="4">
                  <c:v>Екатеринбург</c:v>
                </c:pt>
                <c:pt idx="5">
                  <c:v>Н.Новгород</c:v>
                </c:pt>
                <c:pt idx="6">
                  <c:v>Симферополь</c:v>
                </c:pt>
                <c:pt idx="7">
                  <c:v>Казань</c:v>
                </c:pt>
                <c:pt idx="8">
                  <c:v>Хабаровск-Владивосток</c:v>
                </c:pt>
                <c:pt idx="9">
                  <c:v>Новосибирск</c:v>
                </c:pt>
                <c:pt idx="10">
                  <c:v>Санкт-Петербург</c:v>
                </c:pt>
                <c:pt idx="11">
                  <c:v>Ростов-на-Дону</c:v>
                </c:pt>
              </c:strCache>
            </c:strRef>
          </c:cat>
          <c:val>
            <c:numRef>
              <c:f>Лист2!$C$42:$N$42</c:f>
            </c:numRef>
          </c:val>
        </c:ser>
        <c:ser>
          <c:idx val="5"/>
          <c:order val="5"/>
          <c:tx>
            <c:strRef>
              <c:f>Лист2!$B$43</c:f>
              <c:strCache>
                <c:ptCount val="1"/>
                <c:pt idx="0">
                  <c:v>Открытый конкурс в электронной форме</c:v>
                </c:pt>
              </c:strCache>
            </c:strRef>
          </c:tx>
          <c:spPr>
            <a:solidFill>
              <a:schemeClr val="accent3">
                <a:lumMod val="60000"/>
                <a:lumOff val="40000"/>
              </a:schemeClr>
            </a:solidFill>
          </c:spPr>
          <c:invertIfNegative val="0"/>
          <c:cat>
            <c:strRef>
              <c:f>Лист2!$C$37:$N$37</c:f>
              <c:strCache>
                <c:ptCount val="12"/>
                <c:pt idx="0">
                  <c:v>ЦОКР</c:v>
                </c:pt>
                <c:pt idx="1">
                  <c:v>Калининград</c:v>
                </c:pt>
                <c:pt idx="2">
                  <c:v>Ставрополь</c:v>
                </c:pt>
                <c:pt idx="3">
                  <c:v>Владимир</c:v>
                </c:pt>
                <c:pt idx="4">
                  <c:v>Екатеринбург</c:v>
                </c:pt>
                <c:pt idx="5">
                  <c:v>Н.Новгород</c:v>
                </c:pt>
                <c:pt idx="6">
                  <c:v>Симферополь</c:v>
                </c:pt>
                <c:pt idx="7">
                  <c:v>Казань</c:v>
                </c:pt>
                <c:pt idx="8">
                  <c:v>Хабаровск-Владивосток</c:v>
                </c:pt>
                <c:pt idx="9">
                  <c:v>Новосибирск</c:v>
                </c:pt>
                <c:pt idx="10">
                  <c:v>Санкт-Петербург</c:v>
                </c:pt>
                <c:pt idx="11">
                  <c:v>Ростов-на-Дону</c:v>
                </c:pt>
              </c:strCache>
            </c:strRef>
          </c:cat>
          <c:val>
            <c:numRef>
              <c:f>Лист2!$C$43:$N$43</c:f>
              <c:numCache>
                <c:formatCode>#,##0.00</c:formatCode>
                <c:ptCount val="12"/>
                <c:pt idx="0">
                  <c:v>8184818.7234800002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 formatCode="#,##0.00\ _₽;[Red]#,##0.00\ _₽">
                  <c:v>0</c:v>
                </c:pt>
                <c:pt idx="6" formatCode="#,##0.00\ _₽;[Red]#,##0.00\ _₽">
                  <c:v>0</c:v>
                </c:pt>
                <c:pt idx="7" formatCode="#,##0.00\ _₽;[Red]#,##0.00\ _₽">
                  <c:v>0</c:v>
                </c:pt>
                <c:pt idx="8" formatCode="#,##0.00\ _₽;[Red]#,##0.00\ _₽">
                  <c:v>0</c:v>
                </c:pt>
                <c:pt idx="9" formatCode="#,##0.00\ _₽;[Red]#,##0.00\ _₽">
                  <c:v>2823.64111</c:v>
                </c:pt>
                <c:pt idx="10" formatCode="#,##0.00\ _₽;[Red]#,##0.00\ _₽">
                  <c:v>0</c:v>
                </c:pt>
                <c:pt idx="11" formatCode="#,##0.00\ _₽;[Red]#,##0.00\ _₽">
                  <c:v>0</c:v>
                </c:pt>
              </c:numCache>
            </c:numRef>
          </c:val>
        </c:ser>
        <c:ser>
          <c:idx val="6"/>
          <c:order val="6"/>
          <c:tx>
            <c:strRef>
              <c:f>Лист2!$B$44</c:f>
              <c:strCache>
                <c:ptCount val="1"/>
                <c:pt idx="0">
                  <c:v>Единственный поставщик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</c:spPr>
          <c:invertIfNegative val="0"/>
          <c:cat>
            <c:strRef>
              <c:f>Лист2!$C$37:$N$37</c:f>
              <c:strCache>
                <c:ptCount val="12"/>
                <c:pt idx="0">
                  <c:v>ЦОКР</c:v>
                </c:pt>
                <c:pt idx="1">
                  <c:v>Калининград</c:v>
                </c:pt>
                <c:pt idx="2">
                  <c:v>Ставрополь</c:v>
                </c:pt>
                <c:pt idx="3">
                  <c:v>Владимир</c:v>
                </c:pt>
                <c:pt idx="4">
                  <c:v>Екатеринбург</c:v>
                </c:pt>
                <c:pt idx="5">
                  <c:v>Н.Новгород</c:v>
                </c:pt>
                <c:pt idx="6">
                  <c:v>Симферополь</c:v>
                </c:pt>
                <c:pt idx="7">
                  <c:v>Казань</c:v>
                </c:pt>
                <c:pt idx="8">
                  <c:v>Хабаровск-Владивосток</c:v>
                </c:pt>
                <c:pt idx="9">
                  <c:v>Новосибирск</c:v>
                </c:pt>
                <c:pt idx="10">
                  <c:v>Санкт-Петербург</c:v>
                </c:pt>
                <c:pt idx="11">
                  <c:v>Ростов-на-Дону</c:v>
                </c:pt>
              </c:strCache>
            </c:strRef>
          </c:cat>
          <c:val>
            <c:numRef>
              <c:f>Лист2!$C$44:$N$44</c:f>
              <c:numCache>
                <c:formatCode>#,##0.00</c:formatCode>
                <c:ptCount val="12"/>
                <c:pt idx="0">
                  <c:v>1806241.6265700001</c:v>
                </c:pt>
                <c:pt idx="1">
                  <c:v>21256.66</c:v>
                </c:pt>
                <c:pt idx="2">
                  <c:v>124964.71</c:v>
                </c:pt>
                <c:pt idx="3">
                  <c:v>2246</c:v>
                </c:pt>
                <c:pt idx="4">
                  <c:v>168438</c:v>
                </c:pt>
                <c:pt idx="5" formatCode="#,##0.00\ _₽;[Red]#,##0.00\ _₽">
                  <c:v>52648.35</c:v>
                </c:pt>
                <c:pt idx="6" formatCode="#,##0.00\ _₽;[Red]#,##0.00\ _₽">
                  <c:v>19900.97</c:v>
                </c:pt>
                <c:pt idx="7" formatCode="#,##0.00\ _₽;[Red]#,##0.00\ _₽">
                  <c:v>146766.51</c:v>
                </c:pt>
                <c:pt idx="8" formatCode="#,##0.00\ _₽;[Red]#,##0.00\ _₽">
                  <c:v>151724.87</c:v>
                </c:pt>
                <c:pt idx="9" formatCode="#,##0.00\ _₽;[Red]#,##0.00\ _₽">
                  <c:v>411250.33023999998</c:v>
                </c:pt>
                <c:pt idx="10" formatCode="#,##0.00\ _₽;[Red]#,##0.00\ _₽">
                  <c:v>308975.3</c:v>
                </c:pt>
                <c:pt idx="11" formatCode="#,##0.00\ _₽;[Red]#,##0.00\ _₽">
                  <c:v>308975.3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57340416"/>
        <c:axId val="357341984"/>
      </c:barChart>
      <c:catAx>
        <c:axId val="35734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57341984"/>
        <c:crosses val="autoZero"/>
        <c:auto val="1"/>
        <c:lblAlgn val="ctr"/>
        <c:lblOffset val="100"/>
        <c:noMultiLvlLbl val="0"/>
      </c:catAx>
      <c:valAx>
        <c:axId val="35734198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357340416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pieChart>
        <c:varyColors val="1"/>
        <c:ser>
          <c:idx val="0"/>
          <c:order val="0"/>
          <c:cat>
            <c:strRef>
              <c:f>Лист2!$C$116:$N$116</c:f>
              <c:strCache>
                <c:ptCount val="12"/>
                <c:pt idx="0">
                  <c:v>ЦОКР</c:v>
                </c:pt>
                <c:pt idx="1">
                  <c:v>Калининград</c:v>
                </c:pt>
                <c:pt idx="2">
                  <c:v>Ставрополь</c:v>
                </c:pt>
                <c:pt idx="3">
                  <c:v>Владимир</c:v>
                </c:pt>
                <c:pt idx="4">
                  <c:v>Екатеринбург</c:v>
                </c:pt>
                <c:pt idx="5">
                  <c:v>Н.Новгород</c:v>
                </c:pt>
                <c:pt idx="6">
                  <c:v>Симферополь</c:v>
                </c:pt>
                <c:pt idx="7">
                  <c:v>Казань</c:v>
                </c:pt>
                <c:pt idx="8">
                  <c:v>Хабаровск-Владивосток</c:v>
                </c:pt>
                <c:pt idx="9">
                  <c:v>Новосибирск</c:v>
                </c:pt>
                <c:pt idx="10">
                  <c:v>Санкт-Петербург</c:v>
                </c:pt>
                <c:pt idx="11">
                  <c:v>Ростов-на-Дону</c:v>
                </c:pt>
              </c:strCache>
            </c:strRef>
          </c:cat>
          <c:val>
            <c:numRef>
              <c:f>Лист2!$C$117:$N$117</c:f>
              <c:numCache>
                <c:formatCode>#,##0.00</c:formatCode>
                <c:ptCount val="12"/>
                <c:pt idx="0">
                  <c:v>19664218.304470003</c:v>
                </c:pt>
                <c:pt idx="1">
                  <c:v>57995.67</c:v>
                </c:pt>
                <c:pt idx="2">
                  <c:v>365865.19</c:v>
                </c:pt>
                <c:pt idx="3">
                  <c:v>742806.47</c:v>
                </c:pt>
                <c:pt idx="4">
                  <c:v>418212.29000000004</c:v>
                </c:pt>
                <c:pt idx="5">
                  <c:v>105464.26999999999</c:v>
                </c:pt>
                <c:pt idx="6">
                  <c:v>107007.84</c:v>
                </c:pt>
                <c:pt idx="7">
                  <c:v>370270.75</c:v>
                </c:pt>
                <c:pt idx="8">
                  <c:v>321551.32999999996</c:v>
                </c:pt>
                <c:pt idx="9">
                  <c:v>321551.32999999996</c:v>
                </c:pt>
                <c:pt idx="10">
                  <c:v>467003.8</c:v>
                </c:pt>
                <c:pt idx="11">
                  <c:v>467003.8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73938703400525663"/>
          <c:y val="8.1414041994750649E-2"/>
          <c:w val="0.24395497445446718"/>
          <c:h val="0.91124599008457274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2327</Words>
  <Characters>13266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Илья Николаевич</dc:creator>
  <cp:keywords/>
  <dc:description/>
  <cp:lastModifiedBy>Григорьев Илья Николаевич</cp:lastModifiedBy>
  <cp:revision>1</cp:revision>
  <dcterms:created xsi:type="dcterms:W3CDTF">2021-03-10T15:10:00Z</dcterms:created>
  <dcterms:modified xsi:type="dcterms:W3CDTF">2021-03-10T15:13:00Z</dcterms:modified>
</cp:coreProperties>
</file>