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 Федерального казначейства в годовой отчет о ходе реализации и оценке эффективности государственной программы Российской Федерации «Управление государственными финансами</w:t>
      </w:r>
      <w:r>
        <w:rPr>
          <w:rFonts w:ascii="Times New Roman" w:hAnsi="Times New Roman" w:cs="Times New Roman"/>
          <w:b/>
          <w:sz w:val="28"/>
          <w:szCs w:val="28"/>
        </w:rPr>
        <w:br/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и регулирование финансовых рынков» за 2016 год</w:t>
      </w:r>
    </w:p>
    <w:p>
      <w:pPr>
        <w:spacing w:line="36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before="120" w:after="12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 Конкретные результаты реализации государственной программы, достигнутые в 2016 году</w:t>
      </w:r>
    </w:p>
    <w:p>
      <w:pPr>
        <w:spacing w:before="120" w:after="12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1.3. Характеристика вклада основных результатов в решение задач и достижение целей государственной программы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Деятельность Федерального казначейства в рамках подпрограммы 2 «Нормативно-методическое обеспечение и организация бюджетного процесса», в частности в рамках Основных мероприятий 2.2 и 2.4, способствует решению задачи № 2 «Нормативно-методическое обеспечение бюджетного процесса в Российской Федерации, организация планирования и исполнения федерального бюджета, кассового обслуживания исполнения бюджетов бюджетной системы Российской Федерации, ведения бюджетного учета и формирования бюджетной отчетности» государственной программы Российской Федерации «Управление государственными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финансами и регулирование финансовых рынков» (далее – Госпрограмма № 40).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Деятельность Федерального казначейства в рамках подпрограммы 4 «Организация и осуществление контроля и надзора в финансово-бюджетной сфере» в частности в рамках Основного мероприятия 4.2 способствует решению задачи № 4 «Обеспечение своевременного контроля и надзора в финансово-бюджетной сфере» и в рамках Основного мероприятия 4.7 способствует решению задачи № 6 «Организация </w:t>
      </w:r>
      <w:r>
        <w:rPr>
          <w:rFonts w:ascii="Times New Roman" w:hAnsi="Times New Roman" w:cs="Times New Roman"/>
          <w:sz w:val="28"/>
          <w:szCs w:val="28"/>
        </w:rPr>
        <w:br/>
        <w:t xml:space="preserve">и осуществление внешнего контроля качества работы аудиторских организаций, проводящих обязательный аудит бухгалтерской (финансовой) отчетности организаций, определенных Федеральным </w:t>
      </w:r>
      <w:hyperlink r:id="rId9" w:history="1">
        <w:r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«Об аудиторской деятельности» Госпрограммы № 40.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Деятельность Федерального казначейства в рамках подпрограммы 9 «Создание и развитие государственной интегрированной информационной системы управления общественными финансами «Электронный бюджет», в частности в рамках Основных мероприятий 9.1, 9.2 и 9.5, способствует решению задачи № 11 «Формирование единого информационного пространства, применение информационных и телекоммуникационных технологий в сфере управления общественными финансами </w:t>
      </w:r>
      <w:r>
        <w:rPr>
          <w:rFonts w:ascii="Times New Roman" w:hAnsi="Times New Roman" w:cs="Times New Roman"/>
          <w:sz w:val="28"/>
          <w:szCs w:val="28"/>
        </w:rPr>
        <w:br/>
        <w:t xml:space="preserve">для повышения качества финансового менеджмента организаций сектора </w:t>
      </w:r>
      <w:r>
        <w:rPr>
          <w:rFonts w:ascii="Times New Roman" w:hAnsi="Times New Roman" w:cs="Times New Roman"/>
          <w:sz w:val="28"/>
          <w:szCs w:val="28"/>
        </w:rPr>
        <w:lastRenderedPageBreak/>
        <w:t>государственного управления и создания условий 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эффективного использования бюджетных средств и активов публично-правовых образований» Госпрограммы № 40.</w:t>
      </w:r>
    </w:p>
    <w:p>
      <w:pPr>
        <w:spacing w:before="120" w:after="12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1.4. Запланированные, но недостигнутые результаты с указанием нереализованных или реализованных не в полной мере основных мероприятий (в том числе контрольных событий программы)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Основного мероприятия 2.4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«Кассовое обслуживание исполнения бюджетов бюджетной системы Российской Федерации, учет операций со средствами неучастников бюджетного процесса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формирование бюджетной отчетности» </w:t>
      </w:r>
      <w:r>
        <w:rPr>
          <w:rFonts w:ascii="Times New Roman" w:hAnsi="Times New Roman" w:cs="Times New Roman"/>
          <w:sz w:val="28"/>
          <w:szCs w:val="28"/>
        </w:rPr>
        <w:t xml:space="preserve">в частности в рамках </w:t>
      </w:r>
      <w:r>
        <w:rPr>
          <w:rFonts w:ascii="Times New Roman" w:hAnsi="Times New Roman" w:cs="Times New Roman"/>
          <w:b/>
          <w:sz w:val="28"/>
          <w:szCs w:val="28"/>
        </w:rPr>
        <w:t>Мероприятия 2.4.1 </w:t>
      </w:r>
      <w:r>
        <w:rPr>
          <w:rFonts w:ascii="Times New Roman" w:hAnsi="Times New Roman" w:cs="Times New Roman"/>
          <w:sz w:val="28"/>
          <w:szCs w:val="28"/>
        </w:rPr>
        <w:t xml:space="preserve">«Кассовое обслуживание исполнения бюджетов бюджетной системы Российской Федерации, учет операций </w:t>
      </w:r>
      <w:r>
        <w:rPr>
          <w:rFonts w:ascii="Times New Roman" w:hAnsi="Times New Roman" w:cs="Times New Roman"/>
          <w:sz w:val="28"/>
          <w:szCs w:val="28"/>
        </w:rPr>
        <w:br/>
        <w:t>со средствами неучастников бюджетного процесса и иные мероприятия, связанные с деятельностью Федерального казначейства»:</w:t>
      </w:r>
    </w:p>
    <w:p>
      <w:pPr>
        <w:spacing w:before="120" w:after="12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Контрольное событие 2.4.1.15</w:t>
      </w:r>
      <w:r>
        <w:rPr>
          <w:rFonts w:ascii="Times New Roman" w:hAnsi="Times New Roman" w:cs="Times New Roman"/>
          <w:sz w:val="28"/>
          <w:szCs w:val="28"/>
        </w:rPr>
        <w:t xml:space="preserve"> «Осуществлено развитие Государственной информационной системы о государственных </w:t>
      </w:r>
      <w:r>
        <w:rPr>
          <w:rFonts w:ascii="Times New Roman" w:hAnsi="Times New Roman" w:cs="Times New Roman"/>
          <w:sz w:val="28"/>
          <w:szCs w:val="28"/>
        </w:rPr>
        <w:br/>
        <w:t>и муниципальных платежах»: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Реализованы доработки Государственной информационной системы о государственных и муниципальных платежах (далее – ГИС ГМП), направленные на развитие системы: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разработан пакетный режим взаимодействия информационных систем участников с ГИС ГМП;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разработан модуль оперативной отчетности;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реализовано погашение в автоматическом режиме начислений, оплаченных со скидкой (Федеральный закон от 22 декабря 2014 г. </w:t>
      </w:r>
      <w:r>
        <w:rPr>
          <w:rFonts w:ascii="Times New Roman" w:hAnsi="Times New Roman" w:cs="Times New Roman"/>
          <w:sz w:val="28"/>
          <w:szCs w:val="28"/>
        </w:rPr>
        <w:br/>
        <w:t>№ 437-ФЗ, постановление Правительства Москвы от 20 июля 2016 г. № 449-ПП);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реализована возможность уплаты государственной пошлины </w:t>
      </w:r>
      <w:r>
        <w:rPr>
          <w:rFonts w:ascii="Times New Roman" w:hAnsi="Times New Roman" w:cs="Times New Roman"/>
          <w:sz w:val="28"/>
          <w:szCs w:val="28"/>
        </w:rPr>
        <w:br/>
        <w:t>за совершение юридически значимых действий в отношении физических лиц с учетом коэффициента 0,7 в случае подачи заявления о совершении указанных юридически значимых действий и уплаты соответствующей государственной пошлины с использованием единого портала государственных и муниципальных услуг, региональных порталов государственных и муниципальных услуг и иных порталов, интегрированных с единой системой идентификации и аутентификации (Федеральный закон от 30 ноября 2016 г. № 402-ФЗ);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– проведена разработка информационного сервиса о платежах, учтенных как невыясненные поступления; 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установлены дополнительные форматно-логические контроли: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Обеспечивающие качество информации, передаваемой </w:t>
      </w:r>
      <w:r>
        <w:rPr>
          <w:rFonts w:ascii="Times New Roman" w:hAnsi="Times New Roman" w:cs="Times New Roman"/>
          <w:sz w:val="28"/>
          <w:szCs w:val="28"/>
        </w:rPr>
        <w:br/>
        <w:t>в ГИС ГМП участником;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Учитывающие уплату денежных средств в счет погашения задолженности по исполнительному производству на счета органов Федерального казначейства № 40302 «Средства, поступающие </w:t>
      </w:r>
      <w:r>
        <w:rPr>
          <w:rFonts w:ascii="Times New Roman" w:hAnsi="Times New Roman" w:cs="Times New Roman"/>
          <w:sz w:val="28"/>
          <w:szCs w:val="28"/>
        </w:rPr>
        <w:br/>
        <w:t>во временное распоряжение» (Федеральный закон от 3 июля 2016 г. № 274-ФЗ).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в связи с доработкой ГИС ГМП включены в состав утвержденных форматов взаимодействия ГИС ГМП с информационными системами участников.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Согласованный с Министерством финансов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  <w:t>и Центральным банком Российской Федерации проект новой редакции Порядка ведения ГИС ГМП, предусматривающий расширение перечня участников ГИС ГМП (органы ЗАГС, судьи, ФССП России), обеспечивающий взаимодействия участников с ГИС ГМП через агрегаторов, находится на согласовании в структурных подразделениях Федерального казначейства.</w:t>
      </w:r>
    </w:p>
    <w:p>
      <w:pPr>
        <w:spacing w:before="120" w:after="12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Контрольное событие 2.4.1.16 </w:t>
      </w:r>
      <w:r>
        <w:rPr>
          <w:rFonts w:ascii="Times New Roman" w:hAnsi="Times New Roman" w:cs="Times New Roman"/>
          <w:sz w:val="28"/>
          <w:szCs w:val="28"/>
        </w:rPr>
        <w:t>«Осуществлено создание и развитие платежного шлюза»: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Мероприятия по созданию платежного шлюза (платежного приложения), обеспечивающего использование электронных средств платежа, включены в План мероприятий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реализации Концепции реформирования системы бюджетных платежей на период до 2017 года и Основного мероприятия 2.4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«Кассовое обслуживание исполнения бюджетов бюджетной системы Российской Федерации, учет операций со средствами неучастников бюджетного процесса и формирование бюджетной отчетности» </w:t>
      </w:r>
      <w:r>
        <w:rPr>
          <w:rFonts w:ascii="Times New Roman" w:hAnsi="Times New Roman" w:cs="Times New Roman"/>
          <w:sz w:val="28"/>
          <w:szCs w:val="28"/>
        </w:rPr>
        <w:t>Госпрограммы № 40.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Разработаны положения, включенные в главу «Бюджетные платежи и система казначейских платежей» проекта новой редакции Бюджетного кодекса Российской Федерации, по созданию и ведению платежного приложения, по определению полномочий Федерального казначейства по ведению платежного шлюза, определению порядка взаимодействия платежного шлюза с информационными системами участников.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 Разработаны технические требования и техническое задание </w:t>
      </w:r>
      <w:r>
        <w:rPr>
          <w:rFonts w:ascii="Times New Roman" w:hAnsi="Times New Roman" w:cs="Times New Roman"/>
          <w:sz w:val="28"/>
          <w:szCs w:val="28"/>
        </w:rPr>
        <w:br/>
        <w:t xml:space="preserve">на создание платежного шлюза. Заключен Государственный контракт </w:t>
      </w:r>
      <w:r>
        <w:rPr>
          <w:rFonts w:ascii="Times New Roman" w:hAnsi="Times New Roman" w:cs="Times New Roman"/>
          <w:sz w:val="28"/>
          <w:szCs w:val="28"/>
        </w:rPr>
        <w:br/>
        <w:t>от 2 февраля 2016 г. № УФТ-14/2016 на создание платежного шлюза (платежного приложения).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Проведена разработка платежного приложения, обеспечивающего использование электронных средств платежа при уплате бюджетных платежей на счета Федерального казначейства.</w:t>
      </w:r>
    </w:p>
    <w:p>
      <w:pPr>
        <w:spacing w:before="120" w:after="12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Контрольное событие 2.4.1.17</w:t>
      </w:r>
      <w:r>
        <w:rPr>
          <w:rFonts w:ascii="Times New Roman" w:hAnsi="Times New Roman" w:cs="Times New Roman"/>
          <w:sz w:val="28"/>
          <w:szCs w:val="28"/>
        </w:rPr>
        <w:t xml:space="preserve"> «Созданы условия для эмиссии </w:t>
      </w:r>
      <w:r>
        <w:rPr>
          <w:rFonts w:ascii="Times New Roman" w:hAnsi="Times New Roman" w:cs="Times New Roman"/>
          <w:sz w:val="28"/>
          <w:szCs w:val="28"/>
        </w:rPr>
        <w:br/>
        <w:t>и эквайринга платежных карт»: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Мероприятия по созданию условий для эмиссии и эквайринга платежных карт Федерального казначейства включены в План мероприятий Федерального казначейства по реализации Концепции реформирования системы бюджетных платежей на период до 2017 года </w:t>
      </w:r>
      <w:r>
        <w:rPr>
          <w:rFonts w:ascii="Times New Roman" w:hAnsi="Times New Roman" w:cs="Times New Roman"/>
          <w:sz w:val="28"/>
          <w:szCs w:val="28"/>
        </w:rPr>
        <w:br/>
        <w:t xml:space="preserve">и Основного мероприятия 2.4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«Кассовое обслуживание исполнения бюджетов бюджетной системы Российской Федерации, учет операций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со средствами неучастников бюджетного процесса и формирование бюджетной отчетности» </w:t>
      </w:r>
      <w:r>
        <w:rPr>
          <w:rFonts w:ascii="Times New Roman" w:hAnsi="Times New Roman" w:cs="Times New Roman"/>
          <w:sz w:val="28"/>
          <w:szCs w:val="28"/>
        </w:rPr>
        <w:t>Госпрограммы № 40.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Разработаны положения, включенные в главу «Бюджетные платежи и система казначейских платежей» новой редакции Бюджетного кодекса Российской Федерации, о приеме бюджетных платежей </w:t>
      </w:r>
      <w:r>
        <w:rPr>
          <w:rFonts w:ascii="Times New Roman" w:hAnsi="Times New Roman" w:cs="Times New Roman"/>
          <w:sz w:val="28"/>
          <w:szCs w:val="28"/>
        </w:rPr>
        <w:br/>
        <w:t>с использованием платежных карт, являющихся национальными платежными инструментами, кредитными организациями без взимания платы, о требованиях к кредитным организациям, осуществляющим прием бюджетных платежей с использованием платежных карт, а также эмиссии платежных карт национальной системы платежных карт для участников системы казначейских платежей.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 С учетом направленных предложений тарифы платежной системы «МИР» (Приложение № 8 к Правилам платежной системы «МИР») утверждены решением Наблюдательного совета АО «НСПК» (протокол </w:t>
      </w:r>
      <w:r>
        <w:rPr>
          <w:rFonts w:ascii="Times New Roman" w:hAnsi="Times New Roman" w:cs="Times New Roman"/>
          <w:sz w:val="28"/>
          <w:szCs w:val="28"/>
        </w:rPr>
        <w:br/>
        <w:t>от 8 июня 2016 г. № 18).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 Сформированы предложения к особенностям информационного взаимодействия при эмиссии кредитными организациями платежных карт для клиентов Федерального казначейства, которые включены в проект Концепции создания и развития подсистемы «Управление денежными средствами» государственной интегрированной информационной системы управления общественными финансами «Электронный бюджет» </w:t>
      </w:r>
      <w:r>
        <w:rPr>
          <w:rFonts w:ascii="Times New Roman" w:hAnsi="Times New Roman" w:cs="Times New Roman"/>
          <w:sz w:val="28"/>
          <w:szCs w:val="28"/>
        </w:rPr>
        <w:br/>
        <w:t>и представлены в Министерство финансов Российской Федерации.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 Разработаны и представлены в Министерство финансов Российской Федерации предложения к существенным условиям договоров оказания кредитными организациями услуг эквайринга для получателей бюджетных средств.</w:t>
      </w:r>
    </w:p>
    <w:p>
      <w:pPr>
        <w:spacing w:before="120" w:after="12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Проблемы, возникшие в ходе реализации мероприятия: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данных пунктов зависит от сроков утверждения новой редакции Бюджетного кодекса Российской Федерации.</w:t>
      </w:r>
    </w:p>
    <w:p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новой редакции Бюджетного кодекса Российской Федерации планируется в 2017 году.</w:t>
      </w:r>
    </w:p>
    <w:sectPr>
      <w:headerReference w:type="default" r:id="rId10"/>
      <w:pgSz w:w="11907" w:h="16839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5684893"/>
      <w:docPartObj>
        <w:docPartGallery w:val="Page Numbers (Top of Page)"/>
        <w:docPartUnique/>
      </w:docPartObj>
    </w:sdtPr>
    <w:sdtContent>
      <w:p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A1E28"/>
    <w:multiLevelType w:val="multilevel"/>
    <w:tmpl w:val="A65C80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>
    <w:nsid w:val="1CC262FC"/>
    <w:multiLevelType w:val="multilevel"/>
    <w:tmpl w:val="A65C80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2B8B3ECD"/>
    <w:multiLevelType w:val="multilevel"/>
    <w:tmpl w:val="A65C80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3B584F11"/>
    <w:multiLevelType w:val="hybridMultilevel"/>
    <w:tmpl w:val="05B2F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87548"/>
    <w:multiLevelType w:val="multilevel"/>
    <w:tmpl w:val="D018CF88"/>
    <w:lvl w:ilvl="0">
      <w:start w:val="5"/>
      <w:numFmt w:val="decimal"/>
      <w:lvlText w:val="%1"/>
      <w:lvlJc w:val="left"/>
      <w:pPr>
        <w:ind w:left="360" w:hanging="360"/>
      </w:pPr>
      <w:rPr>
        <w:rFonts w:asciiTheme="minorHAnsi" w:hAnsiTheme="minorHAnsi" w:cstheme="minorBidi" w:hint="default"/>
        <w:b w:val="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cstheme="minorBidi"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hAnsiTheme="minorHAnsi" w:cstheme="minorBidi"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cstheme="minorBidi"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inorHAnsi" w:hAnsiTheme="minorHAnsi" w:cstheme="minorBidi"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cstheme="minorBidi"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inorHAnsi" w:hAnsiTheme="minorHAnsi" w:cstheme="minorBidi"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inorHAnsi" w:hAnsiTheme="minorHAnsi" w:cstheme="minorBidi" w:hint="default"/>
        <w:b w:val="0"/>
        <w:sz w:val="22"/>
      </w:rPr>
    </w:lvl>
  </w:abstractNum>
  <w:abstractNum w:abstractNumId="5">
    <w:nsid w:val="431E0D02"/>
    <w:multiLevelType w:val="hybridMultilevel"/>
    <w:tmpl w:val="3F64416E"/>
    <w:lvl w:ilvl="0" w:tplc="56A802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foot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</w:style>
  <w:style w:type="paragraph" w:styleId="a5">
    <w:name w:val="List Paragraph"/>
    <w:basedOn w:val="a"/>
    <w:link w:val="a6"/>
    <w:uiPriority w:val="34"/>
    <w:qFormat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</w:style>
  <w:style w:type="character" w:customStyle="1" w:styleId="a6">
    <w:name w:val="Абзац списка Знак"/>
    <w:link w:val="a5"/>
    <w:uiPriority w:val="34"/>
    <w:locked/>
  </w:style>
  <w:style w:type="paragraph" w:styleId="a9">
    <w:name w:val="Balloon Text"/>
    <w:basedOn w:val="a"/>
    <w:link w:val="a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foot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</w:style>
  <w:style w:type="paragraph" w:styleId="a5">
    <w:name w:val="List Paragraph"/>
    <w:basedOn w:val="a"/>
    <w:link w:val="a6"/>
    <w:uiPriority w:val="34"/>
    <w:qFormat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</w:style>
  <w:style w:type="character" w:customStyle="1" w:styleId="a6">
    <w:name w:val="Абзац списка Знак"/>
    <w:link w:val="a5"/>
    <w:uiPriority w:val="34"/>
    <w:locked/>
  </w:style>
  <w:style w:type="paragraph" w:styleId="a9">
    <w:name w:val="Balloon Text"/>
    <w:basedOn w:val="a"/>
    <w:link w:val="a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4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68F54B61058BFD2426D7CEEFD21BF8EDE91B55D7120C9A06677F6CD85l8C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5DD02-5FA2-4330-B125-5A3B1A168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1324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S9500SCCM01</Company>
  <LinksUpToDate>false</LinksUpToDate>
  <CharactersWithSpaces>8854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БЕГЧИН НИКОЛАЙ АРКАДЬЕВИЧ</dc:creator>
  <cp:lastModifiedBy>Павлюченко Алиса Александровна</cp:lastModifiedBy>
  <cp:revision>12</cp:revision>
  <cp:lastPrinted>2016-02-04T16:11:00Z</cp:lastPrinted>
  <dcterms:created xsi:type="dcterms:W3CDTF">2017-02-06T12:20:00Z</dcterms:created>
  <dcterms:modified xsi:type="dcterms:W3CDTF">2017-03-13T14:38:00Z</dcterms:modified>
</cp:coreProperties>
</file>