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2C" w:rsidRDefault="00BF022C" w:rsidP="00BF022C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90370" cy="2211705"/>
            <wp:effectExtent l="0" t="0" r="5080" b="0"/>
            <wp:docPr id="1" name="Рисунок 1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2C" w:rsidRDefault="00BF022C" w:rsidP="00BF022C">
      <w:pPr>
        <w:ind w:firstLine="709"/>
        <w:jc w:val="center"/>
        <w:rPr>
          <w:i/>
          <w:sz w:val="16"/>
          <w:szCs w:val="16"/>
        </w:rPr>
      </w:pPr>
    </w:p>
    <w:p w:rsidR="00BF022C" w:rsidRPr="0049514D" w:rsidRDefault="00BF022C" w:rsidP="00BF022C">
      <w:pPr>
        <w:ind w:firstLine="709"/>
        <w:jc w:val="center"/>
        <w:rPr>
          <w:i/>
          <w:sz w:val="16"/>
          <w:szCs w:val="16"/>
        </w:rPr>
      </w:pPr>
    </w:p>
    <w:p w:rsidR="00BF022C" w:rsidRDefault="00BF022C" w:rsidP="00BF022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Тернер Федор Густавович</w:t>
      </w:r>
    </w:p>
    <w:p w:rsidR="00BF022C" w:rsidRPr="00322E26" w:rsidRDefault="00BF022C" w:rsidP="00BF022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(1829-1906)</w:t>
      </w:r>
    </w:p>
    <w:p w:rsidR="00BF022C" w:rsidRDefault="00BF022C" w:rsidP="00BF02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Государственного Казначейства </w:t>
      </w:r>
    </w:p>
    <w:p w:rsidR="00BF022C" w:rsidRDefault="00BF022C" w:rsidP="00BF02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финансов Российской империи</w:t>
      </w:r>
    </w:p>
    <w:p w:rsidR="00BF022C" w:rsidRDefault="00BF022C" w:rsidP="00BF02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1880-1887гг</w:t>
      </w:r>
    </w:p>
    <w:p w:rsidR="006B49DD" w:rsidRDefault="006B49DD" w:rsidP="006B49DD">
      <w:pPr>
        <w:ind w:firstLine="709"/>
        <w:jc w:val="both"/>
        <w:rPr>
          <w:sz w:val="28"/>
          <w:szCs w:val="28"/>
        </w:rPr>
      </w:pPr>
    </w:p>
    <w:p w:rsidR="006B49DD" w:rsidRPr="00E746D5" w:rsidRDefault="006B49DD" w:rsidP="006B49DD">
      <w:pPr>
        <w:ind w:firstLine="709"/>
        <w:jc w:val="both"/>
        <w:rPr>
          <w:b/>
          <w:sz w:val="32"/>
          <w:szCs w:val="32"/>
        </w:rPr>
      </w:pPr>
      <w:bookmarkStart w:id="0" w:name="_GoBack"/>
      <w:r w:rsidRPr="00E746D5">
        <w:rPr>
          <w:b/>
          <w:sz w:val="32"/>
          <w:szCs w:val="32"/>
        </w:rPr>
        <w:t>Совет по истори</w:t>
      </w:r>
      <w:r w:rsidR="004830A1">
        <w:rPr>
          <w:b/>
          <w:sz w:val="32"/>
          <w:szCs w:val="32"/>
        </w:rPr>
        <w:t>и Казначейства России отмечает 1</w:t>
      </w:r>
      <w:r w:rsidRPr="00E746D5">
        <w:rPr>
          <w:b/>
          <w:sz w:val="32"/>
          <w:szCs w:val="32"/>
        </w:rPr>
        <w:t>90 годовщину с</w:t>
      </w:r>
      <w:r w:rsidR="00122EAA">
        <w:rPr>
          <w:b/>
          <w:sz w:val="32"/>
          <w:szCs w:val="32"/>
        </w:rPr>
        <w:t>о</w:t>
      </w:r>
      <w:r w:rsidRPr="00E746D5">
        <w:rPr>
          <w:b/>
          <w:sz w:val="32"/>
          <w:szCs w:val="32"/>
        </w:rPr>
        <w:t xml:space="preserve"> дня рождения Федора Густавовича Тернера.</w:t>
      </w:r>
    </w:p>
    <w:bookmarkEnd w:id="0"/>
    <w:p w:rsidR="00BF022C" w:rsidRDefault="00BF022C" w:rsidP="00BF022C">
      <w:pPr>
        <w:ind w:firstLine="709"/>
        <w:rPr>
          <w:sz w:val="28"/>
          <w:szCs w:val="28"/>
        </w:rPr>
      </w:pPr>
    </w:p>
    <w:p w:rsidR="00BF022C" w:rsidRDefault="006B49DD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 Густавович Тернер р</w:t>
      </w:r>
      <w:r w:rsidR="00BF022C">
        <w:rPr>
          <w:sz w:val="28"/>
          <w:szCs w:val="28"/>
        </w:rPr>
        <w:t>одился 12 октября 1829 года, из дворян, православный.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получил в пансионах мадам Курвоазы и Геккера при Анненской лютеранской церкви, затем окончил 2-ю Петербургскую гимназию (1846)  и камеральный   факультет Императорского Петербургского университета 1-м кандидатом с правом «поступать на службу в столицах к министерствам и главным управлениям» (1850).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труда «Государство и землевладение» (Спб,1896-1898, 2-е изд. 1901), «Общинное владение и частная собственность», «Дворянство и земледелие» и др.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1851-1856 </w:t>
      </w:r>
      <w:r w:rsidR="00122EAA">
        <w:rPr>
          <w:sz w:val="28"/>
          <w:szCs w:val="28"/>
        </w:rPr>
        <w:t xml:space="preserve">- </w:t>
      </w:r>
      <w:r>
        <w:rPr>
          <w:sz w:val="28"/>
          <w:szCs w:val="28"/>
        </w:rPr>
        <w:t>переводчик Министерства  иностранных дел.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1856-1859 </w:t>
      </w:r>
      <w:r w:rsidR="00122EAA">
        <w:rPr>
          <w:sz w:val="28"/>
          <w:szCs w:val="28"/>
        </w:rPr>
        <w:t xml:space="preserve">- </w:t>
      </w:r>
      <w:r>
        <w:rPr>
          <w:sz w:val="28"/>
          <w:szCs w:val="28"/>
        </w:rPr>
        <w:t>секретарь Экспедиции церемониальных дел при Особой канцелярии МИД.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1959-1862 причислен к канцелярии Кавказского и Сибирского комитетов по статистической части.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1862-1864 </w:t>
      </w:r>
      <w:r w:rsidR="00122EA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чиновник особых поручений 1-го класса. В 1863 году командирован в Германию для изучения устройства прусских таможен; принимал участие в работе Комиссии при </w:t>
      </w:r>
      <w:r w:rsidR="00122EAA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епартаменте внешней торговли </w:t>
      </w:r>
      <w:r w:rsidR="00122EAA" w:rsidRPr="00122EAA"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  <w:t>для пересмотра проекта таможенного устройства.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1864-1865</w:t>
      </w:r>
      <w:r w:rsidR="00122EA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Вице-директор Департамента внешней торговли Министерства финансов.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1865-1866 преподавал статистику и политэкономию наследнику престола Великому князю Александру Александровичу.</w:t>
      </w:r>
    </w:p>
    <w:p w:rsidR="00BF022C" w:rsidRDefault="00122EAA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1867-</w:t>
      </w:r>
      <w:r w:rsidR="00BF022C">
        <w:rPr>
          <w:sz w:val="28"/>
          <w:szCs w:val="28"/>
        </w:rPr>
        <w:t>1868 временно управлял Департаментом таможенных сборов Министерства финансов.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1869 командирован в Египет на открытие Суэцкого канала.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1872- 1875 </w:t>
      </w:r>
      <w:r w:rsidR="00122EAA">
        <w:rPr>
          <w:sz w:val="28"/>
          <w:szCs w:val="28"/>
        </w:rPr>
        <w:t xml:space="preserve">- </w:t>
      </w:r>
      <w:r>
        <w:rPr>
          <w:sz w:val="28"/>
          <w:szCs w:val="28"/>
        </w:rPr>
        <w:t>член Совета Министра финансов.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1875 направлен в Вену для участия в русско-австрийской конференции для заключения торгово-таможенного соглашения между обоими государствами.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1880-1887 директор Департамента Государственного Казначейства.</w:t>
      </w:r>
    </w:p>
    <w:p w:rsidR="00122EAA" w:rsidRDefault="000F4712" w:rsidP="00371DFF">
      <w:pPr>
        <w:ind w:firstLine="709"/>
        <w:jc w:val="both"/>
        <w:rPr>
          <w:sz w:val="28"/>
          <w:szCs w:val="28"/>
        </w:rPr>
      </w:pPr>
      <w:r w:rsidRPr="00072052">
        <w:rPr>
          <w:sz w:val="28"/>
          <w:szCs w:val="28"/>
        </w:rPr>
        <w:t xml:space="preserve">В июне 1880 года новым директором Департамента государственного казначейства был назначен </w:t>
      </w:r>
      <w:r w:rsidRPr="000F4712">
        <w:rPr>
          <w:sz w:val="28"/>
          <w:szCs w:val="28"/>
        </w:rPr>
        <w:t xml:space="preserve">Ф.Г.Тернер, как </w:t>
      </w:r>
      <w:r w:rsidR="00122EAA">
        <w:rPr>
          <w:sz w:val="28"/>
          <w:szCs w:val="28"/>
        </w:rPr>
        <w:t>и его предшественник  А.Я. </w:t>
      </w:r>
      <w:r w:rsidRPr="000F4712">
        <w:rPr>
          <w:sz w:val="28"/>
          <w:szCs w:val="28"/>
        </w:rPr>
        <w:t xml:space="preserve">Губбенет </w:t>
      </w:r>
      <w:r w:rsidR="00122EAA">
        <w:rPr>
          <w:sz w:val="28"/>
          <w:szCs w:val="28"/>
        </w:rPr>
        <w:t xml:space="preserve">- </w:t>
      </w:r>
      <w:r w:rsidRPr="000F4712">
        <w:rPr>
          <w:sz w:val="28"/>
          <w:szCs w:val="28"/>
        </w:rPr>
        <w:t xml:space="preserve">профессиональный государственный </w:t>
      </w:r>
      <w:r w:rsidRPr="0090457C">
        <w:rPr>
          <w:sz w:val="28"/>
          <w:szCs w:val="28"/>
        </w:rPr>
        <w:t>служащ</w:t>
      </w:r>
      <w:r>
        <w:rPr>
          <w:sz w:val="28"/>
          <w:szCs w:val="28"/>
        </w:rPr>
        <w:t>ий. В отчете, составленном по распоряжению министра финансов</w:t>
      </w:r>
      <w:r w:rsidR="00122EAA">
        <w:rPr>
          <w:sz w:val="28"/>
          <w:szCs w:val="28"/>
        </w:rPr>
        <w:t>,</w:t>
      </w:r>
      <w:r>
        <w:rPr>
          <w:sz w:val="28"/>
          <w:szCs w:val="28"/>
        </w:rPr>
        <w:t xml:space="preserve"> Ф.Г.Тернер </w:t>
      </w:r>
      <w:r w:rsidRPr="00072052">
        <w:rPr>
          <w:sz w:val="28"/>
          <w:szCs w:val="28"/>
        </w:rPr>
        <w:t>свидетельствовал, что казначейская служба функционировала как машина, без сбоев и накладок</w:t>
      </w:r>
      <w:r>
        <w:rPr>
          <w:sz w:val="28"/>
          <w:szCs w:val="28"/>
        </w:rPr>
        <w:t xml:space="preserve">, хотя в это время </w:t>
      </w:r>
      <w:r w:rsidRPr="007D225D">
        <w:rPr>
          <w:sz w:val="28"/>
          <w:szCs w:val="28"/>
        </w:rPr>
        <w:t>резко возрос дефицит</w:t>
      </w:r>
      <w:r w:rsidRPr="003E2A33">
        <w:rPr>
          <w:sz w:val="28"/>
          <w:szCs w:val="28"/>
        </w:rPr>
        <w:t xml:space="preserve"> </w:t>
      </w:r>
      <w:r w:rsidRPr="007D225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после русско-турецкой </w:t>
      </w:r>
      <w:r>
        <w:rPr>
          <w:sz w:val="28"/>
          <w:szCs w:val="28"/>
        </w:rPr>
        <w:lastRenderedPageBreak/>
        <w:t xml:space="preserve">войны 1877–1878 годов за освобождение Болгарии. </w:t>
      </w:r>
    </w:p>
    <w:p w:rsidR="000F4712" w:rsidRDefault="000F4712" w:rsidP="00371DFF">
      <w:pPr>
        <w:ind w:firstLine="709"/>
        <w:jc w:val="both"/>
        <w:rPr>
          <w:sz w:val="28"/>
          <w:szCs w:val="28"/>
        </w:rPr>
      </w:pPr>
      <w:r w:rsidRPr="007D225D">
        <w:rPr>
          <w:sz w:val="28"/>
          <w:szCs w:val="28"/>
        </w:rPr>
        <w:t>Для покрытия военных расходов</w:t>
      </w:r>
      <w:r>
        <w:rPr>
          <w:sz w:val="28"/>
          <w:szCs w:val="28"/>
        </w:rPr>
        <w:t xml:space="preserve"> </w:t>
      </w:r>
      <w:r w:rsidR="00122EAA">
        <w:rPr>
          <w:sz w:val="28"/>
          <w:szCs w:val="28"/>
        </w:rPr>
        <w:t>были выпущены</w:t>
      </w:r>
      <w:r w:rsidRPr="007D225D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внешний 5%-ный</w:t>
      </w:r>
      <w:r w:rsidRPr="007D225D">
        <w:rPr>
          <w:sz w:val="28"/>
          <w:szCs w:val="28"/>
        </w:rPr>
        <w:t xml:space="preserve"> заем на тяжелых усло</w:t>
      </w:r>
      <w:r>
        <w:rPr>
          <w:sz w:val="28"/>
          <w:szCs w:val="28"/>
        </w:rPr>
        <w:t xml:space="preserve">виях и внутренний </w:t>
      </w:r>
      <w:r w:rsidRPr="007D225D">
        <w:rPr>
          <w:sz w:val="28"/>
          <w:szCs w:val="28"/>
        </w:rPr>
        <w:t>2-й Восточный заем на 200 млн рублей</w:t>
      </w:r>
      <w:r>
        <w:rPr>
          <w:sz w:val="28"/>
          <w:szCs w:val="28"/>
        </w:rPr>
        <w:t xml:space="preserve">, а также </w:t>
      </w:r>
      <w:r w:rsidRPr="007D225D">
        <w:rPr>
          <w:sz w:val="28"/>
          <w:szCs w:val="28"/>
        </w:rPr>
        <w:t>выпущены кредитные билеты казначейства на сумму 600 млн</w:t>
      </w:r>
      <w:r w:rsidR="00122EAA">
        <w:rPr>
          <w:sz w:val="28"/>
          <w:szCs w:val="28"/>
        </w:rPr>
        <w:t>. рублей. Несмотря на принятые меры</w:t>
      </w:r>
      <w:r>
        <w:rPr>
          <w:sz w:val="28"/>
          <w:szCs w:val="28"/>
        </w:rPr>
        <w:t xml:space="preserve"> и хороший урожай 1877 года, финансового кризиса </w:t>
      </w:r>
      <w:r w:rsidRPr="007D225D">
        <w:rPr>
          <w:sz w:val="28"/>
          <w:szCs w:val="28"/>
        </w:rPr>
        <w:t xml:space="preserve">на рубеже 1880-х годов </w:t>
      </w:r>
      <w:r>
        <w:rPr>
          <w:sz w:val="28"/>
          <w:szCs w:val="28"/>
        </w:rPr>
        <w:t>избежать не удалось.</w:t>
      </w:r>
      <w:r w:rsidR="004830A1">
        <w:rPr>
          <w:sz w:val="28"/>
          <w:szCs w:val="28"/>
        </w:rPr>
        <w:t xml:space="preserve"> </w:t>
      </w:r>
      <w:r w:rsidRPr="00072052">
        <w:rPr>
          <w:sz w:val="28"/>
          <w:szCs w:val="28"/>
        </w:rPr>
        <w:t xml:space="preserve">В марте 1881 </w:t>
      </w:r>
      <w:r w:rsidRPr="000F4712">
        <w:rPr>
          <w:sz w:val="28"/>
          <w:szCs w:val="28"/>
        </w:rPr>
        <w:t>года Александр II был убит в результате покушения народовольцев</w:t>
      </w:r>
      <w:r>
        <w:rPr>
          <w:sz w:val="28"/>
          <w:szCs w:val="28"/>
        </w:rPr>
        <w:t>.</w:t>
      </w:r>
      <w:r w:rsidRPr="000F4712">
        <w:rPr>
          <w:sz w:val="28"/>
          <w:szCs w:val="28"/>
        </w:rPr>
        <w:t xml:space="preserve"> </w:t>
      </w:r>
      <w:r w:rsidR="004830A1">
        <w:rPr>
          <w:sz w:val="28"/>
          <w:szCs w:val="28"/>
        </w:rPr>
        <w:t>Н</w:t>
      </w:r>
      <w:r>
        <w:rPr>
          <w:sz w:val="28"/>
          <w:szCs w:val="28"/>
        </w:rPr>
        <w:t>аступила эпоха консервативной стабилизации.</w:t>
      </w:r>
      <w:r w:rsidRPr="00AB376B">
        <w:rPr>
          <w:sz w:val="28"/>
          <w:szCs w:val="28"/>
        </w:rPr>
        <w:t xml:space="preserve"> Но это не означало, </w:t>
      </w:r>
      <w:r>
        <w:rPr>
          <w:sz w:val="28"/>
          <w:szCs w:val="28"/>
        </w:rPr>
        <w:t>что существовавшие уже сто лет</w:t>
      </w:r>
      <w:r w:rsidRPr="00AB376B">
        <w:rPr>
          <w:sz w:val="28"/>
          <w:szCs w:val="28"/>
        </w:rPr>
        <w:t xml:space="preserve"> казначей</w:t>
      </w:r>
      <w:r>
        <w:rPr>
          <w:sz w:val="28"/>
          <w:szCs w:val="28"/>
        </w:rPr>
        <w:t>ские</w:t>
      </w:r>
      <w:r w:rsidRPr="00AB376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 xml:space="preserve">ы утратили </w:t>
      </w:r>
      <w:r w:rsidRPr="00AB376B">
        <w:rPr>
          <w:sz w:val="28"/>
          <w:szCs w:val="28"/>
        </w:rPr>
        <w:t>перспектив</w:t>
      </w:r>
      <w:r>
        <w:rPr>
          <w:sz w:val="28"/>
          <w:szCs w:val="28"/>
        </w:rPr>
        <w:t>ы</w:t>
      </w:r>
      <w:r w:rsidR="00122E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 конца </w:t>
      </w:r>
      <w:r>
        <w:rPr>
          <w:sz w:val="28"/>
          <w:szCs w:val="28"/>
          <w:lang w:val="en-US"/>
        </w:rPr>
        <w:t>XIX</w:t>
      </w:r>
      <w:r w:rsidR="004830A1">
        <w:rPr>
          <w:sz w:val="28"/>
          <w:szCs w:val="28"/>
        </w:rPr>
        <w:t xml:space="preserve"> века </w:t>
      </w:r>
      <w:r>
        <w:rPr>
          <w:sz w:val="28"/>
          <w:szCs w:val="28"/>
        </w:rPr>
        <w:t>казначейская служба являлась исключительно жизнеобеспечивающим институтом Российского государства. На рубеже ХХ века деятельность казначейской системы все более оказывалась связанной с развивавшейся рыночной экономикой России.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1887-1892 </w:t>
      </w:r>
      <w:r w:rsidR="00122EAA">
        <w:rPr>
          <w:sz w:val="28"/>
          <w:szCs w:val="28"/>
        </w:rPr>
        <w:t xml:space="preserve">- </w:t>
      </w:r>
      <w:r>
        <w:rPr>
          <w:sz w:val="28"/>
          <w:szCs w:val="28"/>
        </w:rPr>
        <w:t>товарищ Министра финансов.</w:t>
      </w:r>
    </w:p>
    <w:p w:rsidR="004830A1" w:rsidRDefault="004830A1" w:rsidP="00371D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Будучи товарищем Министра финансов</w:t>
      </w:r>
      <w:r w:rsidR="00122EAA">
        <w:rPr>
          <w:sz w:val="28"/>
          <w:szCs w:val="28"/>
        </w:rPr>
        <w:t>,</w:t>
      </w:r>
      <w:r>
        <w:rPr>
          <w:sz w:val="28"/>
          <w:szCs w:val="28"/>
        </w:rPr>
        <w:t xml:space="preserve"> не утратил связь с Казначейством.</w:t>
      </w:r>
      <w:r w:rsidRPr="004830A1">
        <w:rPr>
          <w:sz w:val="28"/>
          <w:szCs w:val="28"/>
        </w:rPr>
        <w:t xml:space="preserve"> </w:t>
      </w:r>
      <w:r w:rsidRPr="00106597">
        <w:rPr>
          <w:sz w:val="28"/>
          <w:szCs w:val="28"/>
        </w:rPr>
        <w:t>В 1891 году министр финансов И.А.Вышнеградский и государственный контролер И.Т.Филиппов учредили</w:t>
      </w:r>
      <w:r>
        <w:rPr>
          <w:sz w:val="28"/>
          <w:szCs w:val="28"/>
        </w:rPr>
        <w:t xml:space="preserve"> Комиссию </w:t>
      </w:r>
      <w:r w:rsidRPr="009070F5">
        <w:rPr>
          <w:sz w:val="28"/>
          <w:szCs w:val="28"/>
        </w:rPr>
        <w:t xml:space="preserve">под председательством товарища министра финансов Ф.Г.Тернера и при участии </w:t>
      </w:r>
      <w:r w:rsidR="00371DFF">
        <w:rPr>
          <w:sz w:val="28"/>
          <w:szCs w:val="28"/>
        </w:rPr>
        <w:t xml:space="preserve">его преемника на посту </w:t>
      </w:r>
      <w:r w:rsidRPr="009070F5">
        <w:rPr>
          <w:sz w:val="28"/>
          <w:szCs w:val="28"/>
        </w:rPr>
        <w:t xml:space="preserve">директора Департамента </w:t>
      </w:r>
      <w:r>
        <w:rPr>
          <w:sz w:val="28"/>
          <w:szCs w:val="28"/>
        </w:rPr>
        <w:t>государственного к</w:t>
      </w:r>
      <w:r w:rsidRPr="009070F5">
        <w:rPr>
          <w:sz w:val="28"/>
          <w:szCs w:val="28"/>
        </w:rPr>
        <w:t>азначейства К.Ф.Галиндо</w:t>
      </w:r>
      <w:r>
        <w:rPr>
          <w:sz w:val="28"/>
          <w:szCs w:val="28"/>
        </w:rPr>
        <w:t xml:space="preserve"> для пересмотра устаревшей классификации росписи доходов. </w:t>
      </w:r>
    </w:p>
    <w:p w:rsidR="004830A1" w:rsidRDefault="004830A1" w:rsidP="00371D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государственного казначейства также пересмотрел систематизацию доходов казны. </w:t>
      </w:r>
      <w:r w:rsidRPr="009070F5">
        <w:rPr>
          <w:sz w:val="28"/>
          <w:szCs w:val="28"/>
        </w:rPr>
        <w:t xml:space="preserve">Обыкновенные доходы подразделялись на: 1) прямые налоги, 2) косвенные налоги, 3) пошлины, 4) правительственные регалии, 5) казенные имущества и капиталы, 6) отчуждение государственных имуществ, 7) выкупные платежи, 8) возмещение расходов казначейства, 9) доходы разного рода. Были выделены чрезвычайные ресурсы: 1) военные </w:t>
      </w:r>
      <w:r w:rsidRPr="009070F5">
        <w:rPr>
          <w:sz w:val="28"/>
          <w:szCs w:val="28"/>
        </w:rPr>
        <w:lastRenderedPageBreak/>
        <w:t>контрибуции, 2) вклады на вечное время, 3) поступления от железных дорог, возвращавших сделанные ранее позаимствования из казны. 4) специальные ка</w:t>
      </w:r>
      <w:r>
        <w:rPr>
          <w:sz w:val="28"/>
          <w:szCs w:val="28"/>
        </w:rPr>
        <w:t>питалы.</w:t>
      </w:r>
    </w:p>
    <w:p w:rsidR="004830A1" w:rsidRDefault="004830A1" w:rsidP="00371DFF">
      <w:pPr>
        <w:ind w:firstLine="720"/>
        <w:jc w:val="both"/>
        <w:rPr>
          <w:sz w:val="28"/>
          <w:szCs w:val="28"/>
        </w:rPr>
      </w:pPr>
      <w:r w:rsidRPr="009070F5">
        <w:rPr>
          <w:sz w:val="28"/>
          <w:szCs w:val="28"/>
        </w:rPr>
        <w:t>Каждый отде</w:t>
      </w:r>
      <w:r>
        <w:rPr>
          <w:sz w:val="28"/>
          <w:szCs w:val="28"/>
        </w:rPr>
        <w:t xml:space="preserve">л подразделялся на параграфы, </w:t>
      </w:r>
      <w:r w:rsidRPr="009070F5">
        <w:rPr>
          <w:sz w:val="28"/>
          <w:szCs w:val="28"/>
        </w:rPr>
        <w:t xml:space="preserve">параграфы на статьи, имевшие в ряде случаев деление на литеры. </w:t>
      </w:r>
      <w:r>
        <w:rPr>
          <w:sz w:val="28"/>
          <w:szCs w:val="28"/>
        </w:rPr>
        <w:t>Проект новой классификации предусматривал введение общей нумерации параграфов и для росписи и для частных смет. Также вводилась общая для всех однородных доходов нумерация статей, на которые разделялись параграфы. В итоге этой реформы в росписи расходов было достигнуто тесное взаимоотношение между частными сметами и самой росписью.</w:t>
      </w:r>
    </w:p>
    <w:p w:rsidR="004830A1" w:rsidRDefault="004830A1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июня 1891 года Государственный совет утвердил, и Александр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подписал проект</w:t>
      </w:r>
      <w:r w:rsidRPr="009070F5">
        <w:rPr>
          <w:sz w:val="28"/>
          <w:szCs w:val="28"/>
        </w:rPr>
        <w:t xml:space="preserve"> но</w:t>
      </w:r>
      <w:r>
        <w:rPr>
          <w:sz w:val="28"/>
          <w:szCs w:val="28"/>
        </w:rPr>
        <w:t>вой</w:t>
      </w:r>
      <w:r w:rsidRPr="009070F5">
        <w:rPr>
          <w:sz w:val="28"/>
          <w:szCs w:val="28"/>
        </w:rPr>
        <w:t xml:space="preserve"> классификаци</w:t>
      </w:r>
      <w:r>
        <w:rPr>
          <w:sz w:val="28"/>
          <w:szCs w:val="28"/>
        </w:rPr>
        <w:t>и</w:t>
      </w:r>
      <w:r w:rsidRPr="009070F5">
        <w:rPr>
          <w:sz w:val="28"/>
          <w:szCs w:val="28"/>
        </w:rPr>
        <w:t xml:space="preserve"> доходов и доходных смет</w:t>
      </w:r>
      <w:r w:rsidR="00F601AD">
        <w:rPr>
          <w:sz w:val="28"/>
          <w:szCs w:val="28"/>
        </w:rPr>
        <w:t>, после чего классификация доходов впервые стала</w:t>
      </w:r>
      <w:r>
        <w:rPr>
          <w:sz w:val="28"/>
          <w:szCs w:val="28"/>
        </w:rPr>
        <w:t xml:space="preserve"> законом.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1892 </w:t>
      </w:r>
      <w:r w:rsidR="004830A1">
        <w:rPr>
          <w:sz w:val="28"/>
          <w:szCs w:val="28"/>
        </w:rPr>
        <w:t xml:space="preserve">Ф.Г.Тернер </w:t>
      </w:r>
      <w:r>
        <w:rPr>
          <w:sz w:val="28"/>
          <w:szCs w:val="28"/>
        </w:rPr>
        <w:t>назначен сенатором, заседал в 1-м департаменте, в 1895 вошел в состав Комитета финансов.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января 1896 года состоял членом Государственного Совета по департаменту государственной экономии.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апреля 1906 возглавлял 2-й департамент Государственного Совета, участвовал в многочисленных комиссиях по вопросам финансов, внутренней и внешней торговли и др.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Удостоен ряда высших российских орденов, до Ордена Св. Благоверного Великого Князя Александра Невского с бриллиантовыми знаками включительно.</w:t>
      </w:r>
    </w:p>
    <w:p w:rsidR="00BF022C" w:rsidRDefault="00BF022C" w:rsidP="00371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Умер 7 августа 1906 года.</w:t>
      </w:r>
    </w:p>
    <w:sectPr w:rsidR="00BF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29" w:rsidRDefault="00736329" w:rsidP="000F4712">
      <w:r>
        <w:separator/>
      </w:r>
    </w:p>
  </w:endnote>
  <w:endnote w:type="continuationSeparator" w:id="0">
    <w:p w:rsidR="00736329" w:rsidRDefault="00736329" w:rsidP="000F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29" w:rsidRDefault="00736329" w:rsidP="000F4712">
      <w:r>
        <w:separator/>
      </w:r>
    </w:p>
  </w:footnote>
  <w:footnote w:type="continuationSeparator" w:id="0">
    <w:p w:rsidR="00736329" w:rsidRDefault="00736329" w:rsidP="000F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2C"/>
    <w:rsid w:val="000F4712"/>
    <w:rsid w:val="00122EAA"/>
    <w:rsid w:val="003266F6"/>
    <w:rsid w:val="00371DFF"/>
    <w:rsid w:val="004830A1"/>
    <w:rsid w:val="00630D71"/>
    <w:rsid w:val="006B49DD"/>
    <w:rsid w:val="00736329"/>
    <w:rsid w:val="00761C4E"/>
    <w:rsid w:val="00A4280D"/>
    <w:rsid w:val="00BF022C"/>
    <w:rsid w:val="00E746D5"/>
    <w:rsid w:val="00F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837DD-8DEF-4B1C-8C88-56FE017E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F47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F471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F4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 Анатолий Васильевич</dc:creator>
  <cp:lastModifiedBy>Григорьев Илья Николаевич</cp:lastModifiedBy>
  <cp:revision>2</cp:revision>
  <dcterms:created xsi:type="dcterms:W3CDTF">2019-10-24T12:11:00Z</dcterms:created>
  <dcterms:modified xsi:type="dcterms:W3CDTF">2019-10-24T12:11:00Z</dcterms:modified>
</cp:coreProperties>
</file>