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20" w:rsidRPr="0098173D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73D">
        <w:rPr>
          <w:rFonts w:ascii="Times New Roman" w:hAnsi="Times New Roman" w:cs="Times New Roman"/>
          <w:b/>
          <w:bCs/>
          <w:sz w:val="28"/>
          <w:szCs w:val="28"/>
        </w:rPr>
        <w:t>Результаты деятельности</w:t>
      </w:r>
    </w:p>
    <w:p w:rsidR="00C95920" w:rsidRPr="0098173D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73D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Федерального казначейства и его территориальных органов </w:t>
      </w:r>
    </w:p>
    <w:p w:rsidR="00C95920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73D">
        <w:rPr>
          <w:rFonts w:ascii="Times New Roman" w:hAnsi="Times New Roman" w:cs="Times New Roman"/>
          <w:b/>
          <w:bCs/>
          <w:sz w:val="28"/>
          <w:szCs w:val="28"/>
        </w:rPr>
        <w:t xml:space="preserve">по контролю (надзору) в сфере противодействия легализации (отмыванию) доходов,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8173D">
        <w:rPr>
          <w:rFonts w:ascii="Times New Roman" w:hAnsi="Times New Roman" w:cs="Times New Roman"/>
          <w:b/>
          <w:bCs/>
          <w:sz w:val="28"/>
          <w:szCs w:val="28"/>
        </w:rPr>
        <w:t xml:space="preserve">полученных преступным путем, финансированию терроризма и финансированию распространения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8173D">
        <w:rPr>
          <w:rFonts w:ascii="Times New Roman" w:hAnsi="Times New Roman" w:cs="Times New Roman"/>
          <w:b/>
          <w:bCs/>
          <w:sz w:val="28"/>
          <w:szCs w:val="28"/>
        </w:rPr>
        <w:t xml:space="preserve">оружия массового уничтожения </w:t>
      </w:r>
      <w:r w:rsidRPr="00A74668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311F38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311F38" w:rsidRPr="00311F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1F38">
        <w:rPr>
          <w:rFonts w:ascii="Times New Roman" w:hAnsi="Times New Roman" w:cs="Times New Roman"/>
          <w:b/>
          <w:bCs/>
          <w:sz w:val="28"/>
          <w:szCs w:val="28"/>
        </w:rPr>
        <w:t xml:space="preserve">квартал </w:t>
      </w:r>
      <w:r w:rsidRPr="00A7466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11F3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74668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C95920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5920" w:rsidRDefault="00C95920" w:rsidP="00C9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5920" w:rsidRDefault="00C95920" w:rsidP="00C959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7796"/>
        <w:gridCol w:w="1843"/>
      </w:tblGrid>
      <w:tr w:rsidR="00C95920" w:rsidTr="00A770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нарушения требований законодательства Российской Федерации </w:t>
            </w:r>
            <w:r w:rsidR="00374BA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о противодействии легализации (отмыванию) доходов, полученных преступным путем, финансированию терроризма</w:t>
            </w:r>
          </w:p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и финансированию распространения оружия массового уничтожения (требования законодательства)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Примеры нарушений и разъяснения требований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20" w:rsidRPr="001D314B" w:rsidRDefault="00C95920" w:rsidP="00744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аудиторских организаций, допустивших указанные нарушения</w:t>
            </w:r>
          </w:p>
        </w:tc>
      </w:tr>
      <w:tr w:rsidR="000C26C1" w:rsidTr="00A770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</w:t>
            </w:r>
            <w:r w:rsidRPr="00F005FC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целях предотвращения </w:t>
            </w:r>
            <w:r w:rsidRPr="00F005FC">
              <w:rPr>
                <w:rFonts w:ascii="Times New Roman" w:hAnsi="Times New Roman" w:cs="Times New Roman"/>
                <w:sz w:val="28"/>
                <w:szCs w:val="28"/>
              </w:rPr>
              <w:t xml:space="preserve">легализации (отмыванию) доходов, полученных преступным путем, финансированию терроризма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05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финансированию распространения оружия массового уничтожения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Правила внутреннего контроля) требованиям законодательства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311F38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Согласно пункту 2 статьи 7 Федерального закона от 7 августа 2001 г. № 115-ФЗ «О противодействии легализации (отмыванию) доходов, полученных преступным путем, 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финансированию терроризма» (далее – Федеральный закон 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115-ФЗ) лица, указанные в статье 7.1 настоящего Федерального закона, обязаны в целях </w:t>
            </w:r>
            <w:r w:rsidRPr="00311F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противодействия легализации (отмыванию) доходов, полученных преступным </w:t>
            </w:r>
            <w:r w:rsidRPr="00311F3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путем, финансированию терроризма </w:t>
            </w:r>
            <w:r w:rsidRPr="00311F3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и финансированию распространения оружия массового уничтожения (далее – 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ПОД/ФТ/ФРОМУ) разрабатывать Правила внутреннего контроля, назначать специальных должностных лиц, ответственных за реализацию Правил внутреннего контроля (далее – СДЛ), а также принимать иные внутренние организационные меры в указанных целях. Требования к Правилам внутреннего контроля установлены постановлением Правительства Российской Федерации 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br/>
              <w:t>от 14 июля 2021 г. № 1188 (далее – Требования).</w:t>
            </w:r>
          </w:p>
          <w:p w:rsidR="000C26C1" w:rsidRPr="00311F38" w:rsidRDefault="000C26C1" w:rsidP="000C26C1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пунктом 2 указанного постановления 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Правила внутреннего контроля, действующие 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аудиторской организации, подлежат приведению 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соответствие с Требованиями в течение одного месяца со дня вступления в силу настоящего постановления. </w:t>
            </w:r>
          </w:p>
          <w:p w:rsidR="000C26C1" w:rsidRPr="00311F38" w:rsidRDefault="000C26C1" w:rsidP="000C26C1">
            <w:pPr>
              <w:pStyle w:val="a3"/>
              <w:tabs>
                <w:tab w:val="left" w:pos="364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0C26C1" w:rsidRPr="00311F38" w:rsidRDefault="000C26C1" w:rsidP="000C26C1">
            <w:pPr>
              <w:pStyle w:val="a3"/>
              <w:tabs>
                <w:tab w:val="left" w:pos="36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приведение Правил внутреннего контроля, действовавших на дату вступления 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силу постановления Правительства Российской Федерации 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14 июля 2021 г. № 1188, в соответствие с Требованиями 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br/>
              <w:t>в течение одного месяца со дня вступления в силу указанного постановления.</w:t>
            </w:r>
          </w:p>
          <w:p w:rsidR="000C26C1" w:rsidRPr="00311F38" w:rsidRDefault="000C26C1" w:rsidP="000C26C1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3 Требований Правила внутреннего контроля должны приводиться аудиторскими организациями 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соответствие с требованиями нормативных правовых актов 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ПОД/ФТ/ФРОМУ не позднее одного месяца со дня вступления в силу указанных нормативных правовых актов, если иное 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установлено такими нормативными правовыми актами, непосредственно относящимися к указанным лицам.</w:t>
            </w:r>
          </w:p>
          <w:p w:rsidR="000C26C1" w:rsidRPr="00311F38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0C26C1" w:rsidRPr="00311F38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обеспечена актуализация Правил внутреннего контроля в течение одного месяца со дня вступления в силу нормативных правовых актов 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ПОД/ФТ/ФРОМУ, с учетом изменений, внесенных 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br/>
              <w:t>в указанные нормативные правовые акты.</w:t>
            </w:r>
          </w:p>
          <w:p w:rsidR="000C26C1" w:rsidRPr="00311F38" w:rsidRDefault="000C26C1" w:rsidP="000C26C1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>Согласно пункт</w:t>
            </w:r>
            <w:r w:rsidR="0083290E" w:rsidRPr="00311F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 8 указанных Требований программа организации системы внутреннего контроля Правил внутреннего контроля должна включать </w:t>
            </w:r>
            <w:r w:rsidR="0083290E"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назначения СДЛ, порядок возложения обязанностей СДЛ на другое лицо на период отсутствия СДЛ (отпуск, временная нетрудоспособность, служебная командировка), полномочия 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290E" w:rsidRPr="00311F38">
              <w:rPr>
                <w:rFonts w:ascii="Times New Roman" w:hAnsi="Times New Roman" w:cs="Times New Roman"/>
                <w:sz w:val="28"/>
                <w:szCs w:val="28"/>
              </w:rPr>
              <w:t>и обязанности, возлагаемые на СДЛ, а также описание системы внутреннего контроля и порядок внесения изменения в данные правила.</w:t>
            </w:r>
          </w:p>
          <w:p w:rsidR="000C26C1" w:rsidRPr="00311F38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</w:p>
          <w:p w:rsidR="000C26C1" w:rsidRPr="00311F38" w:rsidRDefault="0083290E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информации о порядке назначения СДЛ, описания его полномочий и обязанностей, информации 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>о порядке возложения обязанностей СДЛ на другое лицо на период отсутствия СДЛ.</w:t>
            </w:r>
          </w:p>
          <w:p w:rsidR="000C26C1" w:rsidRPr="00311F38" w:rsidRDefault="000C26C1" w:rsidP="000C26C1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>Согласно подпунктам «а», «б» и «в»</w:t>
            </w:r>
            <w:r w:rsidR="006D2D40" w:rsidRPr="00311F38">
              <w:rPr>
                <w:rFonts w:ascii="Times New Roman" w:hAnsi="Times New Roman" w:cs="Times New Roman"/>
                <w:sz w:val="28"/>
                <w:szCs w:val="28"/>
              </w:rPr>
              <w:t>, «г»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 пункта 9 Требований программа идентификации Правил внутреннего контроля включает установление в отношении клиента, представителя клиента и (или) выгодоприобретателя 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311F38">
              <w:rPr>
                <w:rFonts w:ascii="Times New Roman" w:hAnsi="Times New Roman" w:cs="Times New Roman"/>
                <w:sz w:val="28"/>
                <w:szCs w:val="28"/>
              </w:rPr>
              <w:t>бенефициарного</w:t>
            </w:r>
            <w:proofErr w:type="spellEnd"/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 сведений, определенных </w:t>
            </w:r>
            <w:hyperlink r:id="rId8" w:history="1">
              <w:r w:rsidRPr="00311F38">
                <w:rPr>
                  <w:rFonts w:ascii="Times New Roman" w:hAnsi="Times New Roman" w:cs="Times New Roman"/>
                  <w:sz w:val="28"/>
                  <w:szCs w:val="28"/>
                </w:rPr>
                <w:t>статьей 7</w:t>
              </w:r>
            </w:hyperlink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115-ФЗ, и подтверждение 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достоверности этих сведений до приема на обслуживание клиента, а также проверку наличия или отсутствия в отношении клиента, представителя клиента и (или) выгодоприобретателя 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311F38">
              <w:rPr>
                <w:rFonts w:ascii="Times New Roman" w:hAnsi="Times New Roman" w:cs="Times New Roman"/>
                <w:sz w:val="28"/>
                <w:szCs w:val="28"/>
              </w:rPr>
              <w:t>бенефициарного</w:t>
            </w:r>
            <w:proofErr w:type="spellEnd"/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 сведений, в различных перечнях</w:t>
            </w:r>
            <w:r w:rsidR="006D2D40"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D2D40"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и определение принадлежности физического лица, находящегося на обслуживании или принимаемого 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D2D40" w:rsidRPr="00311F38">
              <w:rPr>
                <w:rFonts w:ascii="Times New Roman" w:hAnsi="Times New Roman" w:cs="Times New Roman"/>
                <w:sz w:val="28"/>
                <w:szCs w:val="28"/>
              </w:rPr>
              <w:t>на обслуживание, к числу публичных должностных лиц</w:t>
            </w:r>
            <w:r w:rsidR="00534E52" w:rsidRPr="00311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26C1" w:rsidRPr="00311F38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0C26C1" w:rsidRPr="00311F38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включение в Правила внутреннего контроля положений об установлении в отношении клиента, представителя клиента и </w:t>
            </w:r>
            <w:proofErr w:type="spellStart"/>
            <w:r w:rsidRPr="00311F38">
              <w:rPr>
                <w:rFonts w:ascii="Times New Roman" w:hAnsi="Times New Roman" w:cs="Times New Roman"/>
                <w:sz w:val="28"/>
                <w:szCs w:val="28"/>
              </w:rPr>
              <w:t>бенефициарного</w:t>
            </w:r>
            <w:proofErr w:type="spellEnd"/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 сведений, предусмотренных Требованиями, в объеме, указанном в статье 7 Федерального закона № 115-ФЗ</w:t>
            </w:r>
            <w:r w:rsidR="006D2D40"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34E52"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и подтверждение достоверности этих сведений до приема 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34E52"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на обслуживание клиента, а также проверку наличия или отсутствия в отношении клиента, представителя клиента и (или) выгодоприобретателя и </w:t>
            </w:r>
            <w:proofErr w:type="spellStart"/>
            <w:r w:rsidR="00534E52" w:rsidRPr="00311F38">
              <w:rPr>
                <w:rFonts w:ascii="Times New Roman" w:hAnsi="Times New Roman" w:cs="Times New Roman"/>
                <w:sz w:val="28"/>
                <w:szCs w:val="28"/>
              </w:rPr>
              <w:t>бенефициарного</w:t>
            </w:r>
            <w:proofErr w:type="spellEnd"/>
            <w:r w:rsidR="00534E52"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владельца сведений, 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34E52" w:rsidRPr="00311F38">
              <w:rPr>
                <w:rFonts w:ascii="Times New Roman" w:hAnsi="Times New Roman" w:cs="Times New Roman"/>
                <w:sz w:val="28"/>
                <w:szCs w:val="28"/>
              </w:rPr>
              <w:t>в различных перечнях, и определение принадлежности физического лица, находящегося на обслуживании или принимаемого на обслуживание, к числу публичных должностных лиц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C26C1" w:rsidRPr="00311F38" w:rsidRDefault="000C26C1" w:rsidP="000C26C1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>Согласно пункту 17 Требований при оценке рисков должно проводиться отнесение клиентов к высокой, средней или низкой степени (уровню) риска.</w:t>
            </w:r>
          </w:p>
          <w:p w:rsidR="000C26C1" w:rsidRPr="00311F38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Выявленное нарушение: </w:t>
            </w:r>
          </w:p>
          <w:p w:rsidR="000C26C1" w:rsidRPr="00311F38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 предусмотрено отнесение клиентов к высокой, средней 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>и низкой степени (уровню) риска совершения клиентом подозрительных операций.</w:t>
            </w:r>
          </w:p>
          <w:p w:rsidR="000C26C1" w:rsidRPr="00311F38" w:rsidRDefault="000C26C1" w:rsidP="003A6652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подпункту «б»</w:t>
            </w:r>
            <w:r w:rsidR="003A6652"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 и «д»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 пункта 18 Требований при оценке рисков должны учитываться рекомендации Федеральной службы по финансовому мониторингу</w:t>
            </w:r>
            <w:r w:rsidR="003A6652" w:rsidRPr="00311F38">
              <w:rPr>
                <w:rFonts w:ascii="Times New Roman" w:hAnsi="Times New Roman" w:cs="Times New Roman"/>
                <w:sz w:val="28"/>
                <w:szCs w:val="28"/>
              </w:rPr>
              <w:t>, характер и виды деятельности клиентов, а также характер используемых клиентами услуг, предоставляемых аудиторскими организациями.</w:t>
            </w:r>
          </w:p>
          <w:p w:rsidR="000C26C1" w:rsidRPr="00311F38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0C26C1" w:rsidRPr="00311F38" w:rsidRDefault="003A6652" w:rsidP="000C26C1">
            <w:p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не установлено, что при оценке рисков учитываются рекомендации Федеральной службы по финансовому мониторингу, кроме того, программа оценки рисков 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не содержит положение о том, что при оценке рисков </w:t>
            </w:r>
            <w:r w:rsidR="00A75E6C"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учитываются 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>характер и виды деятельности клиентов, а также характер используемых клиентами услуг, предоставляемых аудиторскими организациями.</w:t>
            </w:r>
          </w:p>
          <w:p w:rsidR="000C26C1" w:rsidRPr="00311F38" w:rsidRDefault="000C26C1" w:rsidP="000C26C1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24 указанных Требований Правила внутреннего контроля должны включать осуществление мониторинга операций (сделок) </w:t>
            </w:r>
            <w:proofErr w:type="spellStart"/>
            <w:r w:rsidRPr="00311F38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 лица в целях выявления сделок и финансовых операций, в том числе подпадающих под признаки, указывающие на необычный характер операций (сделок).</w:t>
            </w:r>
          </w:p>
          <w:p w:rsidR="000C26C1" w:rsidRPr="00311F38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0C26C1" w:rsidRPr="00311F38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</w:t>
            </w:r>
          </w:p>
          <w:p w:rsidR="000C26C1" w:rsidRPr="00311F38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не предусмотрено осуществление мониторинга операций (сделок) </w:t>
            </w:r>
            <w:proofErr w:type="spellStart"/>
            <w:r w:rsidRPr="00311F38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 лица в целях выявления сделок и финансовых операций, в том числе подпадающих под признаки, указывающие на необычный характер операций (сделок), осуществление которых может быть направлено на легализацию 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(отмывание) доходов, полученных преступным путем, 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>или финансирование терроризма.</w:t>
            </w:r>
          </w:p>
          <w:p w:rsidR="000C26C1" w:rsidRPr="00311F38" w:rsidRDefault="000C26C1" w:rsidP="000C26C1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>Согласно пункту 26 Требований программа выявления операций Правил внутреннего контроля должна включать признаки необычных операций (сделок), утвержденных Федеральной службой по финансовому мониторингу</w:t>
            </w:r>
          </w:p>
          <w:p w:rsidR="000C26C1" w:rsidRPr="00311F38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0C26C1" w:rsidRPr="00311F38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включение в Правила внутреннего контроля признаков необычных операций (сделок), утвержденных Федеральной службой по финансовому мониторингу.</w:t>
            </w:r>
          </w:p>
          <w:p w:rsidR="000C26C1" w:rsidRPr="00311F38" w:rsidRDefault="000C26C1" w:rsidP="000C26C1">
            <w:pPr>
              <w:pStyle w:val="a3"/>
              <w:numPr>
                <w:ilvl w:val="0"/>
                <w:numId w:val="3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пункту 28 и подпункту «б» пункта 40 указанных Требований Правила внутреннего контроля должны содержать форму внутреннего сообщения и форму отчета о результатах внутренних проверок.</w:t>
            </w:r>
          </w:p>
          <w:p w:rsidR="000C26C1" w:rsidRPr="00311F38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0C26C1" w:rsidRPr="00311F38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включение в Правила внутреннего контроля формы отчета о результатах внутренних проверок.</w:t>
            </w:r>
          </w:p>
          <w:p w:rsidR="000C26C1" w:rsidRPr="00311F38" w:rsidRDefault="000C26C1" w:rsidP="000C26C1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31 Требований программа выявления операций Правил внутреннего контроля должна содержать порядок действий СДЛ, ответственного за реализацию правил внутреннего контроля, при получении внутреннего сообщения, а также порядок и сроки передачи специальным должностным лицом внутреннего сообщения руководителю организации.  </w:t>
            </w:r>
          </w:p>
          <w:p w:rsidR="000C26C1" w:rsidRPr="00311F38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311F38" w:rsidRPr="00311F38" w:rsidRDefault="000C26C1" w:rsidP="006B033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Правилах внутреннего контроля не установлен порядок действий специального должностного лица, ответственного за реализацию правил внутреннего </w:t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контроля, при получении внутреннего сообщения, а также порядок и сроки передачи специальным должностным лицом внутреннего сообщения руководителю аудиторской организации или иному уполномоченному лицу</w:t>
            </w:r>
          </w:p>
          <w:p w:rsidR="00431D24" w:rsidRPr="00431D24" w:rsidRDefault="00431D24" w:rsidP="00431D24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24">
              <w:rPr>
                <w:rFonts w:ascii="Times New Roman" w:hAnsi="Times New Roman" w:cs="Times New Roman"/>
                <w:sz w:val="28"/>
                <w:szCs w:val="28"/>
              </w:rPr>
              <w:t>Согласно пункту 33 Требований программа выявления операций Правил внутреннего контроля Правила внутреннего контроля должны включать порядок и случаи принятия дополнительных мер по изучению операций(сделок)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имеющих признаки ОД/ФТ</w:t>
            </w:r>
            <w:r w:rsidRPr="00431D24">
              <w:rPr>
                <w:rFonts w:ascii="Times New Roman" w:hAnsi="Times New Roman" w:cs="Times New Roman"/>
                <w:sz w:val="28"/>
                <w:szCs w:val="28"/>
              </w:rPr>
              <w:t>, заключающихся в получении от клиента объяснений и (или) дополнительных сведений, разъясняющих экономический смысл операции (сделки), а также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31D24">
              <w:rPr>
                <w:rFonts w:ascii="Times New Roman" w:hAnsi="Times New Roman" w:cs="Times New Roman"/>
                <w:sz w:val="28"/>
                <w:szCs w:val="28"/>
              </w:rPr>
              <w:t xml:space="preserve"> повышенного внимания ко всем операциям (сделкам) этого клиента.</w:t>
            </w:r>
          </w:p>
          <w:p w:rsidR="00431D24" w:rsidRPr="00431D24" w:rsidRDefault="00431D24" w:rsidP="00431D2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Выявленное нарушение:</w:t>
            </w:r>
          </w:p>
          <w:p w:rsidR="00431D24" w:rsidRDefault="00431D24" w:rsidP="00431D2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24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Правилах внутреннего контроля </w:t>
            </w:r>
            <w:r w:rsidRPr="00431D24">
              <w:rPr>
                <w:rFonts w:ascii="Times New Roman" w:hAnsi="Times New Roman" w:cs="Times New Roman"/>
                <w:sz w:val="28"/>
                <w:szCs w:val="28"/>
              </w:rPr>
              <w:t>не предусмотрен порядок и случаи принятия дополнительных мер по изучению операций (сделок), имеющих признаки ОД/ФТ, в виде получения от клиента необходимых объяснений и (или) дополнительных сведений, разъясняющих экономический смысл операции (сделки), и обеспечения повышенного внимания ко всем операциям (сделкам) этого клиента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6652" w:rsidRPr="00311F38" w:rsidRDefault="003A6652" w:rsidP="003A665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45 Требований Правила внутреннего контроля должны обеспечивать конфиденциальность информации, полученной в результате их применения, а также осуществление мер, принимаемых аудиторской организацией, при реализации таких правил в соответствии 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>с законодательством Российской Федерации.</w:t>
            </w:r>
          </w:p>
          <w:p w:rsidR="005B2958" w:rsidRDefault="005B2958" w:rsidP="003A665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6652" w:rsidRPr="00311F38" w:rsidRDefault="003A6652" w:rsidP="003A665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11F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Выявленное нарушение:</w:t>
            </w:r>
          </w:p>
          <w:p w:rsidR="000C26C1" w:rsidRPr="00311F38" w:rsidRDefault="003A6652" w:rsidP="003A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>Аудиторская организация не обеспечила включение в Правила внутреннего контроля описание конфиденциальной информации, полученной в результате применения Правил внутреннего контроля, а также осуществление мер, принимаемых аудиторской организацией, при реализации таких правил в соответствии с законодательством Российской Федерации.</w:t>
            </w:r>
          </w:p>
          <w:p w:rsidR="000C26C1" w:rsidRPr="00311F38" w:rsidDel="00395E3A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 xml:space="preserve">Вышеуказанное свидетельствует о несоблюдении аудиторскими организациями требований законодательства 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1F38">
              <w:rPr>
                <w:rFonts w:ascii="Times New Roman" w:hAnsi="Times New Roman" w:cs="Times New Roman"/>
                <w:sz w:val="28"/>
                <w:szCs w:val="28"/>
              </w:rPr>
              <w:t>о ПОД/ФТ/ФРОМУ при разработке и утверждении Правил внутреннего контроля.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7D4617" w:rsidRDefault="001869C5" w:rsidP="00FA578B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0C26C1" w:rsidTr="00A770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Несоблюдение Правил внутреннего контроля, ненадлежащее выполнение процедур, предусмотренных Правилами внутреннего контроля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pStyle w:val="a3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 статьи 7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115-ФЗ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лица, указанные в статье 7.1 Федерального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115-ФЗ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, обязаны в целях </w:t>
            </w:r>
            <w:r w:rsidRPr="00CC5192">
              <w:rPr>
                <w:rFonts w:ascii="Times New Roman" w:hAnsi="Times New Roman" w:cs="Times New Roman"/>
                <w:sz w:val="28"/>
                <w:szCs w:val="28"/>
              </w:rPr>
              <w:t xml:space="preserve">ПОД/ФТ/ФРОМУ 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разрабатывать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равила внутреннего контроля, назначать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СДЛ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принимать иные внутренние организационные меры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в указанных целях. </w:t>
            </w:r>
          </w:p>
          <w:p w:rsidR="00B558DA" w:rsidRDefault="00B558DA" w:rsidP="00B55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8DA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5 Требований Правила внутреннего контроля являются документом, регламентирующим организационные основы работы, направленной на ПОД/ФТ/ФРОМУ и устанавливающим порядок и сроки осуществления действий аудиторских организаций при реализации обязанностей </w:t>
            </w:r>
            <w:r w:rsidRPr="00B558DA">
              <w:rPr>
                <w:rFonts w:ascii="Times New Roman" w:hAnsi="Times New Roman" w:cs="Times New Roman"/>
                <w:sz w:val="28"/>
                <w:szCs w:val="28"/>
              </w:rPr>
              <w:br/>
              <w:t>по ПОД/ФТ/ФРОМУ.</w:t>
            </w:r>
          </w:p>
          <w:p w:rsidR="000C26C1" w:rsidRPr="001D314B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1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Выявленные факты несоблюдения аудиторскими организациями положений, установленных Правилами внутреннего контроля:</w:t>
            </w:r>
          </w:p>
          <w:p w:rsidR="000C26C1" w:rsidRPr="00A278B1" w:rsidRDefault="000C26C1" w:rsidP="000C26C1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проведении идентификации клиентов, представителей клиентов и </w:t>
            </w:r>
            <w:proofErr w:type="spellStart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>бенефициарных</w:t>
            </w:r>
            <w:proofErr w:type="spellEnd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владельцев в рамках принятия клиентов на обслуживание аудиторской организацией не обеспечено оформление рабочих документов, указанных 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>в Правилах внутреннего контроля аудиторской организации;</w:t>
            </w:r>
          </w:p>
          <w:p w:rsidR="000C26C1" w:rsidRPr="00A278B1" w:rsidRDefault="000C26C1" w:rsidP="000C26C1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рамках принятия клиентов 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на обслуживание не обеспечено внесение в рабочие документы сведений о клиенте, представителе клиента и </w:t>
            </w:r>
            <w:proofErr w:type="spellStart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>бенефициарном</w:t>
            </w:r>
            <w:proofErr w:type="spellEnd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владельце в объеме, установленном Правилами внутреннего контроля аудиторской организации;</w:t>
            </w:r>
          </w:p>
          <w:p w:rsidR="000C26C1" w:rsidRPr="00A278B1" w:rsidRDefault="000C26C1" w:rsidP="000C26C1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в рамках принятия клиентов </w:t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обслуживание не обеспечено использование функционала личного кабинета на сайте Федеральной службы 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по финансовому мониторингу для проверки наличия сведений 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о клиентах в размещаемых Перечнях организаций </w:t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физических лиц, в отношении которых имеются сведения об их причастности к экстремистской деятельности или терроризму; </w:t>
            </w:r>
          </w:p>
          <w:p w:rsidR="000C26C1" w:rsidRPr="00A278B1" w:rsidRDefault="000C26C1" w:rsidP="000C26C1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при принятии клиентов 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>на обслуживание не обеспечено надлежащее подтверждение достоверности сведений, полученных при идентификации кли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t xml:space="preserve">ентов, представителей клиентов </w:t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>бенефициарных</w:t>
            </w:r>
            <w:proofErr w:type="spellEnd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 владельцев;</w:t>
            </w:r>
          </w:p>
          <w:p w:rsidR="000C26C1" w:rsidRPr="00A278B1" w:rsidRDefault="000C26C1" w:rsidP="000C26C1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проведение СДЛ проверок выполнения Правил внутреннего контроля, требований Федерального </w:t>
            </w:r>
            <w:hyperlink r:id="rId9" w:history="1">
              <w:r w:rsidRPr="00A278B1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 № 115-ФЗ и иных нормативных правовых актов Российской Федерации </w:t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br/>
              <w:t>о ПОД/ФТ/ФРОМУ;</w:t>
            </w:r>
          </w:p>
          <w:p w:rsidR="000C26C1" w:rsidRPr="00A278B1" w:rsidRDefault="000C26C1" w:rsidP="000C26C1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целях выявления необычных операций (сделок) </w:t>
            </w:r>
            <w:r w:rsidR="00431D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в деятельности </w:t>
            </w:r>
            <w:proofErr w:type="spellStart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 лица аудиторской организацией не обеспечено осуществление уполномоченными сотрудниками аудиторской организации мониторинга операций (сделок) </w:t>
            </w:r>
            <w:proofErr w:type="spellStart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 лица и использование перечня признаков необычных операций (сделок), приведенного в Правилах внутреннего контроля;</w:t>
            </w:r>
          </w:p>
          <w:p w:rsidR="000C26C1" w:rsidRPr="00A278B1" w:rsidRDefault="000C26C1" w:rsidP="000C26C1">
            <w:pPr>
              <w:pStyle w:val="a3"/>
              <w:numPr>
                <w:ilvl w:val="0"/>
                <w:numId w:val="4"/>
              </w:numPr>
              <w:tabs>
                <w:tab w:val="left" w:pos="312"/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8B1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документальное </w:t>
            </w:r>
            <w:r w:rsidRPr="00A278B1">
              <w:rPr>
                <w:rFonts w:ascii="Times New Roman" w:hAnsi="Times New Roman" w:cs="Times New Roman"/>
                <w:sz w:val="28"/>
                <w:szCs w:val="28"/>
              </w:rPr>
              <w:br/>
              <w:t>фиксирование операций, имеющих признаки необычных операций (сделок) путем оформления внутренних сообщений.</w:t>
            </w:r>
          </w:p>
          <w:p w:rsidR="000C26C1" w:rsidRDefault="000C26C1" w:rsidP="000C26C1">
            <w:pPr>
              <w:pStyle w:val="a3"/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Вышеу</w:t>
            </w:r>
            <w:r w:rsidRPr="00C27BD1">
              <w:rPr>
                <w:rFonts w:ascii="Times New Roman" w:hAnsi="Times New Roman" w:cs="Times New Roman"/>
                <w:sz w:val="28"/>
                <w:szCs w:val="28"/>
              </w:rPr>
              <w:t xml:space="preserve">казанное свидетельствует о </w:t>
            </w:r>
            <w:r w:rsidRPr="00834C32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аудиторскими организациями </w:t>
            </w:r>
            <w:r w:rsidRPr="00834C32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законодательства </w:t>
            </w:r>
            <w:r w:rsidRPr="00C27BD1">
              <w:rPr>
                <w:rFonts w:ascii="Times New Roman" w:hAnsi="Times New Roman" w:cs="Times New Roman"/>
                <w:sz w:val="28"/>
                <w:szCs w:val="28"/>
              </w:rPr>
              <w:t>в части принятия внутренних организационных мер в целях ПОД/ФТ/ФРОМУ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014D22" w:rsidRDefault="00311F38" w:rsidP="0018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869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C26C1" w:rsidTr="00A770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квалификационных требований, предъявляемых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СДЛ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61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пунктами 1 и 2 постановления </w:t>
            </w:r>
            <w:r w:rsidRPr="007D46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D46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Правительства Российской Федерации от 29 мая 2014 г. № 492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7D4617">
              <w:rPr>
                <w:rFonts w:ascii="Times New Roman" w:hAnsi="Times New Roman" w:cs="Times New Roman"/>
                <w:sz w:val="28"/>
                <w:szCs w:val="28"/>
              </w:rPr>
              <w:t xml:space="preserve">к СДЛ аудиторских организаций предъявляются квалификационные требования в части прохождения обучения </w:t>
            </w:r>
            <w:r w:rsidRPr="007D4617">
              <w:rPr>
                <w:rFonts w:ascii="Times New Roman" w:hAnsi="Times New Roman" w:cs="Times New Roman"/>
                <w:sz w:val="28"/>
                <w:szCs w:val="28"/>
              </w:rPr>
              <w:br/>
              <w:t>в целях ПОД/ФТ.</w:t>
            </w:r>
          </w:p>
          <w:p w:rsidR="000C26C1" w:rsidRPr="007508E7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0C26C1" w:rsidRPr="005D76CD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6CD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соблюдение квалификационных требований, предъявляемых к СДЛ:</w:t>
            </w:r>
          </w:p>
          <w:p w:rsidR="000C26C1" w:rsidRPr="005D76CD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6CD">
              <w:rPr>
                <w:rFonts w:ascii="Times New Roman" w:hAnsi="Times New Roman" w:cs="Times New Roman"/>
                <w:sz w:val="28"/>
                <w:szCs w:val="28"/>
              </w:rPr>
              <w:t>Аудиторской организацией не обеспечено прохождение СДЛ обучения в целях ПОД/ФТ и соответствие СДЛ квалификационным требованиям.</w:t>
            </w:r>
          </w:p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>Вышеуказанное свидетельствует о нарушении аудиторскими организациями требований, установленных законодательством о ПОД/ФТ/ФРОМУ, в части обеспечения прохождения обучения СДЛ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Pr="00095CBC" w:rsidRDefault="00311F38" w:rsidP="000C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C26C1" w:rsidTr="00A770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требований 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уведомлению 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>Федеральной 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C262B">
              <w:rPr>
                <w:rFonts w:ascii="Times New Roman" w:hAnsi="Times New Roman" w:cs="Times New Roman"/>
                <w:sz w:val="28"/>
                <w:szCs w:val="28"/>
              </w:rPr>
              <w:t xml:space="preserve"> по финансовому мониторингу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возникновении любых оснований полагать, что сделки или финансовые операции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 могли или могут быть осуществлены в целях ОД/ФТ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>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 xml:space="preserve"> 2.1 статьи 7.1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№ 115-ФЗ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пункту 3 постановления Правительства Российской Федерации </w:t>
            </w:r>
            <w:r w:rsidRPr="00F31AD0">
              <w:rPr>
                <w:rFonts w:ascii="Times New Roman" w:hAnsi="Times New Roman" w:cs="Times New Roman"/>
                <w:sz w:val="28"/>
                <w:szCs w:val="28"/>
              </w:rPr>
              <w:t xml:space="preserve">от 9 апреля 2021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31AD0">
              <w:rPr>
                <w:rFonts w:ascii="Times New Roman" w:hAnsi="Times New Roman" w:cs="Times New Roman"/>
                <w:sz w:val="28"/>
                <w:szCs w:val="28"/>
              </w:rPr>
              <w:t xml:space="preserve"> 569</w:t>
            </w:r>
            <w:r w:rsidRPr="00F46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удиторские организации при оказании аудиторских услуг при наличии любых оснований полагать, что сделки или финансовые операции </w:t>
            </w:r>
            <w:proofErr w:type="spellStart"/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 лица могли или могут быть осуществлены в целях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ОД/ФТ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 xml:space="preserve"> обязаны уведомить об этом уполномоченный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установленном порядке</w:t>
            </w:r>
            <w:r w:rsidRPr="002E1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26C1" w:rsidRPr="007508E7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8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Выявленное нарушение:</w:t>
            </w:r>
          </w:p>
          <w:p w:rsidR="000C26C1" w:rsidRPr="00571422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Аудиторской организацией не обеспечено соблюдение требований законодательства по уведомлению Федеральной службы по финансовому мониторингу о возникновении любых оснований полагать, что сделки или финансовые операции </w:t>
            </w:r>
            <w:proofErr w:type="spellStart"/>
            <w:r w:rsidRPr="004771CD">
              <w:rPr>
                <w:rFonts w:ascii="Times New Roman" w:hAnsi="Times New Roman" w:cs="Times New Roman"/>
                <w:sz w:val="28"/>
                <w:szCs w:val="28"/>
              </w:rPr>
              <w:t>аудируемого</w:t>
            </w:r>
            <w:proofErr w:type="spellEnd"/>
            <w:r w:rsidRPr="004771CD">
              <w:rPr>
                <w:rFonts w:ascii="Times New Roman" w:hAnsi="Times New Roman" w:cs="Times New Roman"/>
                <w:sz w:val="28"/>
                <w:szCs w:val="28"/>
              </w:rPr>
              <w:t xml:space="preserve"> лица могли или могут быть осуществлены в целях ОД/ФТ</w:t>
            </w:r>
            <w:r w:rsidRPr="005714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26C1" w:rsidRDefault="000C26C1" w:rsidP="000C2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1CD">
              <w:rPr>
                <w:rFonts w:ascii="Times New Roman" w:hAnsi="Times New Roman" w:cs="Times New Roman"/>
                <w:sz w:val="28"/>
                <w:szCs w:val="28"/>
              </w:rPr>
              <w:t>Вышеуказанное свидетельствует о нарушении аудиторскими организациями требований, установленных законодательством о ПОД/ФТ/ФРОМУ, в части уведомления Федеральной службы по финансовому мониторингу о сделках и финансовых операциях аудируемых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1" w:rsidRDefault="001869C5" w:rsidP="00901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C95920" w:rsidRDefault="00C95920" w:rsidP="00C9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920" w:rsidRDefault="00C95920" w:rsidP="00C95920"/>
    <w:p w:rsidR="00847EF0" w:rsidRPr="00C95920" w:rsidRDefault="00847EF0" w:rsidP="00C95920"/>
    <w:sectPr w:rsidR="00847EF0" w:rsidRPr="00C95920" w:rsidSect="007D4617">
      <w:headerReference w:type="default" r:id="rId10"/>
      <w:pgSz w:w="16838" w:h="11905" w:orient="landscape"/>
      <w:pgMar w:top="1276" w:right="1134" w:bottom="850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8FD" w:rsidRDefault="004D08FD" w:rsidP="00481CA2">
      <w:pPr>
        <w:spacing w:after="0" w:line="240" w:lineRule="auto"/>
      </w:pPr>
      <w:r>
        <w:separator/>
      </w:r>
    </w:p>
  </w:endnote>
  <w:endnote w:type="continuationSeparator" w:id="0">
    <w:p w:rsidR="004D08FD" w:rsidRDefault="004D08FD" w:rsidP="0048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8FD" w:rsidRDefault="004D08FD" w:rsidP="00481CA2">
      <w:pPr>
        <w:spacing w:after="0" w:line="240" w:lineRule="auto"/>
      </w:pPr>
      <w:r>
        <w:separator/>
      </w:r>
    </w:p>
  </w:footnote>
  <w:footnote w:type="continuationSeparator" w:id="0">
    <w:p w:rsidR="004D08FD" w:rsidRDefault="004D08FD" w:rsidP="0048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86782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4617" w:rsidRDefault="007D4617">
        <w:pPr>
          <w:pStyle w:val="a4"/>
          <w:jc w:val="center"/>
        </w:pPr>
      </w:p>
      <w:p w:rsidR="007D4617" w:rsidRDefault="007D461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481CA2" w:rsidRPr="00481CA2" w:rsidRDefault="00481CA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1C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C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C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2958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481C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1CA2" w:rsidRDefault="00481C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3E4C"/>
    <w:multiLevelType w:val="hybridMultilevel"/>
    <w:tmpl w:val="83EEC95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E2E35"/>
    <w:multiLevelType w:val="hybridMultilevel"/>
    <w:tmpl w:val="F708A2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526AD"/>
    <w:multiLevelType w:val="hybridMultilevel"/>
    <w:tmpl w:val="5880AC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E2860"/>
    <w:multiLevelType w:val="hybridMultilevel"/>
    <w:tmpl w:val="0270FD9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F48F4"/>
    <w:multiLevelType w:val="hybridMultilevel"/>
    <w:tmpl w:val="F708A2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671B9"/>
    <w:multiLevelType w:val="hybridMultilevel"/>
    <w:tmpl w:val="F708A2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46"/>
    <w:rsid w:val="00006940"/>
    <w:rsid w:val="00007366"/>
    <w:rsid w:val="00014D22"/>
    <w:rsid w:val="00027116"/>
    <w:rsid w:val="00032DED"/>
    <w:rsid w:val="000649DF"/>
    <w:rsid w:val="000716F4"/>
    <w:rsid w:val="00071DF1"/>
    <w:rsid w:val="0007387A"/>
    <w:rsid w:val="00076E3D"/>
    <w:rsid w:val="0008780D"/>
    <w:rsid w:val="00095CBC"/>
    <w:rsid w:val="000A7179"/>
    <w:rsid w:val="000B2CB4"/>
    <w:rsid w:val="000C26C1"/>
    <w:rsid w:val="000C6AF9"/>
    <w:rsid w:val="000D3F00"/>
    <w:rsid w:val="000D6555"/>
    <w:rsid w:val="000E0FE6"/>
    <w:rsid w:val="00123503"/>
    <w:rsid w:val="001539BE"/>
    <w:rsid w:val="00156271"/>
    <w:rsid w:val="0015666D"/>
    <w:rsid w:val="00174CA5"/>
    <w:rsid w:val="001770EB"/>
    <w:rsid w:val="0018494B"/>
    <w:rsid w:val="001869C5"/>
    <w:rsid w:val="00195AD9"/>
    <w:rsid w:val="001B28B3"/>
    <w:rsid w:val="001B745F"/>
    <w:rsid w:val="001C2654"/>
    <w:rsid w:val="001C3002"/>
    <w:rsid w:val="001D4A9F"/>
    <w:rsid w:val="001E0C9D"/>
    <w:rsid w:val="001E174A"/>
    <w:rsid w:val="001E43A6"/>
    <w:rsid w:val="001F5D4B"/>
    <w:rsid w:val="00201562"/>
    <w:rsid w:val="00211BCB"/>
    <w:rsid w:val="00211BCE"/>
    <w:rsid w:val="00220746"/>
    <w:rsid w:val="002267D5"/>
    <w:rsid w:val="002412EC"/>
    <w:rsid w:val="002737D3"/>
    <w:rsid w:val="00275AF3"/>
    <w:rsid w:val="00276BFF"/>
    <w:rsid w:val="00283E46"/>
    <w:rsid w:val="0028457E"/>
    <w:rsid w:val="0028785F"/>
    <w:rsid w:val="0029141E"/>
    <w:rsid w:val="002A00DF"/>
    <w:rsid w:val="002A3153"/>
    <w:rsid w:val="002B3675"/>
    <w:rsid w:val="002C262B"/>
    <w:rsid w:val="002C60B0"/>
    <w:rsid w:val="002C6F68"/>
    <w:rsid w:val="002E1489"/>
    <w:rsid w:val="002F23CE"/>
    <w:rsid w:val="002F4AD3"/>
    <w:rsid w:val="002F7AA2"/>
    <w:rsid w:val="0030481B"/>
    <w:rsid w:val="00311F38"/>
    <w:rsid w:val="00314F40"/>
    <w:rsid w:val="003168C8"/>
    <w:rsid w:val="003177E5"/>
    <w:rsid w:val="0033323B"/>
    <w:rsid w:val="0037417E"/>
    <w:rsid w:val="00374BAF"/>
    <w:rsid w:val="003903E3"/>
    <w:rsid w:val="003A6652"/>
    <w:rsid w:val="003B4807"/>
    <w:rsid w:val="003C1552"/>
    <w:rsid w:val="003C4743"/>
    <w:rsid w:val="003F044B"/>
    <w:rsid w:val="003F20F0"/>
    <w:rsid w:val="003F4D9F"/>
    <w:rsid w:val="00404A1B"/>
    <w:rsid w:val="004258D5"/>
    <w:rsid w:val="00431D24"/>
    <w:rsid w:val="0043331B"/>
    <w:rsid w:val="00443711"/>
    <w:rsid w:val="00452B23"/>
    <w:rsid w:val="004756FA"/>
    <w:rsid w:val="004771CD"/>
    <w:rsid w:val="0047735A"/>
    <w:rsid w:val="00481CA2"/>
    <w:rsid w:val="00487F07"/>
    <w:rsid w:val="0049246A"/>
    <w:rsid w:val="004A2D18"/>
    <w:rsid w:val="004B0C2C"/>
    <w:rsid w:val="004D08FD"/>
    <w:rsid w:val="004D546C"/>
    <w:rsid w:val="004E4052"/>
    <w:rsid w:val="004E4872"/>
    <w:rsid w:val="004F74D5"/>
    <w:rsid w:val="00516334"/>
    <w:rsid w:val="00532C85"/>
    <w:rsid w:val="005335EC"/>
    <w:rsid w:val="00534E52"/>
    <w:rsid w:val="00535312"/>
    <w:rsid w:val="00563263"/>
    <w:rsid w:val="005827B2"/>
    <w:rsid w:val="005B2958"/>
    <w:rsid w:val="005B41EE"/>
    <w:rsid w:val="005D54C8"/>
    <w:rsid w:val="005D76CD"/>
    <w:rsid w:val="005F4B6A"/>
    <w:rsid w:val="006028B2"/>
    <w:rsid w:val="00611AEF"/>
    <w:rsid w:val="00612E3D"/>
    <w:rsid w:val="006166C0"/>
    <w:rsid w:val="00616AD1"/>
    <w:rsid w:val="00627C91"/>
    <w:rsid w:val="006324C0"/>
    <w:rsid w:val="0063439C"/>
    <w:rsid w:val="00663F32"/>
    <w:rsid w:val="00671A68"/>
    <w:rsid w:val="00671ED4"/>
    <w:rsid w:val="006730DA"/>
    <w:rsid w:val="00673C65"/>
    <w:rsid w:val="00676932"/>
    <w:rsid w:val="0068291E"/>
    <w:rsid w:val="006A0EC6"/>
    <w:rsid w:val="006A1265"/>
    <w:rsid w:val="006A42B5"/>
    <w:rsid w:val="006B033A"/>
    <w:rsid w:val="006B40E9"/>
    <w:rsid w:val="006D007B"/>
    <w:rsid w:val="006D1D14"/>
    <w:rsid w:val="006D2D40"/>
    <w:rsid w:val="006D471A"/>
    <w:rsid w:val="006F0A81"/>
    <w:rsid w:val="006F41E0"/>
    <w:rsid w:val="006F79B0"/>
    <w:rsid w:val="0070711E"/>
    <w:rsid w:val="007102E7"/>
    <w:rsid w:val="0073215B"/>
    <w:rsid w:val="007469D3"/>
    <w:rsid w:val="00750695"/>
    <w:rsid w:val="007508E7"/>
    <w:rsid w:val="00782844"/>
    <w:rsid w:val="0079477C"/>
    <w:rsid w:val="0079579F"/>
    <w:rsid w:val="0079629A"/>
    <w:rsid w:val="007A0F7F"/>
    <w:rsid w:val="007D4617"/>
    <w:rsid w:val="007D690D"/>
    <w:rsid w:val="007E502E"/>
    <w:rsid w:val="008260AF"/>
    <w:rsid w:val="0083290E"/>
    <w:rsid w:val="00834C32"/>
    <w:rsid w:val="00842ACB"/>
    <w:rsid w:val="00847D6C"/>
    <w:rsid w:val="00847EF0"/>
    <w:rsid w:val="008501AD"/>
    <w:rsid w:val="0085545C"/>
    <w:rsid w:val="008557DE"/>
    <w:rsid w:val="00874D1E"/>
    <w:rsid w:val="00886CD1"/>
    <w:rsid w:val="00892CCC"/>
    <w:rsid w:val="008D7B23"/>
    <w:rsid w:val="008E1A13"/>
    <w:rsid w:val="008E62BF"/>
    <w:rsid w:val="008E795F"/>
    <w:rsid w:val="008F2611"/>
    <w:rsid w:val="008F2812"/>
    <w:rsid w:val="008F4912"/>
    <w:rsid w:val="008F5856"/>
    <w:rsid w:val="008F6073"/>
    <w:rsid w:val="00901653"/>
    <w:rsid w:val="00903B46"/>
    <w:rsid w:val="009176F2"/>
    <w:rsid w:val="00921D4B"/>
    <w:rsid w:val="00922926"/>
    <w:rsid w:val="00922F1D"/>
    <w:rsid w:val="00922F56"/>
    <w:rsid w:val="00924682"/>
    <w:rsid w:val="00933A24"/>
    <w:rsid w:val="0093561F"/>
    <w:rsid w:val="00941F7D"/>
    <w:rsid w:val="0094263B"/>
    <w:rsid w:val="009435CA"/>
    <w:rsid w:val="009436B6"/>
    <w:rsid w:val="00946E88"/>
    <w:rsid w:val="0098173D"/>
    <w:rsid w:val="009838B6"/>
    <w:rsid w:val="00991D44"/>
    <w:rsid w:val="00992538"/>
    <w:rsid w:val="009A1F18"/>
    <w:rsid w:val="009B3E19"/>
    <w:rsid w:val="009B58CA"/>
    <w:rsid w:val="009D4FF7"/>
    <w:rsid w:val="009D7A3B"/>
    <w:rsid w:val="009E42FA"/>
    <w:rsid w:val="009E5DF6"/>
    <w:rsid w:val="009F684B"/>
    <w:rsid w:val="00A00A44"/>
    <w:rsid w:val="00A20029"/>
    <w:rsid w:val="00A21536"/>
    <w:rsid w:val="00A24973"/>
    <w:rsid w:val="00A278B1"/>
    <w:rsid w:val="00A32F38"/>
    <w:rsid w:val="00A618C9"/>
    <w:rsid w:val="00A65CBD"/>
    <w:rsid w:val="00A74668"/>
    <w:rsid w:val="00A75E6C"/>
    <w:rsid w:val="00A770F3"/>
    <w:rsid w:val="00A805BD"/>
    <w:rsid w:val="00A87E07"/>
    <w:rsid w:val="00A9641B"/>
    <w:rsid w:val="00AB2137"/>
    <w:rsid w:val="00AB3071"/>
    <w:rsid w:val="00AE0BB7"/>
    <w:rsid w:val="00B126DB"/>
    <w:rsid w:val="00B15A90"/>
    <w:rsid w:val="00B16ED7"/>
    <w:rsid w:val="00B21439"/>
    <w:rsid w:val="00B434B7"/>
    <w:rsid w:val="00B50847"/>
    <w:rsid w:val="00B558DA"/>
    <w:rsid w:val="00B578BF"/>
    <w:rsid w:val="00B57A17"/>
    <w:rsid w:val="00B62A3A"/>
    <w:rsid w:val="00B67CBB"/>
    <w:rsid w:val="00B83EB4"/>
    <w:rsid w:val="00B87560"/>
    <w:rsid w:val="00B90372"/>
    <w:rsid w:val="00B9321E"/>
    <w:rsid w:val="00B97BAB"/>
    <w:rsid w:val="00BA1E5B"/>
    <w:rsid w:val="00BA6BDB"/>
    <w:rsid w:val="00BB5E9F"/>
    <w:rsid w:val="00BB7D20"/>
    <w:rsid w:val="00BC77CF"/>
    <w:rsid w:val="00BC7E98"/>
    <w:rsid w:val="00BE7494"/>
    <w:rsid w:val="00BF4D9F"/>
    <w:rsid w:val="00C101AC"/>
    <w:rsid w:val="00C27BD1"/>
    <w:rsid w:val="00C3008A"/>
    <w:rsid w:val="00C45B17"/>
    <w:rsid w:val="00C50D87"/>
    <w:rsid w:val="00C57153"/>
    <w:rsid w:val="00C5782B"/>
    <w:rsid w:val="00C64244"/>
    <w:rsid w:val="00C73770"/>
    <w:rsid w:val="00C76E9B"/>
    <w:rsid w:val="00C7782A"/>
    <w:rsid w:val="00C80BC7"/>
    <w:rsid w:val="00C945CF"/>
    <w:rsid w:val="00C95920"/>
    <w:rsid w:val="00CA2D7B"/>
    <w:rsid w:val="00CB6059"/>
    <w:rsid w:val="00CC5192"/>
    <w:rsid w:val="00CD31EA"/>
    <w:rsid w:val="00CE596C"/>
    <w:rsid w:val="00CF03FE"/>
    <w:rsid w:val="00CF107D"/>
    <w:rsid w:val="00CF1FD0"/>
    <w:rsid w:val="00D06019"/>
    <w:rsid w:val="00D25EE3"/>
    <w:rsid w:val="00D344B8"/>
    <w:rsid w:val="00D378A8"/>
    <w:rsid w:val="00D42327"/>
    <w:rsid w:val="00D468C2"/>
    <w:rsid w:val="00D50C75"/>
    <w:rsid w:val="00D65A53"/>
    <w:rsid w:val="00D753B3"/>
    <w:rsid w:val="00D92EA7"/>
    <w:rsid w:val="00DB7D76"/>
    <w:rsid w:val="00DD11A4"/>
    <w:rsid w:val="00DD40D4"/>
    <w:rsid w:val="00DE0EE1"/>
    <w:rsid w:val="00DF3C26"/>
    <w:rsid w:val="00E142C8"/>
    <w:rsid w:val="00E2307B"/>
    <w:rsid w:val="00E24AB9"/>
    <w:rsid w:val="00E2649B"/>
    <w:rsid w:val="00E2680F"/>
    <w:rsid w:val="00E43551"/>
    <w:rsid w:val="00E43FED"/>
    <w:rsid w:val="00E4603A"/>
    <w:rsid w:val="00E55676"/>
    <w:rsid w:val="00E57254"/>
    <w:rsid w:val="00E6139C"/>
    <w:rsid w:val="00E64E3B"/>
    <w:rsid w:val="00E750F2"/>
    <w:rsid w:val="00E762DF"/>
    <w:rsid w:val="00E8040D"/>
    <w:rsid w:val="00EA14A0"/>
    <w:rsid w:val="00EA14FC"/>
    <w:rsid w:val="00EA562D"/>
    <w:rsid w:val="00EE1116"/>
    <w:rsid w:val="00F005FC"/>
    <w:rsid w:val="00F05862"/>
    <w:rsid w:val="00F27875"/>
    <w:rsid w:val="00F31AD0"/>
    <w:rsid w:val="00F35DB7"/>
    <w:rsid w:val="00F46FC6"/>
    <w:rsid w:val="00F51CD6"/>
    <w:rsid w:val="00F6021B"/>
    <w:rsid w:val="00F711A2"/>
    <w:rsid w:val="00F82E34"/>
    <w:rsid w:val="00FA2174"/>
    <w:rsid w:val="00FA578B"/>
    <w:rsid w:val="00F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60D7B1-E1FB-4225-9FCB-4158ECF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B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1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1CA2"/>
  </w:style>
  <w:style w:type="paragraph" w:styleId="a6">
    <w:name w:val="footer"/>
    <w:basedOn w:val="a"/>
    <w:link w:val="a7"/>
    <w:uiPriority w:val="99"/>
    <w:unhideWhenUsed/>
    <w:rsid w:val="00481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1CA2"/>
  </w:style>
  <w:style w:type="character" w:styleId="a8">
    <w:name w:val="annotation reference"/>
    <w:basedOn w:val="a0"/>
    <w:uiPriority w:val="99"/>
    <w:semiHidden/>
    <w:unhideWhenUsed/>
    <w:rsid w:val="00F602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602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6021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602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6021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60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6021B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AE0B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84&amp;dst=1001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0846D-9917-4018-BC30-2C71A84C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11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Наврузова Санура Ханахмедовна</dc:creator>
  <cp:keywords/>
  <dc:description/>
  <cp:lastModifiedBy>Деревянко Мария Николаевна</cp:lastModifiedBy>
  <cp:revision>7</cp:revision>
  <cp:lastPrinted>2024-07-12T08:39:00Z</cp:lastPrinted>
  <dcterms:created xsi:type="dcterms:W3CDTF">2025-04-18T11:35:00Z</dcterms:created>
  <dcterms:modified xsi:type="dcterms:W3CDTF">2025-04-28T11:27:00Z</dcterms:modified>
</cp:coreProperties>
</file>