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360" w:rsidRPr="00702083" w:rsidRDefault="00AE3E22">
      <w:pPr>
        <w:pStyle w:val="ConsPlusNormal0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702083">
        <w:rPr>
          <w:rFonts w:ascii="Times New Roman" w:hAnsi="Times New Roman" w:cs="Times New Roman"/>
          <w:sz w:val="26"/>
          <w:szCs w:val="26"/>
        </w:rPr>
        <w:t>Зарегистрировано в Минюсте России 20 декабря 2023 г. N 76487</w:t>
      </w:r>
    </w:p>
    <w:p w:rsidR="00F21360" w:rsidRPr="00702083" w:rsidRDefault="00F21360">
      <w:pPr>
        <w:pStyle w:val="ConsPlusNormal0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F21360" w:rsidRPr="00702083" w:rsidRDefault="00F21360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F21360" w:rsidRPr="00702083" w:rsidRDefault="00AE3E2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МИНИСТЕРСТВО ФИНАНСОВ РОССИЙСКОЙ ФЕДЕРАЦИИ</w:t>
      </w:r>
    </w:p>
    <w:p w:rsidR="00F21360" w:rsidRPr="00702083" w:rsidRDefault="00F21360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</w:p>
    <w:p w:rsidR="00F21360" w:rsidRPr="00702083" w:rsidRDefault="00AE3E2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ФЕДЕРАЛЬНОЕ КАЗНАЧЕЙСТВО</w:t>
      </w:r>
    </w:p>
    <w:p w:rsidR="00F21360" w:rsidRPr="00702083" w:rsidRDefault="00F21360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</w:p>
    <w:p w:rsidR="00F21360" w:rsidRPr="00702083" w:rsidRDefault="00AE3E2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ПРИКАЗ</w:t>
      </w:r>
    </w:p>
    <w:p w:rsidR="00F21360" w:rsidRPr="00702083" w:rsidRDefault="00AE3E2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от 20 ноября 2023 г. N 24н</w:t>
      </w:r>
    </w:p>
    <w:p w:rsidR="00F21360" w:rsidRPr="00702083" w:rsidRDefault="00F21360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</w:p>
    <w:p w:rsidR="00F21360" w:rsidRPr="00702083" w:rsidRDefault="00AE3E2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ОБ УТВЕРЖДЕНИИ ПОРЯДКА</w:t>
      </w:r>
    </w:p>
    <w:p w:rsidR="00F21360" w:rsidRPr="00702083" w:rsidRDefault="00AE3E2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ПРОВЕДЕНИЯ ФЕДЕРАЛЬНЫМ КАЗНАЧЕЙСТВОМ ОЦЕНКИ РИСКОВ</w:t>
      </w:r>
    </w:p>
    <w:p w:rsidR="00F21360" w:rsidRPr="00702083" w:rsidRDefault="00AE3E2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СОВЕРШЕНИЯ ОПЕРАЦИЙ (СДЕЛОК) В ЦЕЛЯХ ЛЕГАЛИЗАЦИИ (ОТМЫВАНИЯ)</w:t>
      </w:r>
    </w:p>
    <w:p w:rsidR="00F21360" w:rsidRPr="00702083" w:rsidRDefault="00AE3E2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ДОХОДОВ, ПОЛУЧЕННЫХ ПРЕСТУПНЫМ ПУТЕМ, И ФИНАНСИРОВАНИЯ</w:t>
      </w:r>
    </w:p>
    <w:p w:rsidR="00F21360" w:rsidRPr="00702083" w:rsidRDefault="00AE3E2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ТЕРРОРИЗМА ПО СЕКТОРУ ЭКОНОМИЧЕСКОЙ ДЕЯТЕЛЬНОСТИ</w:t>
      </w:r>
    </w:p>
    <w:p w:rsidR="00F21360" w:rsidRPr="00702083" w:rsidRDefault="00AE3E2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(СЕКТОРАЛЬНАЯ ОЦЕНКА РИСКОВ)</w:t>
      </w:r>
    </w:p>
    <w:p w:rsidR="00F21360" w:rsidRPr="00702083" w:rsidRDefault="00F21360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F21360" w:rsidRPr="00702083" w:rsidRDefault="00AE3E22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На основании абзаца второго пункта 4 статьи 9.1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терроризма", пункта 1 Положения о Федеральном казначействе, утвержденного постановлением Правительства Российской Федерации от 1 декабря 2004 г. N 703, приказываю: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утвердить Порядок проведения Федеральным казначейством оценки рисков совершения операций (сделок) в целях легализации (отмывания) доходов, полученных преступным путем, и финансирования терроризма по сектору экономической деятельности (секторальная оценка рисков).</w:t>
      </w:r>
    </w:p>
    <w:p w:rsidR="00F21360" w:rsidRPr="00702083" w:rsidRDefault="00F21360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F21360" w:rsidRPr="00702083" w:rsidRDefault="00AE3E22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Руководитель</w:t>
      </w:r>
    </w:p>
    <w:p w:rsidR="00F21360" w:rsidRPr="00702083" w:rsidRDefault="00AE3E22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Р.Е.АРТЮХИН</w:t>
      </w:r>
    </w:p>
    <w:p w:rsidR="00F21360" w:rsidRPr="00702083" w:rsidRDefault="00F21360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F21360" w:rsidRPr="00702083" w:rsidRDefault="00F21360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F21360" w:rsidRPr="00702083" w:rsidRDefault="00AE3E22">
      <w:pPr>
        <w:pStyle w:val="ConsPlusNormal0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Утвержден</w:t>
      </w:r>
    </w:p>
    <w:p w:rsidR="00F21360" w:rsidRPr="00702083" w:rsidRDefault="00AE3E22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приказом Федерального казначейства</w:t>
      </w:r>
    </w:p>
    <w:p w:rsidR="00F21360" w:rsidRPr="00702083" w:rsidRDefault="00AE3E22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от 20 ноября 2023 г. N 24н</w:t>
      </w:r>
    </w:p>
    <w:p w:rsidR="00F21360" w:rsidRPr="00702083" w:rsidRDefault="00F21360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F21360" w:rsidRPr="00702083" w:rsidRDefault="00AE3E2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2"/>
      <w:bookmarkEnd w:id="1"/>
      <w:r w:rsidRPr="00702083">
        <w:rPr>
          <w:rFonts w:ascii="Times New Roman" w:hAnsi="Times New Roman" w:cs="Times New Roman"/>
          <w:sz w:val="26"/>
          <w:szCs w:val="26"/>
        </w:rPr>
        <w:t>ПОРЯДОК</w:t>
      </w:r>
    </w:p>
    <w:p w:rsidR="00F21360" w:rsidRPr="00702083" w:rsidRDefault="00AE3E2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ПРОВЕДЕНИЯ ФЕДЕРАЛЬНЫМ КАЗНАЧЕЙСТВОМ ОЦЕНКИ РИСКОВ</w:t>
      </w:r>
    </w:p>
    <w:p w:rsidR="00F21360" w:rsidRPr="00702083" w:rsidRDefault="00AE3E2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СОВЕРШЕНИЯ ОПЕРАЦИЙ (СДЕЛОК) В ЦЕЛЯХ ЛЕГАЛИЗАЦИИ (ОТМЫВАНИЯ)</w:t>
      </w:r>
    </w:p>
    <w:p w:rsidR="00F21360" w:rsidRPr="00702083" w:rsidRDefault="00AE3E2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ДОХОДОВ, ПОЛУЧЕННЫХ ПРЕСТУПНЫМ ПУТЕМ, И ФИНАНСИРОВАНИЯ</w:t>
      </w:r>
    </w:p>
    <w:p w:rsidR="00F21360" w:rsidRPr="00702083" w:rsidRDefault="00AE3E2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ТЕРРОРИЗМА ПО СЕКТОРУ ЭКОНОМИЧЕСКОЙ ДЕЯТЕЛЬНОСТИ</w:t>
      </w:r>
    </w:p>
    <w:p w:rsidR="00F21360" w:rsidRPr="00702083" w:rsidRDefault="00AE3E2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(СЕКТОРАЛЬНАЯ ОЦЕНКА РИСКОВ)</w:t>
      </w:r>
    </w:p>
    <w:p w:rsidR="00F21360" w:rsidRPr="00702083" w:rsidRDefault="00F21360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F21360" w:rsidRPr="00702083" w:rsidRDefault="00AE3E22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 xml:space="preserve">1. Настоящий Порядок проведения Федеральным казначейством оценки рисков </w:t>
      </w:r>
      <w:r w:rsidRPr="00702083">
        <w:rPr>
          <w:rFonts w:ascii="Times New Roman" w:hAnsi="Times New Roman" w:cs="Times New Roman"/>
          <w:sz w:val="26"/>
          <w:szCs w:val="26"/>
        </w:rPr>
        <w:lastRenderedPageBreak/>
        <w:t>совершения операций (сделок) в целях легализации (отмывания) доходов, полученных преступным путем, и финансирования терроризма по сектору экономической деятельности (секторальная оценка рисков) устанавливает комплекс мероприятий по осуществлению Федеральным казначейством с участием саморегулируемой организации аудиторов секторальной оценки рисков легализации (отмывания) доходов, полученных преступным путем, и финансирования терроризма в сфере деятельности по проведению финансового аудита (далее соответственно - СОР, сектор).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2. Оценка рисков совершения операций (сделок) в целях легализации (отмывания) доходов, полученных преступным путем, и финансирования терроризма (далее - ОД и ФТ) в секторе проводится с целью: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определения факторов подверженности рискам ОД и ФТ сектора;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актуализации параметров модели оценки рисков, утвержденной Федеральным казначейством в соответствии с Положением о контроле (надзоре)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утвержденным постановлением Правительства Российской Федерации от 19 февраля 2022 г. N 219;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определения динамики уровня риска ОД и ФТ в секторе в целом;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ранжирования отдельных сегментов (видов деятельности) в секторе по уровню риска ОД и ФТ;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определения степени внимания, которое необходимо уделять соответствующим сегментам (видам деятельности);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оценки эффективности мер, принятых для снижения рисков ОД и ФТ в секторе по результатам национальной оценки рисков легализации (отмывания) преступных доходов и финансирования терроризма, проводимой в соответствии с Федеральным законом от 7 августа 2001 г. N 115-ФЗ "О противодействии легализации (отмыванию) доходов, полученных преступным путем, и финансированию терроризма" (далее - Федеральный закон N 115-ФЗ) и предыдущей СОР;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выработки мер для снижения рисков ОД и ФТ в секторе;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информирования сектора о новых рисках (типологиях) ОД и ФТ.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3. Основанием для проведения СОР является акт Федерального казначейства о проведении СОР (далее - акт).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4. Акт должен содержать следующие сведения: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фамилии, имена, отчества (при наличии) и должности сотрудников Федерального казначейства, обеспечивающих проведение СОР, а также формирование результатов СОР;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сроки проведения СОР и ее отдельных этапов.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 xml:space="preserve">5. Федеральным казначейством при проведении СОР используются следующие </w:t>
      </w:r>
      <w:r w:rsidRPr="00702083">
        <w:rPr>
          <w:rFonts w:ascii="Times New Roman" w:hAnsi="Times New Roman" w:cs="Times New Roman"/>
          <w:sz w:val="26"/>
          <w:szCs w:val="26"/>
        </w:rPr>
        <w:lastRenderedPageBreak/>
        <w:t>внутренние источники информации: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результаты контроля (надзора)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- ПОД/ФТ/ФРОМУ) и внешнего контроля деятельности, осуществляемого в отношении аудиторских организаций, оказывающих аудиторские услуги общественно значимым организациям;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результаты анализа и обобщения правоприменительной практики;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агрегированные данные анкетирования (опроса) аудиторских организаций и индивидуальных аудиторов (далее - субъекты аудиторской деятельности), получаемые в том числе посредством Личного кабинета на официальном сайте Федеральной службы по финансовому мониторингу (далее - уполномоченный орган) в информационно-телекоммуникационной сети "Интернет";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выявленные типологии и схемы ОД и ФТ с участием субъектов аудиторской деятельности;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результаты анализа сведений в отношении субъектов аудиторской деятельности, полученных от граждан и органов государственной власти, указывающих на наличие риска совершения операций в целях ОД и ФТ.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6. Федеральным казначейством при проведении СОР используются следующие внешние открытые источники информации: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результаты национальной оценки рисков легализации (отмывания) преступных доходов и финансирования терроризма, проводимой в соответствии с Федеральным законом N 115-ФЗ;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информация по результатам дистанционного мониторинга, осуществляемого уполномоченным органом в отношении субъектов аудиторской деятельности;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статистические данные федеральных органов исполнительной власти (организаций), саморегулируемой организации аудиторов;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данные Федеральной налоговой службы, в том числе о субъектах малого и среднего предпринимательства;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результаты аналитических исследований, проводимых рейтинговыми, информационно-аналитическими агентствами, в том числе в отношении сектора;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решения Межведомственной комиссии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- Межведомственная комиссия);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решения Межведомственной рабочей группы по противодействию незаконным финансовым операциям;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 xml:space="preserve">решения Международного совета </w:t>
      </w:r>
      <w:proofErr w:type="spellStart"/>
      <w:r w:rsidRPr="00702083">
        <w:rPr>
          <w:rFonts w:ascii="Times New Roman" w:hAnsi="Times New Roman" w:cs="Times New Roman"/>
          <w:sz w:val="26"/>
          <w:szCs w:val="26"/>
        </w:rPr>
        <w:t>комплаенс</w:t>
      </w:r>
      <w:proofErr w:type="spellEnd"/>
      <w:r w:rsidRPr="00702083">
        <w:rPr>
          <w:rFonts w:ascii="Times New Roman" w:hAnsi="Times New Roman" w:cs="Times New Roman"/>
          <w:sz w:val="26"/>
          <w:szCs w:val="26"/>
        </w:rPr>
        <w:t xml:space="preserve"> Евразийской группы по противодействию легализации преступных доходов и финансированию терроризма.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lastRenderedPageBreak/>
        <w:t>Статистические данные саморегулируемой организации аудиторов о деятельности ее членов, результаты контроля (надзора) в сфере ПОД/ФТ/ФРОМУ и внешнего контроля деятельности, осуществляемого в отношении субъектов аудиторской деятельности, представляются саморегулируемой организацией аудиторов в срок, установленный запросом Федерального казначейства. Федеральным казначейством могут направляться запросы о предоставлении дополнительной информации, необходимой для проведения СОР.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7. СОР состоит из следующих этапов: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описание сектора и его структуры;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оценка уровня угроз ОД и ФТ в секторе;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оценка уровня уязвимости сектора рискам ОД и ФТ;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оценка последствий материализации рисков ОД и ФТ в секторе;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оценка уровня рисков ОД и ФТ в секторе;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формирование и обсуждение результатов СОР;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оформление отчета о результатах СОР.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7.1. Целью этапа описания сектора и его структуры является определение и оценка (анализ) данных, характеризующих сектор, включая: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особенности институциональной организации сектора (в том числе регулирование и надзор);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оценка значимости сектора в экономике;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оценка значимости сектора и его отдельных сегментов (видов деятельности) в национальной системе противодействия ОД и ФТ;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определение в секторе отдельных сегментов (видов деятельности), в том числе по масштабам деятельности, структуре клиентской базы, месту осуществления деятельности.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При оценке значимости сектора и его отдельных сегментов (видов деятельности) в экономике используются показатели, характеризующие рынок аудиторских услуг, тенденции развития аудиторской деятельности в Российской Федерации, а также результаты опроса (анкетирования) субъектов аудиторской деятельности.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При описании сектора анализируются особенности регулирования аудиторской деятельности и контроля (надзора) в сфере ПОД/ФТ/ФРОМУ, осуществляемого Федеральным казначейством и саморегулируемой организацией аудиторов в отношении субъектов аудиторской деятельности.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7.2. На этапе оценки уровня угроз ОД и ФТ в секторе осуществляется оценка уровня криминализации экономики в целом и сектора в отдельности, характеристика условий, в которых могут совершаться предикатные к ОД и ФТ преступления с участием сектора.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lastRenderedPageBreak/>
        <w:t>Оценка уровня угроз ОД и ФТ включает следующие мероприятия: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а) формирование и анализ статистических и иных данных: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по делам о легализации (отмывании) преступных доходов, предикатным к легализации (отмыванию) преступных доходов преступлениям, в разрезе видов преступлений, преступлениям финансирования терроризма с использованием сектора в целом, а также его отдельных сегментов (видов деятельности);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по динамике количества запросов правоохранительных, налоговых органов, органов прокуратуры, иных государственных органов;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по динамике количества обращений граждан, публикаций в средствах массовой информации, в которых содержатся сведения о возможном совершении преступлений с использованием сектора;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по результатам контроля (надзора) в сфере ПОД/ФТ/ФРОМУ, осуществляемого Федеральным казначейством и саморегулируемой организацией аудиторов в отношении субъектов аудиторской деятельности.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По результатам такого анализа делается вывод об изменении уровня криминализации сектора.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б) подбор обезличенных примеров (кейсов) уголовных дел, которые демонстрируют алгоритм действий преступников;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в) формирование и анализ результатов анкетирования (опроса) субъектов аудиторской деятельности, должностных лиц Федерального казначейства и его территориальных органов, осуществляющих контроль (надзор) в сфере ПОД/ФТ/ФРОМУ в отношении аудиторских организаций, оказывающих аудиторские услуги общественно значимым организациям, должностных лиц саморегулируемой организации аудиторов, осуществляющих контроль (надзор) в сфере ПОД/ФТ/ФРОМУ в отношении субъектов аудиторской деятельности (далее - должностные лица контрольных (надзорных) органов) относительно уровня угроз ОД и ФТ в секторе.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По итогам этого этапа на основе данных об уровне угроз ОД и ФТ в секторе, определенных по результатам предыдущей секторальной оценки рисков ОД и ФТ, а также результатов анализа статистических данных и результатов анкетирования (опроса) субъектов аудиторской деятельности, должностных лиц контрольных (надзорных) органов) осуществляется следующее: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определяется динамика уровня угроз ОД и ФТ в секторе (повысился, снизился, стабилен);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присваивается оценка уровню угроз ОД и ФТ для отдельных сегментов (видов деятельности) в секторе по 4-х уровневой шкале (высокий, повышенный, умеренный и низкий).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7.3. На этапе оценки уязвимости сектора рискам ОД и ФТ определяется возможность реализации угроз ОД и ФТ.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lastRenderedPageBreak/>
        <w:t>Уязвимости сектора рискам ОД и ФТ делятся на внутренние и внешние по отношению к сектору.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К внешним уязвимостям относятся факторы, определяющие подверженность сектора рискам ОД и ФТ в связи с: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02083">
        <w:rPr>
          <w:rFonts w:ascii="Times New Roman" w:hAnsi="Times New Roman" w:cs="Times New Roman"/>
          <w:sz w:val="26"/>
          <w:szCs w:val="26"/>
        </w:rPr>
        <w:t>неурегулированностью</w:t>
      </w:r>
      <w:proofErr w:type="spellEnd"/>
      <w:r w:rsidRPr="00702083">
        <w:rPr>
          <w:rFonts w:ascii="Times New Roman" w:hAnsi="Times New Roman" w:cs="Times New Roman"/>
          <w:sz w:val="26"/>
          <w:szCs w:val="26"/>
        </w:rPr>
        <w:t xml:space="preserve"> законодательства (в том числе отсутствие требований о ПОД/ФТ/ФРОМУ, отсутствие контроля (надзора) в сфере ПОД/ФТ/ФРОМУ, осуществляемого в отношении субъектов аудиторской деятельности);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недостаточной эффективностью контрольной (надзорной) деятельности (в том числе недостатки в применении риск-ориентированного подхода, недостаточная ресурсная обеспеченность контроля (надзора) в сфере ПОД/ФТ/ФРОМУ, незначительное количество мероприятий по контролю (надзору) в сфере ПОД/ФТ/ФРОМУ);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низким уровнем охвата сектора системой противодействия ОД и ФТ.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К внутренним уязвимостям относятся факторы, определяющие подверженность сектора рискам ОД и ФТ в связи с: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низким (недостаточным) уровнем исполнения сектором требований законодательства Российской Федерации о ПОД/ФТ/ФРОМУ;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особенностями аудиторской деятельности, распространенностью и доступностью услуг, предоставляемых сектором;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структурой обслуживаемых клиентов.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Для оценки уровня исполнения требований законодательства Российской Федерации о ПОД/ФТ/ФРОМУ сектором используются следующие показатели: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а) динамика количества и доли субъектов аудиторской деятельности с низким уровнем риска неисполнения требований законодательства Российской Федерации о ПОД/ФТ/ФРОМУ в общем количестве субъектов аудиторской деятельности;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б) доля субъектов аудиторской деятельности, зарегистрировавших Личный кабинет на официальном сайте уполномоченного органа в информационно-телекоммуникационной сети "Интернет", в общем количестве субъектов аудиторской деятельности;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в) результаты контрольных (надзорных) мероприятий, проведенных Федеральным казначейством и саморегулируемой организацией аудиторов, в том числе: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доля проверок с выявленными нарушениями требований законодательства Российской Федерации о ПОД/ФТ/ФРОМУ в общем количестве проверок;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доля повторных проверок с выявленными нарушениями в общем количестве повторных проверок;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динамика количества и доли субъектов аудиторской деятельности, уклонившихся от устранения нарушений в общем количестве субъектов аудиторской деятельности, в отношении которых осуществлялись контрольные (надзорные) мероприятия.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lastRenderedPageBreak/>
        <w:t>В рамках данного этапа определяются основные (наиболее частые) нарушения, допущенные сектором.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Для оценки уровня информированности сектора о рисках ОД и ФТ, а также конкретных типологиях и признаках операций, которые могут осуществляться в целях ОД и ФТ, используются результаты анкетирования (опроса) субъектов аудиторской деятельности, а также оценка динамики доли субъектов аудиторской деятельности в секторе, информирующих о таких операциях.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По итогам этого этапа на основе данных об уровне уязвимости сектора рискам ОД и ФТ, определенного по результатам предыдущей секторальной оценки рисков ОД и ФТ, а также результатов анализа статистических данных и результатов анкетирования (опроса) субъектов аудиторской деятельности, должностных лиц контрольных (надзорных) органов осуществляется следующее: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определяется динамика уровня уязвимостей сектора рискам ОД и ФТ (повысился, снизился, стабилен);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присваивается оценка уровню уязвимости отдельных сегментов (видов деятельности) сектора рискам ОД и ФТ по 3-х уровневой шкале (высокий, умеренный и низкий);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определяется перечень наиболее значимых уязвимостей сектора рискам ОД и ФТ и его отдельных сегментов (видов деятельности), а также мер (в том числе надзорных, законодательных, организационных) по их устранению (снижению их влияния).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Сопоставление (сочетание) угроз ОД и ФТ и уязвимостей рискам ОД и ФТ дает представление о вероятности, как потенциальной возможности возникновения событий, представляющих риск ОД и ФТ.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Уровень вероятности определяется на основе сопоставления угроз ОД и ФТ и уязвимостей рискам ОД и ФТ на основе схемы (матрицы) определения уровня вероятности возникновения рисков ОД и ФТ на основе сопоставления угроз ОД и ФТ и уязвимостей рискам ОД и ФТ (рис. 1).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7.4. На этапе оценки последствий материализации рисков ОД и ФТ может использоваться показатель суммы ущерба, нанесенного национальной экономике в результате совершения преступлений ОД и ФТ с использованием сектора. При формировании выводов о последствиях материализации рисков ОД и ФТ используются результаты анкетирования (опроса) субъектов аудиторской деятельности, должностных лиц контрольных (надзорных) органов.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Оценка уровня (значимости) последствий материализации рисков ОД и ФТ осуществляется по 3-х уровневой шкале (высокий, умеренный и низкий) на основе данных об уровне (значимости) последствий материализации рисков ОД и ФТ в секторе, определенных по результатам предыдущей оценки рисков ОД и ФТ, а также результатов анализа статистических данных и иной информации, полученной в ходе проведения СОР.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 xml:space="preserve">7.5. Оценка уровня риска ОД и ФТ в секторе, а также его отдельных сегментов осуществляется сотрудниками Федерального казначейства, обеспечивающими проведение </w:t>
      </w:r>
      <w:r w:rsidRPr="00702083">
        <w:rPr>
          <w:rFonts w:ascii="Times New Roman" w:hAnsi="Times New Roman" w:cs="Times New Roman"/>
          <w:sz w:val="26"/>
          <w:szCs w:val="26"/>
        </w:rPr>
        <w:lastRenderedPageBreak/>
        <w:t>СОР, а также формирование результатов СОР на основе: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а) последовательного сопоставления угроз ОД и ФТ, уязвимостей рискам ОД и ФТ и последствий материализации рисков ОД и ФТ в соответствии со схемой (матрицей) определения уровня вероятности возникновения рисков ОД и ФТ на основе сопоставления угроз ОД и ФТ и уязвимостей рискам ОД и ФТ, приведенной на рисунке 1, и схемой матрицей определения уровня риска ОД и ФТ на основе сопоставления вероятности возникновения рисков ОД и ФТ и последствий материализации рисков ОД и ФТ, приведенной на рисунке 2.</w:t>
      </w:r>
    </w:p>
    <w:p w:rsidR="00F21360" w:rsidRPr="00702083" w:rsidRDefault="00F21360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2"/>
        <w:gridCol w:w="1411"/>
        <w:gridCol w:w="1618"/>
        <w:gridCol w:w="1618"/>
        <w:gridCol w:w="1618"/>
        <w:gridCol w:w="1621"/>
      </w:tblGrid>
      <w:tr w:rsidR="00702083" w:rsidRPr="00702083">
        <w:tc>
          <w:tcPr>
            <w:tcW w:w="2553" w:type="dxa"/>
            <w:gridSpan w:val="2"/>
            <w:vMerge w:val="restart"/>
            <w:vAlign w:val="center"/>
          </w:tcPr>
          <w:p w:rsidR="00F21360" w:rsidRPr="00702083" w:rsidRDefault="00F21360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75" w:type="dxa"/>
            <w:gridSpan w:val="4"/>
          </w:tcPr>
          <w:p w:rsidR="00F21360" w:rsidRPr="00702083" w:rsidRDefault="00AE3E2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2083">
              <w:rPr>
                <w:rFonts w:ascii="Times New Roman" w:hAnsi="Times New Roman" w:cs="Times New Roman"/>
                <w:sz w:val="26"/>
                <w:szCs w:val="26"/>
              </w:rPr>
              <w:t>Оценка уровня угроз ОД и ФТ</w:t>
            </w:r>
          </w:p>
        </w:tc>
      </w:tr>
      <w:tr w:rsidR="00702083" w:rsidRPr="00702083">
        <w:tc>
          <w:tcPr>
            <w:tcW w:w="2553" w:type="dxa"/>
            <w:gridSpan w:val="2"/>
            <w:vMerge/>
          </w:tcPr>
          <w:p w:rsidR="00F21360" w:rsidRPr="00702083" w:rsidRDefault="00F21360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</w:tcPr>
          <w:p w:rsidR="00F21360" w:rsidRPr="00702083" w:rsidRDefault="00AE3E2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2083">
              <w:rPr>
                <w:rFonts w:ascii="Times New Roman" w:hAnsi="Times New Roman" w:cs="Times New Roman"/>
                <w:sz w:val="26"/>
                <w:szCs w:val="26"/>
              </w:rPr>
              <w:t>Низкий</w:t>
            </w:r>
          </w:p>
        </w:tc>
        <w:tc>
          <w:tcPr>
            <w:tcW w:w="1618" w:type="dxa"/>
          </w:tcPr>
          <w:p w:rsidR="00F21360" w:rsidRPr="00702083" w:rsidRDefault="00AE3E2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2083">
              <w:rPr>
                <w:rFonts w:ascii="Times New Roman" w:hAnsi="Times New Roman" w:cs="Times New Roman"/>
                <w:sz w:val="26"/>
                <w:szCs w:val="26"/>
              </w:rPr>
              <w:t>Умеренный</w:t>
            </w:r>
          </w:p>
        </w:tc>
        <w:tc>
          <w:tcPr>
            <w:tcW w:w="1618" w:type="dxa"/>
          </w:tcPr>
          <w:p w:rsidR="00F21360" w:rsidRPr="00702083" w:rsidRDefault="00AE3E2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2083">
              <w:rPr>
                <w:rFonts w:ascii="Times New Roman" w:hAnsi="Times New Roman" w:cs="Times New Roman"/>
                <w:sz w:val="26"/>
                <w:szCs w:val="26"/>
              </w:rPr>
              <w:t>Повышенный</w:t>
            </w:r>
          </w:p>
        </w:tc>
        <w:tc>
          <w:tcPr>
            <w:tcW w:w="1621" w:type="dxa"/>
          </w:tcPr>
          <w:p w:rsidR="00F21360" w:rsidRPr="00702083" w:rsidRDefault="00AE3E2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2083"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</w:p>
        </w:tc>
      </w:tr>
      <w:tr w:rsidR="00702083" w:rsidRPr="00702083">
        <w:tc>
          <w:tcPr>
            <w:tcW w:w="1142" w:type="dxa"/>
            <w:vMerge w:val="restart"/>
            <w:vAlign w:val="center"/>
          </w:tcPr>
          <w:p w:rsidR="00F21360" w:rsidRPr="00702083" w:rsidRDefault="00AE3E2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2083">
              <w:rPr>
                <w:rFonts w:ascii="Times New Roman" w:hAnsi="Times New Roman" w:cs="Times New Roman"/>
                <w:sz w:val="26"/>
                <w:szCs w:val="26"/>
              </w:rPr>
              <w:t>Оценка уровня уязвимостей рискам ОД и ФТ</w:t>
            </w:r>
          </w:p>
        </w:tc>
        <w:tc>
          <w:tcPr>
            <w:tcW w:w="1411" w:type="dxa"/>
            <w:vAlign w:val="center"/>
          </w:tcPr>
          <w:p w:rsidR="00F21360" w:rsidRPr="00702083" w:rsidRDefault="00AE3E2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2083">
              <w:rPr>
                <w:rFonts w:ascii="Times New Roman" w:hAnsi="Times New Roman" w:cs="Times New Roman"/>
                <w:sz w:val="26"/>
                <w:szCs w:val="26"/>
              </w:rPr>
              <w:t>Низкий</w:t>
            </w:r>
          </w:p>
        </w:tc>
        <w:tc>
          <w:tcPr>
            <w:tcW w:w="1618" w:type="dxa"/>
            <w:vAlign w:val="center"/>
          </w:tcPr>
          <w:p w:rsidR="00F21360" w:rsidRPr="00702083" w:rsidRDefault="00AE3E2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2083">
              <w:rPr>
                <w:rFonts w:ascii="Times New Roman" w:hAnsi="Times New Roman" w:cs="Times New Roman"/>
                <w:sz w:val="26"/>
                <w:szCs w:val="26"/>
              </w:rPr>
              <w:t>Низкий</w:t>
            </w:r>
          </w:p>
        </w:tc>
        <w:tc>
          <w:tcPr>
            <w:tcW w:w="1618" w:type="dxa"/>
            <w:vAlign w:val="center"/>
          </w:tcPr>
          <w:p w:rsidR="00F21360" w:rsidRPr="00702083" w:rsidRDefault="00AE3E2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2083">
              <w:rPr>
                <w:rFonts w:ascii="Times New Roman" w:hAnsi="Times New Roman" w:cs="Times New Roman"/>
                <w:sz w:val="26"/>
                <w:szCs w:val="26"/>
              </w:rPr>
              <w:t>Низкий</w:t>
            </w:r>
          </w:p>
        </w:tc>
        <w:tc>
          <w:tcPr>
            <w:tcW w:w="1618" w:type="dxa"/>
            <w:vAlign w:val="center"/>
          </w:tcPr>
          <w:p w:rsidR="00F21360" w:rsidRPr="00702083" w:rsidRDefault="00AE3E2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2083">
              <w:rPr>
                <w:rFonts w:ascii="Times New Roman" w:hAnsi="Times New Roman" w:cs="Times New Roman"/>
                <w:sz w:val="26"/>
                <w:szCs w:val="26"/>
              </w:rPr>
              <w:t>Умеренный</w:t>
            </w:r>
          </w:p>
        </w:tc>
        <w:tc>
          <w:tcPr>
            <w:tcW w:w="1621" w:type="dxa"/>
            <w:vAlign w:val="center"/>
          </w:tcPr>
          <w:p w:rsidR="00F21360" w:rsidRPr="00702083" w:rsidRDefault="00AE3E2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2083"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</w:p>
        </w:tc>
      </w:tr>
      <w:tr w:rsidR="00702083" w:rsidRPr="00702083">
        <w:tc>
          <w:tcPr>
            <w:tcW w:w="1142" w:type="dxa"/>
            <w:vMerge/>
          </w:tcPr>
          <w:p w:rsidR="00F21360" w:rsidRPr="00702083" w:rsidRDefault="00F21360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1" w:type="dxa"/>
            <w:vAlign w:val="center"/>
          </w:tcPr>
          <w:p w:rsidR="00F21360" w:rsidRPr="00702083" w:rsidRDefault="00AE3E2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2083">
              <w:rPr>
                <w:rFonts w:ascii="Times New Roman" w:hAnsi="Times New Roman" w:cs="Times New Roman"/>
                <w:sz w:val="26"/>
                <w:szCs w:val="26"/>
              </w:rPr>
              <w:t>Умеренный</w:t>
            </w:r>
          </w:p>
        </w:tc>
        <w:tc>
          <w:tcPr>
            <w:tcW w:w="1618" w:type="dxa"/>
            <w:vAlign w:val="center"/>
          </w:tcPr>
          <w:p w:rsidR="00F21360" w:rsidRPr="00702083" w:rsidRDefault="00AE3E2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2083">
              <w:rPr>
                <w:rFonts w:ascii="Times New Roman" w:hAnsi="Times New Roman" w:cs="Times New Roman"/>
                <w:sz w:val="26"/>
                <w:szCs w:val="26"/>
              </w:rPr>
              <w:t>Низкий</w:t>
            </w:r>
          </w:p>
        </w:tc>
        <w:tc>
          <w:tcPr>
            <w:tcW w:w="1618" w:type="dxa"/>
            <w:vAlign w:val="center"/>
          </w:tcPr>
          <w:p w:rsidR="00F21360" w:rsidRPr="00702083" w:rsidRDefault="00AE3E2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2083">
              <w:rPr>
                <w:rFonts w:ascii="Times New Roman" w:hAnsi="Times New Roman" w:cs="Times New Roman"/>
                <w:sz w:val="26"/>
                <w:szCs w:val="26"/>
              </w:rPr>
              <w:t>Умеренный</w:t>
            </w:r>
          </w:p>
        </w:tc>
        <w:tc>
          <w:tcPr>
            <w:tcW w:w="1618" w:type="dxa"/>
            <w:vAlign w:val="center"/>
          </w:tcPr>
          <w:p w:rsidR="00F21360" w:rsidRPr="00702083" w:rsidRDefault="00AE3E2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2083">
              <w:rPr>
                <w:rFonts w:ascii="Times New Roman" w:hAnsi="Times New Roman" w:cs="Times New Roman"/>
                <w:sz w:val="26"/>
                <w:szCs w:val="26"/>
              </w:rPr>
              <w:t>Умеренный</w:t>
            </w:r>
          </w:p>
        </w:tc>
        <w:tc>
          <w:tcPr>
            <w:tcW w:w="1621" w:type="dxa"/>
            <w:vAlign w:val="center"/>
          </w:tcPr>
          <w:p w:rsidR="00F21360" w:rsidRPr="00702083" w:rsidRDefault="00AE3E2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2083"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</w:p>
        </w:tc>
      </w:tr>
      <w:tr w:rsidR="00702083" w:rsidRPr="00702083">
        <w:tc>
          <w:tcPr>
            <w:tcW w:w="1142" w:type="dxa"/>
            <w:vMerge/>
          </w:tcPr>
          <w:p w:rsidR="00F21360" w:rsidRPr="00702083" w:rsidRDefault="00F21360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1" w:type="dxa"/>
            <w:vAlign w:val="center"/>
          </w:tcPr>
          <w:p w:rsidR="00F21360" w:rsidRPr="00702083" w:rsidRDefault="00AE3E2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2083"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</w:p>
        </w:tc>
        <w:tc>
          <w:tcPr>
            <w:tcW w:w="1618" w:type="dxa"/>
            <w:vAlign w:val="center"/>
          </w:tcPr>
          <w:p w:rsidR="00F21360" w:rsidRPr="00702083" w:rsidRDefault="00AE3E2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2083"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</w:p>
        </w:tc>
        <w:tc>
          <w:tcPr>
            <w:tcW w:w="1618" w:type="dxa"/>
            <w:vAlign w:val="center"/>
          </w:tcPr>
          <w:p w:rsidR="00F21360" w:rsidRPr="00702083" w:rsidRDefault="00AE3E2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2083"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</w:p>
        </w:tc>
        <w:tc>
          <w:tcPr>
            <w:tcW w:w="1618" w:type="dxa"/>
            <w:vAlign w:val="center"/>
          </w:tcPr>
          <w:p w:rsidR="00F21360" w:rsidRPr="00702083" w:rsidRDefault="00AE3E2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2083"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</w:p>
        </w:tc>
        <w:tc>
          <w:tcPr>
            <w:tcW w:w="1621" w:type="dxa"/>
            <w:vAlign w:val="center"/>
          </w:tcPr>
          <w:p w:rsidR="00F21360" w:rsidRPr="00702083" w:rsidRDefault="00AE3E2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2083"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</w:p>
        </w:tc>
      </w:tr>
    </w:tbl>
    <w:p w:rsidR="00F21360" w:rsidRPr="00702083" w:rsidRDefault="00F21360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F21360" w:rsidRPr="00702083" w:rsidRDefault="00AE3E22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Рис. 1. Схема (матрица) определения уровня вероятности возникновения рисков ОД и ФТ на основе сопоставления угроз ОД и ФТ и уязвимостей рискам ОД и ФТ.</w:t>
      </w:r>
    </w:p>
    <w:p w:rsidR="00F21360" w:rsidRPr="00702083" w:rsidRDefault="00F21360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2"/>
        <w:gridCol w:w="1416"/>
        <w:gridCol w:w="2169"/>
        <w:gridCol w:w="2169"/>
        <w:gridCol w:w="2169"/>
      </w:tblGrid>
      <w:tr w:rsidR="00702083" w:rsidRPr="00702083">
        <w:tc>
          <w:tcPr>
            <w:tcW w:w="2558" w:type="dxa"/>
            <w:gridSpan w:val="2"/>
            <w:vMerge w:val="restart"/>
            <w:vAlign w:val="center"/>
          </w:tcPr>
          <w:p w:rsidR="00F21360" w:rsidRPr="00702083" w:rsidRDefault="00F21360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07" w:type="dxa"/>
            <w:gridSpan w:val="3"/>
          </w:tcPr>
          <w:p w:rsidR="00F21360" w:rsidRPr="00702083" w:rsidRDefault="00AE3E2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2083">
              <w:rPr>
                <w:rFonts w:ascii="Times New Roman" w:hAnsi="Times New Roman" w:cs="Times New Roman"/>
                <w:sz w:val="26"/>
                <w:szCs w:val="26"/>
              </w:rPr>
              <w:t>Оценка уровня вероятности возникновения рисков ОД и ФТ</w:t>
            </w:r>
          </w:p>
        </w:tc>
      </w:tr>
      <w:tr w:rsidR="00702083" w:rsidRPr="00702083">
        <w:tc>
          <w:tcPr>
            <w:tcW w:w="2558" w:type="dxa"/>
            <w:gridSpan w:val="2"/>
            <w:vMerge/>
          </w:tcPr>
          <w:p w:rsidR="00F21360" w:rsidRPr="00702083" w:rsidRDefault="00F21360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9" w:type="dxa"/>
          </w:tcPr>
          <w:p w:rsidR="00F21360" w:rsidRPr="00702083" w:rsidRDefault="00AE3E2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2083">
              <w:rPr>
                <w:rFonts w:ascii="Times New Roman" w:hAnsi="Times New Roman" w:cs="Times New Roman"/>
                <w:sz w:val="26"/>
                <w:szCs w:val="26"/>
              </w:rPr>
              <w:t>Низкий</w:t>
            </w:r>
          </w:p>
        </w:tc>
        <w:tc>
          <w:tcPr>
            <w:tcW w:w="2169" w:type="dxa"/>
          </w:tcPr>
          <w:p w:rsidR="00F21360" w:rsidRPr="00702083" w:rsidRDefault="00AE3E2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2083">
              <w:rPr>
                <w:rFonts w:ascii="Times New Roman" w:hAnsi="Times New Roman" w:cs="Times New Roman"/>
                <w:sz w:val="26"/>
                <w:szCs w:val="26"/>
              </w:rPr>
              <w:t>Умеренный</w:t>
            </w:r>
          </w:p>
        </w:tc>
        <w:tc>
          <w:tcPr>
            <w:tcW w:w="2169" w:type="dxa"/>
          </w:tcPr>
          <w:p w:rsidR="00F21360" w:rsidRPr="00702083" w:rsidRDefault="00AE3E2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2083"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</w:p>
        </w:tc>
      </w:tr>
      <w:tr w:rsidR="00702083" w:rsidRPr="00702083">
        <w:tc>
          <w:tcPr>
            <w:tcW w:w="1142" w:type="dxa"/>
            <w:vMerge w:val="restart"/>
            <w:vAlign w:val="center"/>
          </w:tcPr>
          <w:p w:rsidR="00F21360" w:rsidRPr="00702083" w:rsidRDefault="00AE3E2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2083">
              <w:rPr>
                <w:rFonts w:ascii="Times New Roman" w:hAnsi="Times New Roman" w:cs="Times New Roman"/>
                <w:sz w:val="26"/>
                <w:szCs w:val="26"/>
              </w:rPr>
              <w:t>Оценка уровня последствий материализации рисков ОД и ФТ</w:t>
            </w:r>
          </w:p>
        </w:tc>
        <w:tc>
          <w:tcPr>
            <w:tcW w:w="1416" w:type="dxa"/>
            <w:vAlign w:val="center"/>
          </w:tcPr>
          <w:p w:rsidR="00F21360" w:rsidRPr="00702083" w:rsidRDefault="00AE3E2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2083">
              <w:rPr>
                <w:rFonts w:ascii="Times New Roman" w:hAnsi="Times New Roman" w:cs="Times New Roman"/>
                <w:sz w:val="26"/>
                <w:szCs w:val="26"/>
              </w:rPr>
              <w:t>Низкий</w:t>
            </w:r>
          </w:p>
        </w:tc>
        <w:tc>
          <w:tcPr>
            <w:tcW w:w="2169" w:type="dxa"/>
            <w:vAlign w:val="center"/>
          </w:tcPr>
          <w:p w:rsidR="00F21360" w:rsidRPr="00702083" w:rsidRDefault="00AE3E2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2083">
              <w:rPr>
                <w:rFonts w:ascii="Times New Roman" w:hAnsi="Times New Roman" w:cs="Times New Roman"/>
                <w:sz w:val="26"/>
                <w:szCs w:val="26"/>
              </w:rPr>
              <w:t>Низкий</w:t>
            </w:r>
          </w:p>
        </w:tc>
        <w:tc>
          <w:tcPr>
            <w:tcW w:w="2169" w:type="dxa"/>
            <w:vAlign w:val="center"/>
          </w:tcPr>
          <w:p w:rsidR="00F21360" w:rsidRPr="00702083" w:rsidRDefault="00AE3E2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2083">
              <w:rPr>
                <w:rFonts w:ascii="Times New Roman" w:hAnsi="Times New Roman" w:cs="Times New Roman"/>
                <w:sz w:val="26"/>
                <w:szCs w:val="26"/>
              </w:rPr>
              <w:t>Умеренный</w:t>
            </w:r>
          </w:p>
        </w:tc>
        <w:tc>
          <w:tcPr>
            <w:tcW w:w="2169" w:type="dxa"/>
            <w:vAlign w:val="center"/>
          </w:tcPr>
          <w:p w:rsidR="00F21360" w:rsidRPr="00702083" w:rsidRDefault="00AE3E2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2083"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</w:p>
        </w:tc>
      </w:tr>
      <w:tr w:rsidR="00702083" w:rsidRPr="00702083">
        <w:tc>
          <w:tcPr>
            <w:tcW w:w="1142" w:type="dxa"/>
            <w:vMerge/>
          </w:tcPr>
          <w:p w:rsidR="00F21360" w:rsidRPr="00702083" w:rsidRDefault="00F21360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  <w:vAlign w:val="center"/>
          </w:tcPr>
          <w:p w:rsidR="00F21360" w:rsidRPr="00702083" w:rsidRDefault="00AE3E2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2083">
              <w:rPr>
                <w:rFonts w:ascii="Times New Roman" w:hAnsi="Times New Roman" w:cs="Times New Roman"/>
                <w:sz w:val="26"/>
                <w:szCs w:val="26"/>
              </w:rPr>
              <w:t>Умеренный</w:t>
            </w:r>
          </w:p>
        </w:tc>
        <w:tc>
          <w:tcPr>
            <w:tcW w:w="2169" w:type="dxa"/>
            <w:vAlign w:val="center"/>
          </w:tcPr>
          <w:p w:rsidR="00F21360" w:rsidRPr="00702083" w:rsidRDefault="00AE3E2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2083">
              <w:rPr>
                <w:rFonts w:ascii="Times New Roman" w:hAnsi="Times New Roman" w:cs="Times New Roman"/>
                <w:sz w:val="26"/>
                <w:szCs w:val="26"/>
              </w:rPr>
              <w:t>Умеренный</w:t>
            </w:r>
          </w:p>
        </w:tc>
        <w:tc>
          <w:tcPr>
            <w:tcW w:w="2169" w:type="dxa"/>
            <w:vAlign w:val="center"/>
          </w:tcPr>
          <w:p w:rsidR="00F21360" w:rsidRPr="00702083" w:rsidRDefault="00AE3E2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2083">
              <w:rPr>
                <w:rFonts w:ascii="Times New Roman" w:hAnsi="Times New Roman" w:cs="Times New Roman"/>
                <w:sz w:val="26"/>
                <w:szCs w:val="26"/>
              </w:rPr>
              <w:t>Умеренный</w:t>
            </w:r>
          </w:p>
        </w:tc>
        <w:tc>
          <w:tcPr>
            <w:tcW w:w="2169" w:type="dxa"/>
            <w:vAlign w:val="center"/>
          </w:tcPr>
          <w:p w:rsidR="00F21360" w:rsidRPr="00702083" w:rsidRDefault="00AE3E2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2083"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</w:p>
        </w:tc>
      </w:tr>
      <w:tr w:rsidR="00702083" w:rsidRPr="00702083">
        <w:tc>
          <w:tcPr>
            <w:tcW w:w="1142" w:type="dxa"/>
            <w:vMerge/>
          </w:tcPr>
          <w:p w:rsidR="00F21360" w:rsidRPr="00702083" w:rsidRDefault="00F21360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  <w:vAlign w:val="center"/>
          </w:tcPr>
          <w:p w:rsidR="00F21360" w:rsidRPr="00702083" w:rsidRDefault="00AE3E2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2083"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</w:p>
        </w:tc>
        <w:tc>
          <w:tcPr>
            <w:tcW w:w="2169" w:type="dxa"/>
            <w:vAlign w:val="center"/>
          </w:tcPr>
          <w:p w:rsidR="00F21360" w:rsidRPr="00702083" w:rsidRDefault="00AE3E2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2083"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</w:p>
        </w:tc>
        <w:tc>
          <w:tcPr>
            <w:tcW w:w="2169" w:type="dxa"/>
            <w:vAlign w:val="center"/>
          </w:tcPr>
          <w:p w:rsidR="00F21360" w:rsidRPr="00702083" w:rsidRDefault="00AE3E2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2083"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</w:p>
        </w:tc>
        <w:tc>
          <w:tcPr>
            <w:tcW w:w="2169" w:type="dxa"/>
            <w:vAlign w:val="center"/>
          </w:tcPr>
          <w:p w:rsidR="00F21360" w:rsidRPr="00702083" w:rsidRDefault="00AE3E2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2083"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</w:p>
        </w:tc>
      </w:tr>
    </w:tbl>
    <w:p w:rsidR="00F21360" w:rsidRPr="00702083" w:rsidRDefault="00F21360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F21360" w:rsidRPr="00702083" w:rsidRDefault="00AE3E22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Рис. 2. Схема (матрица) определения уровня риска ОД и ФТ на основе сопоставления вероятности возникновения рисков ОД и ФТ и последствий материализации рисков ОД и ФТ.</w:t>
      </w:r>
    </w:p>
    <w:p w:rsidR="00F21360" w:rsidRPr="00702083" w:rsidRDefault="00F21360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F21360" w:rsidRPr="00702083" w:rsidRDefault="00AE3E22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б) анализа уполномоченным органом сведений, получаемых от кредитных организаций в отношении сектора, и включающих следующие показатели: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lastRenderedPageBreak/>
        <w:t>динамика объема операций, представленных кредитными организациями в отношении субъектов аудиторской деятельности, в соответствии с пунктом 3 статьи 7 Федерального закона N 115-ФЗ и количества участников таких операций;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динамика объема операций с участием субъектов аудиторской деятельности, в отношении которых кредитными организациями было применено право на отказ в проведении операций в соответствии с пунктом 11 статьи 7 Федерального закона N 115-ФЗ;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динамика количества случаев применения кредитными организациями в отношении субъектов аудиторской деятельности права на отказ от заключения договора банковского счета (вклада), и расторжение договора банковского счета (вклада) в соответствии с пунктом 5.2 статьи 7 Федерального закона N 115-ФЗ;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динамика количества и доли субъектов аудиторской деятельности, отнесенных к высокому и повышенному уровням риска несоблюдения требований законодательства Российской Федерации о ПОД/ФТ/ФРОМУ, в общем количестве субъектов аудиторской деятельности;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в) результатов анкетирования (опроса) субъектов аудиторской деятельности, должностных лиц контрольных (надзорных) органов.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По результатам данного этапа определяется динамика уровня риска ОД и ФТ в секторе, а также уровень подверженности рискам ОД и ФТ сегментов (видов деятельности) сектора.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 xml:space="preserve">7.6. Федеральное казначейство организует обсуждение результатов СОР с представителями уполномоченного органа, саморегулируемой организации аудиторов, сектора в том числе в форме </w:t>
      </w:r>
      <w:proofErr w:type="spellStart"/>
      <w:r w:rsidRPr="00702083">
        <w:rPr>
          <w:rFonts w:ascii="Times New Roman" w:hAnsi="Times New Roman" w:cs="Times New Roman"/>
          <w:sz w:val="26"/>
          <w:szCs w:val="26"/>
        </w:rPr>
        <w:t>вебинаров</w:t>
      </w:r>
      <w:proofErr w:type="spellEnd"/>
      <w:r w:rsidRPr="00702083">
        <w:rPr>
          <w:rFonts w:ascii="Times New Roman" w:hAnsi="Times New Roman" w:cs="Times New Roman"/>
          <w:sz w:val="26"/>
          <w:szCs w:val="26"/>
        </w:rPr>
        <w:t xml:space="preserve"> и круглых столов.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Результаты обсуждения учитываются при подготовке отчета о результатах СОР, осуществляемого с участием саморегулируемой организации аудиторов.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8. По результатам оценки рисков ОД и ФТ формируется перечень рекомендуемых мер по снижению рисков ОД и ФТ в секторе, включающий: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меры на межведомственном уровне;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предложения по совершенствованию законодательства Российской Федерации;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предложения по корректировке организации (планирования) и осуществления контрольной (надзорной) деятельности.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Результаты оценки динамики и уровня угроз ОД и ФТ, уязвимостей рискам ОД и ФТ, последствий материализации рисков ОД и ФТ и рисков ОД и ФТ в секторе, а также рекомендуемые меры по снижению указанных рисков оформляются в виде отчета о результатах СОР.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Отчет о результатах СОР оформляется в срок, установленный актом.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9. Отчет о результатах СОР включает следующие разделы: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общая характеристика сектора;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lastRenderedPageBreak/>
        <w:t>характеристика угроз ОД и ФТ;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характеристика уязвимостей сектора рискам ОД и ФТ;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характеристика последствий материализации рисков ОД и ФТ;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сравнительная оценка уровня риска ОД и ФТ в отдельных сегментах (видах деятельности) сектора, актуальные типологии и схемы ОД и ФТ;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рекомендуемые меры по снижению рисков ОД и ФТ в секторе.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10. В отчет о результатах СОР может включаться информация о новых типологиях (схемах) ОД и ФТ, которые реализуются с использованием сектора.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11. Результаты СОР представляются для рассмотрения и одобрения в Межведомственную комиссию.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12. На основе отчета о результатах СОР формируется его публичная версия, размещаемая на официальном сайте Федерального казначейства в информационно-телекоммуникационной сети "Интернет" в срок не позднее 5 рабочих дней со дня одобрения Межведомственной комиссией. Публичная версия отчета о результатах СОР направляется в саморегулируемую организацию аудиторов не позднее дня, следующего за днем одобрения отчета о результатах СОР Межведомственной комиссией.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13. Публичная версия отчета о результатах СОР содержит информацию о результатах СОР, за исключением конфиденциальной информации и информации, составляющей служебную, аудиторскую и иную охраняемую законом тайну.</w:t>
      </w:r>
    </w:p>
    <w:p w:rsidR="00F21360" w:rsidRPr="00702083" w:rsidRDefault="00AE3E2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2083">
        <w:rPr>
          <w:rFonts w:ascii="Times New Roman" w:hAnsi="Times New Roman" w:cs="Times New Roman"/>
          <w:sz w:val="26"/>
          <w:szCs w:val="26"/>
        </w:rPr>
        <w:t>14. Информация о проведении СОР, периоде, за который она проводится, контактных лицах, формах участия в подготовке и обсуждении результатов СОР размещается на официальном сайте Федерального казначейства в информационно-телекоммуникационной сети "Интернет" в срок не позднее чем за 2 месяца до начала ее проведения.</w:t>
      </w:r>
    </w:p>
    <w:p w:rsidR="00F21360" w:rsidRPr="00702083" w:rsidRDefault="00F21360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F21360" w:rsidRPr="00702083" w:rsidRDefault="00F21360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F21360" w:rsidRPr="00702083" w:rsidRDefault="00F21360">
      <w:pPr>
        <w:pStyle w:val="ConsPlusNormal0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sectPr w:rsidR="00F21360" w:rsidRPr="0070208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FE0" w:rsidRDefault="00241FE0">
      <w:r>
        <w:separator/>
      </w:r>
    </w:p>
  </w:endnote>
  <w:endnote w:type="continuationSeparator" w:id="0">
    <w:p w:rsidR="00241FE0" w:rsidRDefault="0024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360" w:rsidRDefault="00F2136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21360" w:rsidRDefault="00AE3E2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360" w:rsidRDefault="00F21360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FE0" w:rsidRDefault="00241FE0">
      <w:r>
        <w:separator/>
      </w:r>
    </w:p>
  </w:footnote>
  <w:footnote w:type="continuationSeparator" w:id="0">
    <w:p w:rsidR="00241FE0" w:rsidRDefault="00241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360" w:rsidRDefault="00F21360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360" w:rsidRDefault="00F2136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60"/>
    <w:rsid w:val="00241FE0"/>
    <w:rsid w:val="00702083"/>
    <w:rsid w:val="00A362FC"/>
    <w:rsid w:val="00AE3E22"/>
    <w:rsid w:val="00F2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11DA86-9501-4302-BB3E-28FB52EB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7020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2083"/>
  </w:style>
  <w:style w:type="paragraph" w:styleId="a5">
    <w:name w:val="footer"/>
    <w:basedOn w:val="a"/>
    <w:link w:val="a6"/>
    <w:uiPriority w:val="99"/>
    <w:unhideWhenUsed/>
    <w:rsid w:val="007020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2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3167</Words>
  <Characters>18053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Казначейства России от 20.11.2023 N 24н
"Об утверждении Порядка проведения Федеральным казначейством оценки рисков совершения операций (сделок) в целях легализации (отмывания) доходов, полученных преступным путем, и финансирования терроризма по сек</vt:lpstr>
    </vt:vector>
  </TitlesOfParts>
  <Company>КонсультантПлюс Версия 4025.00.02</Company>
  <LinksUpToDate>false</LinksUpToDate>
  <CharactersWithSpaces>21178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Казначейства России от 20.11.2023 N 24н
"Об утверждении Порядка проведения Федеральным казначейством оценки рисков совершения операций (сделок) в целях легализации (отмывания) доходов, полученных преступным путем, и финансирования терроризма по сектору экономической деятельности (секторальная оценка рисков)"
(Зарегистрировано в Минюсте России 20.12.2023 N 76487)</dc:title>
  <cp:lastModifiedBy>Толмакова Ольга Николаевна</cp:lastModifiedBy>
  <cp:revision>3</cp:revision>
  <dcterms:created xsi:type="dcterms:W3CDTF">2025-07-23T10:30:00Z</dcterms:created>
  <dcterms:modified xsi:type="dcterms:W3CDTF">2025-07-23T11:12:00Z</dcterms:modified>
</cp:coreProperties>
</file>