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6"/>
        <w:gridCol w:w="4671"/>
      </w:tblGrid>
      <w:tr w:rsidR="00676F61">
        <w:tc>
          <w:tcPr>
            <w:tcW w:w="4785" w:type="dxa"/>
            <w:tcBorders>
              <w:top w:val="nil"/>
              <w:left w:val="nil"/>
              <w:bottom w:val="nil"/>
              <w:right w:val="nil"/>
            </w:tcBorders>
          </w:tcPr>
          <w:p w:rsidR="00676F61" w:rsidRDefault="00676F61">
            <w:pPr>
              <w:spacing w:line="276" w:lineRule="auto"/>
              <w:jc w:val="center"/>
              <w:rPr>
                <w:i/>
                <w:sz w:val="24"/>
                <w:szCs w:val="24"/>
                <w:lang w:val="en-US" w:eastAsia="en-US"/>
              </w:rPr>
            </w:pPr>
            <w:bookmarkStart w:id="0" w:name="_GoBack"/>
            <w:bookmarkEnd w:id="0"/>
          </w:p>
        </w:tc>
        <w:tc>
          <w:tcPr>
            <w:tcW w:w="4786" w:type="dxa"/>
            <w:tcBorders>
              <w:top w:val="nil"/>
              <w:left w:val="nil"/>
              <w:bottom w:val="nil"/>
              <w:right w:val="nil"/>
            </w:tcBorders>
          </w:tcPr>
          <w:p w:rsidR="00676F61" w:rsidRDefault="008353E4">
            <w:pPr>
              <w:widowControl w:val="0"/>
              <w:spacing w:line="276" w:lineRule="auto"/>
              <w:jc w:val="center"/>
              <w:rPr>
                <w:sz w:val="24"/>
                <w:szCs w:val="24"/>
                <w:lang w:eastAsia="en-US"/>
              </w:rPr>
            </w:pPr>
            <w:r>
              <w:rPr>
                <w:sz w:val="24"/>
                <w:szCs w:val="24"/>
                <w:lang w:eastAsia="en-US"/>
              </w:rPr>
              <w:t>Приложение № 5</w:t>
            </w:r>
          </w:p>
          <w:p w:rsidR="00676F61" w:rsidRDefault="008353E4">
            <w:pPr>
              <w:spacing w:line="276" w:lineRule="auto"/>
              <w:jc w:val="center"/>
              <w:rPr>
                <w:sz w:val="24"/>
                <w:szCs w:val="24"/>
                <w:lang w:eastAsia="en-US"/>
              </w:rPr>
            </w:pPr>
            <w:r>
              <w:rPr>
                <w:sz w:val="24"/>
                <w:szCs w:val="24"/>
                <w:lang w:eastAsia="en-US"/>
              </w:rPr>
              <w:t xml:space="preserve">к Стандарту внутренней организации контрольного мероприятия </w:t>
            </w:r>
          </w:p>
          <w:p w:rsidR="00676F61" w:rsidRDefault="008353E4">
            <w:pPr>
              <w:spacing w:line="276" w:lineRule="auto"/>
              <w:jc w:val="center"/>
              <w:rPr>
                <w:sz w:val="24"/>
                <w:szCs w:val="24"/>
                <w:lang w:eastAsia="en-US"/>
              </w:rPr>
            </w:pPr>
            <w:r>
              <w:rPr>
                <w:sz w:val="24"/>
                <w:szCs w:val="24"/>
                <w:lang w:eastAsia="en-US"/>
              </w:rPr>
              <w:t xml:space="preserve">«Общие требования </w:t>
            </w:r>
            <w:r>
              <w:rPr>
                <w:sz w:val="24"/>
                <w:szCs w:val="24"/>
                <w:lang w:eastAsia="en-US"/>
              </w:rPr>
              <w:br/>
              <w:t xml:space="preserve">к внутренней организации контрольного мероприятия» </w:t>
            </w:r>
          </w:p>
          <w:p w:rsidR="00676F61" w:rsidRDefault="00676F61">
            <w:pPr>
              <w:spacing w:line="276" w:lineRule="auto"/>
              <w:jc w:val="center"/>
              <w:rPr>
                <w:sz w:val="28"/>
                <w:szCs w:val="28"/>
                <w:lang w:eastAsia="en-US"/>
              </w:rPr>
            </w:pPr>
          </w:p>
          <w:p w:rsidR="00676F61" w:rsidRDefault="00676F61">
            <w:pPr>
              <w:spacing w:line="276" w:lineRule="auto"/>
              <w:jc w:val="center"/>
              <w:rPr>
                <w:sz w:val="28"/>
                <w:szCs w:val="28"/>
                <w:lang w:eastAsia="en-US"/>
              </w:rPr>
            </w:pPr>
          </w:p>
        </w:tc>
      </w:tr>
    </w:tbl>
    <w:p w:rsidR="00676F61" w:rsidRDefault="008353E4">
      <w:pPr>
        <w:jc w:val="center"/>
        <w:rPr>
          <w:b/>
          <w:sz w:val="28"/>
          <w:szCs w:val="28"/>
        </w:rPr>
      </w:pPr>
      <w:r>
        <w:rPr>
          <w:b/>
          <w:sz w:val="28"/>
          <w:szCs w:val="28"/>
        </w:rPr>
        <w:t xml:space="preserve">Форма «Перечень законодательных и </w:t>
      </w:r>
      <w:r>
        <w:rPr>
          <w:b/>
          <w:sz w:val="28"/>
          <w:szCs w:val="28"/>
        </w:rPr>
        <w:t xml:space="preserve">нормативных правовых актов, соблюдение которых изучено при </w:t>
      </w:r>
      <w:r>
        <w:rPr>
          <w:b/>
          <w:sz w:val="28"/>
          <w:szCs w:val="28"/>
        </w:rPr>
        <w:t>проведении контрольного мероприятия»</w:t>
      </w:r>
    </w:p>
    <w:p w:rsidR="00676F61" w:rsidRDefault="00676F61">
      <w:pPr>
        <w:jc w:val="center"/>
        <w:rPr>
          <w:b/>
          <w:sz w:val="28"/>
          <w:szCs w:val="28"/>
        </w:rPr>
      </w:pPr>
    </w:p>
    <w:p w:rsidR="00676F61" w:rsidRDefault="008353E4">
      <w:pPr>
        <w:autoSpaceDE w:val="0"/>
        <w:autoSpaceDN w:val="0"/>
        <w:spacing w:after="480"/>
        <w:jc w:val="center"/>
        <w:rPr>
          <w:b/>
          <w:caps/>
          <w:sz w:val="28"/>
          <w:szCs w:val="28"/>
        </w:rPr>
      </w:pPr>
      <w:r>
        <w:rPr>
          <w:b/>
          <w:caps/>
          <w:sz w:val="28"/>
          <w:szCs w:val="28"/>
        </w:rPr>
        <w:t xml:space="preserve">Перечень законодательных и </w:t>
      </w:r>
      <w:r>
        <w:rPr>
          <w:b/>
          <w:caps/>
          <w:sz w:val="28"/>
          <w:szCs w:val="28"/>
        </w:rPr>
        <w:t xml:space="preserve">нормативных правовых актов, соблюдение которых изучено </w:t>
      </w:r>
      <w:r>
        <w:rPr>
          <w:b/>
          <w:caps/>
          <w:sz w:val="28"/>
          <w:szCs w:val="28"/>
        </w:rPr>
        <w:br/>
        <w:t>при проведении контрольного мероприятия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5"/>
        <w:gridCol w:w="8122"/>
      </w:tblGrid>
      <w:tr w:rsidR="00676F61">
        <w:tc>
          <w:tcPr>
            <w:tcW w:w="1188" w:type="dxa"/>
            <w:tcBorders>
              <w:top w:val="single" w:sz="4" w:space="0" w:color="auto"/>
              <w:left w:val="single" w:sz="4" w:space="0" w:color="auto"/>
              <w:bottom w:val="single" w:sz="4" w:space="0" w:color="auto"/>
              <w:right w:val="single" w:sz="4" w:space="0" w:color="auto"/>
            </w:tcBorders>
            <w:hideMark/>
          </w:tcPr>
          <w:p w:rsidR="00676F61" w:rsidRDefault="008353E4">
            <w:pPr>
              <w:widowControl w:val="0"/>
              <w:autoSpaceDE w:val="0"/>
              <w:autoSpaceDN w:val="0"/>
              <w:spacing w:after="120"/>
              <w:ind w:right="-69"/>
              <w:jc w:val="center"/>
              <w:rPr>
                <w:sz w:val="24"/>
                <w:szCs w:val="24"/>
                <w:lang w:eastAsia="en-US"/>
              </w:rPr>
            </w:pPr>
            <w:r>
              <w:rPr>
                <w:sz w:val="24"/>
                <w:szCs w:val="24"/>
                <w:lang w:eastAsia="en-US"/>
              </w:rPr>
              <w:t xml:space="preserve">№№ </w:t>
            </w:r>
            <w:proofErr w:type="gramStart"/>
            <w:r>
              <w:rPr>
                <w:sz w:val="24"/>
                <w:szCs w:val="24"/>
                <w:lang w:eastAsia="en-US"/>
              </w:rPr>
              <w:t>п</w:t>
            </w:r>
            <w:proofErr w:type="gramEnd"/>
            <w:r>
              <w:rPr>
                <w:sz w:val="24"/>
                <w:szCs w:val="24"/>
                <w:lang w:eastAsia="en-US"/>
              </w:rPr>
              <w:t>/п</w:t>
            </w:r>
          </w:p>
        </w:tc>
        <w:tc>
          <w:tcPr>
            <w:tcW w:w="8383" w:type="dxa"/>
            <w:tcBorders>
              <w:top w:val="single" w:sz="4" w:space="0" w:color="auto"/>
              <w:left w:val="single" w:sz="4" w:space="0" w:color="auto"/>
              <w:bottom w:val="single" w:sz="4" w:space="0" w:color="auto"/>
              <w:right w:val="single" w:sz="4" w:space="0" w:color="auto"/>
            </w:tcBorders>
            <w:hideMark/>
          </w:tcPr>
          <w:p w:rsidR="00676F61" w:rsidRDefault="008353E4">
            <w:pPr>
              <w:widowControl w:val="0"/>
              <w:autoSpaceDE w:val="0"/>
              <w:autoSpaceDN w:val="0"/>
              <w:spacing w:after="120"/>
              <w:ind w:right="-69"/>
              <w:jc w:val="center"/>
              <w:rPr>
                <w:sz w:val="24"/>
                <w:szCs w:val="24"/>
                <w:lang w:eastAsia="en-US"/>
              </w:rPr>
            </w:pPr>
            <w:r>
              <w:rPr>
                <w:sz w:val="24"/>
                <w:szCs w:val="24"/>
                <w:lang w:eastAsia="en-US"/>
              </w:rPr>
              <w:t xml:space="preserve">Полные и сокращенные наименования законодательных и </w:t>
            </w:r>
            <w:r>
              <w:rPr>
                <w:sz w:val="24"/>
                <w:szCs w:val="24"/>
                <w:lang w:eastAsia="en-US"/>
              </w:rPr>
              <w:t>нормативных правовых актов</w:t>
            </w:r>
            <w:r>
              <w:rPr>
                <w:sz w:val="24"/>
                <w:szCs w:val="24"/>
                <w:lang w:eastAsia="en-US"/>
              </w:rPr>
              <w:t xml:space="preserve"> Российской Федерации, реквизиты документов</w:t>
            </w:r>
          </w:p>
        </w:tc>
      </w:tr>
      <w:tr w:rsidR="00676F61">
        <w:tc>
          <w:tcPr>
            <w:tcW w:w="1188" w:type="dxa"/>
            <w:tcBorders>
              <w:top w:val="single" w:sz="4" w:space="0" w:color="auto"/>
              <w:left w:val="single" w:sz="4" w:space="0" w:color="auto"/>
              <w:bottom w:val="single" w:sz="4" w:space="0" w:color="auto"/>
              <w:right w:val="single" w:sz="4" w:space="0" w:color="auto"/>
            </w:tcBorders>
            <w:hideMark/>
          </w:tcPr>
          <w:p w:rsidR="00676F61" w:rsidRDefault="008353E4">
            <w:pPr>
              <w:widowControl w:val="0"/>
              <w:autoSpaceDE w:val="0"/>
              <w:autoSpaceDN w:val="0"/>
              <w:spacing w:after="120"/>
              <w:ind w:right="-69"/>
              <w:jc w:val="center"/>
              <w:rPr>
                <w:sz w:val="24"/>
                <w:szCs w:val="24"/>
                <w:lang w:eastAsia="en-US"/>
              </w:rPr>
            </w:pPr>
            <w:r>
              <w:rPr>
                <w:sz w:val="24"/>
                <w:szCs w:val="24"/>
                <w:lang w:eastAsia="en-US"/>
              </w:rPr>
              <w:t>1</w:t>
            </w:r>
          </w:p>
        </w:tc>
        <w:tc>
          <w:tcPr>
            <w:tcW w:w="8383" w:type="dxa"/>
            <w:tcBorders>
              <w:top w:val="single" w:sz="4" w:space="0" w:color="auto"/>
              <w:left w:val="single" w:sz="4" w:space="0" w:color="auto"/>
              <w:bottom w:val="single" w:sz="4" w:space="0" w:color="auto"/>
              <w:right w:val="single" w:sz="4" w:space="0" w:color="auto"/>
            </w:tcBorders>
            <w:hideMark/>
          </w:tcPr>
          <w:p w:rsidR="00676F61" w:rsidRDefault="008353E4">
            <w:pPr>
              <w:widowControl w:val="0"/>
              <w:autoSpaceDE w:val="0"/>
              <w:autoSpaceDN w:val="0"/>
              <w:spacing w:after="120"/>
              <w:ind w:right="-69"/>
              <w:jc w:val="center"/>
              <w:rPr>
                <w:sz w:val="24"/>
                <w:szCs w:val="24"/>
                <w:lang w:eastAsia="en-US"/>
              </w:rPr>
            </w:pPr>
            <w:r>
              <w:rPr>
                <w:sz w:val="24"/>
                <w:szCs w:val="24"/>
                <w:lang w:eastAsia="en-US"/>
              </w:rPr>
              <w:t>2</w:t>
            </w:r>
          </w:p>
        </w:tc>
      </w:tr>
      <w:tr w:rsidR="00676F61">
        <w:tc>
          <w:tcPr>
            <w:tcW w:w="1188" w:type="dxa"/>
            <w:tcBorders>
              <w:top w:val="single" w:sz="4" w:space="0" w:color="auto"/>
              <w:left w:val="single" w:sz="4" w:space="0" w:color="auto"/>
              <w:bottom w:val="single" w:sz="4" w:space="0" w:color="auto"/>
              <w:right w:val="single" w:sz="4" w:space="0" w:color="auto"/>
            </w:tcBorders>
            <w:hideMark/>
          </w:tcPr>
          <w:p w:rsidR="00676F61" w:rsidRDefault="008353E4">
            <w:pPr>
              <w:widowControl w:val="0"/>
              <w:autoSpaceDE w:val="0"/>
              <w:autoSpaceDN w:val="0"/>
              <w:spacing w:after="120"/>
              <w:ind w:right="-69"/>
              <w:jc w:val="center"/>
              <w:rPr>
                <w:sz w:val="24"/>
                <w:szCs w:val="24"/>
                <w:lang w:eastAsia="en-US"/>
              </w:rPr>
            </w:pPr>
            <w:r>
              <w:rPr>
                <w:sz w:val="24"/>
                <w:szCs w:val="24"/>
                <w:lang w:eastAsia="en-US"/>
              </w:rPr>
              <w:t>1</w:t>
            </w:r>
          </w:p>
        </w:tc>
        <w:tc>
          <w:tcPr>
            <w:tcW w:w="8383" w:type="dxa"/>
            <w:tcBorders>
              <w:top w:val="single" w:sz="4" w:space="0" w:color="auto"/>
              <w:left w:val="single" w:sz="4" w:space="0" w:color="auto"/>
              <w:bottom w:val="single" w:sz="4" w:space="0" w:color="auto"/>
              <w:right w:val="single" w:sz="4" w:space="0" w:color="auto"/>
            </w:tcBorders>
          </w:tcPr>
          <w:p w:rsidR="00676F61" w:rsidRDefault="00676F61">
            <w:pPr>
              <w:widowControl w:val="0"/>
              <w:autoSpaceDE w:val="0"/>
              <w:autoSpaceDN w:val="0"/>
              <w:spacing w:after="120"/>
              <w:ind w:right="-69"/>
              <w:jc w:val="both"/>
              <w:rPr>
                <w:sz w:val="24"/>
                <w:szCs w:val="24"/>
                <w:lang w:eastAsia="en-US"/>
              </w:rPr>
            </w:pPr>
          </w:p>
        </w:tc>
      </w:tr>
      <w:tr w:rsidR="00676F61">
        <w:tc>
          <w:tcPr>
            <w:tcW w:w="1188" w:type="dxa"/>
            <w:tcBorders>
              <w:top w:val="single" w:sz="4" w:space="0" w:color="auto"/>
              <w:left w:val="single" w:sz="4" w:space="0" w:color="auto"/>
              <w:bottom w:val="single" w:sz="4" w:space="0" w:color="auto"/>
              <w:right w:val="single" w:sz="4" w:space="0" w:color="auto"/>
            </w:tcBorders>
            <w:hideMark/>
          </w:tcPr>
          <w:p w:rsidR="00676F61" w:rsidRDefault="008353E4">
            <w:pPr>
              <w:widowControl w:val="0"/>
              <w:autoSpaceDE w:val="0"/>
              <w:autoSpaceDN w:val="0"/>
              <w:spacing w:after="120"/>
              <w:ind w:right="-69"/>
              <w:jc w:val="center"/>
              <w:rPr>
                <w:sz w:val="24"/>
                <w:szCs w:val="24"/>
                <w:lang w:eastAsia="en-US"/>
              </w:rPr>
            </w:pPr>
            <w:r>
              <w:rPr>
                <w:sz w:val="24"/>
                <w:szCs w:val="24"/>
                <w:lang w:eastAsia="en-US"/>
              </w:rPr>
              <w:t>2</w:t>
            </w:r>
          </w:p>
        </w:tc>
        <w:tc>
          <w:tcPr>
            <w:tcW w:w="8383" w:type="dxa"/>
            <w:tcBorders>
              <w:top w:val="single" w:sz="4" w:space="0" w:color="auto"/>
              <w:left w:val="single" w:sz="4" w:space="0" w:color="auto"/>
              <w:bottom w:val="single" w:sz="4" w:space="0" w:color="auto"/>
              <w:right w:val="single" w:sz="4" w:space="0" w:color="auto"/>
            </w:tcBorders>
          </w:tcPr>
          <w:p w:rsidR="00676F61" w:rsidRDefault="00676F61">
            <w:pPr>
              <w:widowControl w:val="0"/>
              <w:autoSpaceDE w:val="0"/>
              <w:autoSpaceDN w:val="0"/>
              <w:spacing w:after="120"/>
              <w:ind w:right="-69"/>
              <w:jc w:val="center"/>
              <w:rPr>
                <w:sz w:val="24"/>
                <w:szCs w:val="24"/>
                <w:lang w:eastAsia="en-US"/>
              </w:rPr>
            </w:pPr>
          </w:p>
        </w:tc>
      </w:tr>
      <w:tr w:rsidR="00676F61">
        <w:tc>
          <w:tcPr>
            <w:tcW w:w="1188" w:type="dxa"/>
            <w:tcBorders>
              <w:top w:val="single" w:sz="4" w:space="0" w:color="auto"/>
              <w:left w:val="single" w:sz="4" w:space="0" w:color="auto"/>
              <w:bottom w:val="single" w:sz="4" w:space="0" w:color="auto"/>
              <w:right w:val="single" w:sz="4" w:space="0" w:color="auto"/>
            </w:tcBorders>
            <w:hideMark/>
          </w:tcPr>
          <w:p w:rsidR="00676F61" w:rsidRDefault="008353E4">
            <w:pPr>
              <w:widowControl w:val="0"/>
              <w:autoSpaceDE w:val="0"/>
              <w:autoSpaceDN w:val="0"/>
              <w:spacing w:after="120"/>
              <w:ind w:right="-69"/>
              <w:jc w:val="center"/>
              <w:rPr>
                <w:sz w:val="24"/>
                <w:szCs w:val="24"/>
                <w:lang w:eastAsia="en-US"/>
              </w:rPr>
            </w:pPr>
            <w:r>
              <w:rPr>
                <w:sz w:val="24"/>
                <w:szCs w:val="24"/>
                <w:lang w:eastAsia="en-US"/>
              </w:rPr>
              <w:t>и т.д.</w:t>
            </w:r>
          </w:p>
        </w:tc>
        <w:tc>
          <w:tcPr>
            <w:tcW w:w="8383" w:type="dxa"/>
            <w:tcBorders>
              <w:top w:val="single" w:sz="4" w:space="0" w:color="auto"/>
              <w:left w:val="single" w:sz="4" w:space="0" w:color="auto"/>
              <w:bottom w:val="single" w:sz="4" w:space="0" w:color="auto"/>
              <w:right w:val="single" w:sz="4" w:space="0" w:color="auto"/>
            </w:tcBorders>
          </w:tcPr>
          <w:p w:rsidR="00676F61" w:rsidRDefault="00676F61">
            <w:pPr>
              <w:widowControl w:val="0"/>
              <w:autoSpaceDE w:val="0"/>
              <w:autoSpaceDN w:val="0"/>
              <w:spacing w:after="120"/>
              <w:ind w:right="-69"/>
              <w:jc w:val="center"/>
              <w:rPr>
                <w:sz w:val="24"/>
                <w:szCs w:val="24"/>
                <w:lang w:eastAsia="en-US"/>
              </w:rPr>
            </w:pPr>
          </w:p>
        </w:tc>
      </w:tr>
    </w:tbl>
    <w:p w:rsidR="00676F61" w:rsidRDefault="00676F61">
      <w:pPr>
        <w:autoSpaceDE w:val="0"/>
        <w:autoSpaceDN w:val="0"/>
        <w:spacing w:after="480"/>
        <w:jc w:val="center"/>
        <w:rPr>
          <w:b/>
          <w:bCs/>
          <w:caps/>
          <w:sz w:val="26"/>
          <w:szCs w:val="26"/>
        </w:rPr>
      </w:pPr>
    </w:p>
    <w:p w:rsidR="00676F61" w:rsidRDefault="00676F61"/>
    <w:sectPr w:rsidR="00676F61">
      <w:headerReference w:type="default" r:id="rId7"/>
      <w:pgSz w:w="11906" w:h="16838"/>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F61" w:rsidRDefault="008353E4">
      <w:r>
        <w:separator/>
      </w:r>
    </w:p>
  </w:endnote>
  <w:endnote w:type="continuationSeparator" w:id="0">
    <w:p w:rsidR="00676F61" w:rsidRDefault="00835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F61" w:rsidRDefault="008353E4">
      <w:r>
        <w:separator/>
      </w:r>
    </w:p>
  </w:footnote>
  <w:footnote w:type="continuationSeparator" w:id="0">
    <w:p w:rsidR="00676F61" w:rsidRDefault="008353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7692302"/>
      <w:docPartObj>
        <w:docPartGallery w:val="Page Numbers (Top of Page)"/>
        <w:docPartUnique/>
      </w:docPartObj>
    </w:sdtPr>
    <w:sdtEndPr/>
    <w:sdtContent>
      <w:p w:rsidR="00676F61" w:rsidRDefault="008353E4">
        <w:pPr>
          <w:pStyle w:val="a3"/>
          <w:jc w:val="center"/>
        </w:pPr>
        <w:r>
          <w:fldChar w:fldCharType="begin"/>
        </w:r>
        <w:r>
          <w:instrText>PAGE   \* MERGEFORMAT</w:instrText>
        </w:r>
        <w:r>
          <w:fldChar w:fldCharType="separate"/>
        </w:r>
        <w:r>
          <w:rPr>
            <w:noProof/>
          </w:rPr>
          <w:t>3</w:t>
        </w:r>
        <w:r>
          <w:fldChar w:fldCharType="end"/>
        </w:r>
      </w:p>
    </w:sdtContent>
  </w:sdt>
  <w:p w:rsidR="00676F61" w:rsidRDefault="00676F6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revisionView w:markup="0"/>
  <w:trackRevisions/>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F61"/>
    <w:rsid w:val="00676F61"/>
    <w:rsid w:val="00835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pPr>
  </w:style>
  <w:style w:type="character" w:customStyle="1" w:styleId="a4">
    <w:name w:val="Верхний колонтитул Знак"/>
    <w:basedOn w:val="a0"/>
    <w:link w:val="a3"/>
    <w:uiPriority w:val="99"/>
    <w:rPr>
      <w:rFonts w:ascii="Times New Roman" w:eastAsia="Times New Roman" w:hAnsi="Times New Roman" w:cs="Times New Roman"/>
      <w:sz w:val="20"/>
      <w:szCs w:val="20"/>
      <w:lang w:eastAsia="ru-RU"/>
    </w:rPr>
  </w:style>
  <w:style w:type="paragraph" w:styleId="a5">
    <w:name w:val="footer"/>
    <w:basedOn w:val="a"/>
    <w:link w:val="a6"/>
    <w:uiPriority w:val="99"/>
    <w:unhideWhenUsed/>
    <w:pPr>
      <w:tabs>
        <w:tab w:val="center" w:pos="4677"/>
        <w:tab w:val="right" w:pos="9355"/>
      </w:tabs>
    </w:pPr>
  </w:style>
  <w:style w:type="character" w:customStyle="1" w:styleId="a6">
    <w:name w:val="Нижний колонтитул Знак"/>
    <w:basedOn w:val="a0"/>
    <w:link w:val="a5"/>
    <w:uiPriority w:val="99"/>
    <w:rPr>
      <w:rFonts w:ascii="Times New Roman" w:eastAsia="Times New Roman" w:hAnsi="Times New Roman" w:cs="Times New Roman"/>
      <w:sz w:val="20"/>
      <w:szCs w:val="20"/>
      <w:lang w:eastAsia="ru-RU"/>
    </w:rPr>
  </w:style>
  <w:style w:type="paragraph" w:styleId="a7">
    <w:name w:val="footnote text"/>
    <w:basedOn w:val="a"/>
    <w:link w:val="a8"/>
    <w:uiPriority w:val="99"/>
    <w:semiHidden/>
    <w:rPr>
      <w:rFonts w:ascii="Calibri" w:eastAsia="Calibri" w:hAnsi="Calibri" w:cs="Calibri"/>
      <w:lang w:eastAsia="en-US"/>
    </w:rPr>
  </w:style>
  <w:style w:type="character" w:customStyle="1" w:styleId="a8">
    <w:name w:val="Текст сноски Знак"/>
    <w:basedOn w:val="a0"/>
    <w:link w:val="a7"/>
    <w:uiPriority w:val="99"/>
    <w:semiHidden/>
    <w:rPr>
      <w:rFonts w:ascii="Calibri" w:eastAsia="Calibri" w:hAnsi="Calibri" w:cs="Calibri"/>
      <w:sz w:val="20"/>
      <w:szCs w:val="20"/>
    </w:rPr>
  </w:style>
  <w:style w:type="character" w:styleId="a9">
    <w:name w:val="footnote reference"/>
    <w:uiPriority w:val="99"/>
    <w:semiHidden/>
    <w:rPr>
      <w:vertAlign w:val="superscript"/>
    </w:rPr>
  </w:style>
  <w:style w:type="paragraph" w:styleId="aa">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widowControl w:val="0"/>
      <w:autoSpaceDE w:val="0"/>
      <w:autoSpaceDN w:val="0"/>
      <w:spacing w:after="120" w:line="300" w:lineRule="auto"/>
      <w:ind w:firstLine="560"/>
      <w:jc w:val="both"/>
    </w:pPr>
    <w:rPr>
      <w:sz w:val="24"/>
      <w:szCs w:val="24"/>
    </w:rPr>
  </w:style>
  <w:style w:type="character" w:customStyle="1" w:styleId="ab">
    <w:name w:val="Основной текст Знак"/>
    <w:basedOn w:val="a0"/>
    <w:uiPriority w:val="99"/>
    <w:semiHidden/>
    <w:rPr>
      <w:rFonts w:ascii="Times New Roman" w:eastAsia="Times New Roman" w:hAnsi="Times New Roman" w:cs="Times New Roman"/>
      <w:sz w:val="20"/>
      <w:szCs w:val="20"/>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a"/>
    <w:locked/>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Pr>
      <w:rFonts w:ascii="Tahoma" w:hAnsi="Tahoma" w:cs="Tahoma"/>
      <w:sz w:val="16"/>
      <w:szCs w:val="16"/>
    </w:rPr>
  </w:style>
  <w:style w:type="character" w:customStyle="1" w:styleId="ad">
    <w:name w:val="Текст выноски Знак"/>
    <w:basedOn w:val="a0"/>
    <w:link w:val="ac"/>
    <w:uiPriority w:val="99"/>
    <w:semiHidden/>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pPr>
  </w:style>
  <w:style w:type="character" w:customStyle="1" w:styleId="a4">
    <w:name w:val="Верхний колонтитул Знак"/>
    <w:basedOn w:val="a0"/>
    <w:link w:val="a3"/>
    <w:uiPriority w:val="99"/>
    <w:rPr>
      <w:rFonts w:ascii="Times New Roman" w:eastAsia="Times New Roman" w:hAnsi="Times New Roman" w:cs="Times New Roman"/>
      <w:sz w:val="20"/>
      <w:szCs w:val="20"/>
      <w:lang w:eastAsia="ru-RU"/>
    </w:rPr>
  </w:style>
  <w:style w:type="paragraph" w:styleId="a5">
    <w:name w:val="footer"/>
    <w:basedOn w:val="a"/>
    <w:link w:val="a6"/>
    <w:uiPriority w:val="99"/>
    <w:unhideWhenUsed/>
    <w:pPr>
      <w:tabs>
        <w:tab w:val="center" w:pos="4677"/>
        <w:tab w:val="right" w:pos="9355"/>
      </w:tabs>
    </w:pPr>
  </w:style>
  <w:style w:type="character" w:customStyle="1" w:styleId="a6">
    <w:name w:val="Нижний колонтитул Знак"/>
    <w:basedOn w:val="a0"/>
    <w:link w:val="a5"/>
    <w:uiPriority w:val="99"/>
    <w:rPr>
      <w:rFonts w:ascii="Times New Roman" w:eastAsia="Times New Roman" w:hAnsi="Times New Roman" w:cs="Times New Roman"/>
      <w:sz w:val="20"/>
      <w:szCs w:val="20"/>
      <w:lang w:eastAsia="ru-RU"/>
    </w:rPr>
  </w:style>
  <w:style w:type="paragraph" w:styleId="a7">
    <w:name w:val="footnote text"/>
    <w:basedOn w:val="a"/>
    <w:link w:val="a8"/>
    <w:uiPriority w:val="99"/>
    <w:semiHidden/>
    <w:rPr>
      <w:rFonts w:ascii="Calibri" w:eastAsia="Calibri" w:hAnsi="Calibri" w:cs="Calibri"/>
      <w:lang w:eastAsia="en-US"/>
    </w:rPr>
  </w:style>
  <w:style w:type="character" w:customStyle="1" w:styleId="a8">
    <w:name w:val="Текст сноски Знак"/>
    <w:basedOn w:val="a0"/>
    <w:link w:val="a7"/>
    <w:uiPriority w:val="99"/>
    <w:semiHidden/>
    <w:rPr>
      <w:rFonts w:ascii="Calibri" w:eastAsia="Calibri" w:hAnsi="Calibri" w:cs="Calibri"/>
      <w:sz w:val="20"/>
      <w:szCs w:val="20"/>
    </w:rPr>
  </w:style>
  <w:style w:type="character" w:styleId="a9">
    <w:name w:val="footnote reference"/>
    <w:uiPriority w:val="99"/>
    <w:semiHidden/>
    <w:rPr>
      <w:vertAlign w:val="superscript"/>
    </w:rPr>
  </w:style>
  <w:style w:type="paragraph" w:styleId="aa">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widowControl w:val="0"/>
      <w:autoSpaceDE w:val="0"/>
      <w:autoSpaceDN w:val="0"/>
      <w:spacing w:after="120" w:line="300" w:lineRule="auto"/>
      <w:ind w:firstLine="560"/>
      <w:jc w:val="both"/>
    </w:pPr>
    <w:rPr>
      <w:sz w:val="24"/>
      <w:szCs w:val="24"/>
    </w:rPr>
  </w:style>
  <w:style w:type="character" w:customStyle="1" w:styleId="ab">
    <w:name w:val="Основной текст Знак"/>
    <w:basedOn w:val="a0"/>
    <w:uiPriority w:val="99"/>
    <w:semiHidden/>
    <w:rPr>
      <w:rFonts w:ascii="Times New Roman" w:eastAsia="Times New Roman" w:hAnsi="Times New Roman" w:cs="Times New Roman"/>
      <w:sz w:val="20"/>
      <w:szCs w:val="20"/>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a"/>
    <w:locked/>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Pr>
      <w:rFonts w:ascii="Tahoma" w:hAnsi="Tahoma" w:cs="Tahoma"/>
      <w:sz w:val="16"/>
      <w:szCs w:val="16"/>
    </w:rPr>
  </w:style>
  <w:style w:type="character" w:customStyle="1" w:styleId="ad">
    <w:name w:val="Текст выноски Знак"/>
    <w:basedOn w:val="a0"/>
    <w:link w:val="ac"/>
    <w:uiPriority w:val="99"/>
    <w:semiHidden/>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366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83</Words>
  <Characters>476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 Наталья Юрьевна</dc:creator>
  <cp:lastModifiedBy>Узкая Наталья Андреевна</cp:lastModifiedBy>
  <cp:revision>2</cp:revision>
  <cp:lastPrinted>2017-02-27T13:07:00Z</cp:lastPrinted>
  <dcterms:created xsi:type="dcterms:W3CDTF">2017-03-13T09:26:00Z</dcterms:created>
  <dcterms:modified xsi:type="dcterms:W3CDTF">2017-03-13T09:26:00Z</dcterms:modified>
</cp:coreProperties>
</file>