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ED8" w:rsidRDefault="00F72ED8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F72ED8" w:rsidRDefault="00F72ED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72ED8" w:rsidRDefault="00F72ED8">
      <w:pPr>
        <w:pStyle w:val="ConsPlusTitle"/>
        <w:jc w:val="center"/>
      </w:pPr>
    </w:p>
    <w:p w:rsidR="00F72ED8" w:rsidRDefault="00F72ED8">
      <w:pPr>
        <w:pStyle w:val="ConsPlusTitle"/>
        <w:jc w:val="center"/>
      </w:pPr>
      <w:r>
        <w:t>ПОСТАНОВЛЕНИЕ</w:t>
      </w:r>
    </w:p>
    <w:p w:rsidR="00F72ED8" w:rsidRDefault="00F72ED8">
      <w:pPr>
        <w:pStyle w:val="ConsPlusTitle"/>
        <w:jc w:val="center"/>
      </w:pPr>
      <w:r>
        <w:t>от 24 ноября 2014 г. N 1234</w:t>
      </w:r>
    </w:p>
    <w:p w:rsidR="00F72ED8" w:rsidRDefault="00F72ED8">
      <w:pPr>
        <w:pStyle w:val="ConsPlusTitle"/>
        <w:jc w:val="center"/>
      </w:pPr>
    </w:p>
    <w:p w:rsidR="00F72ED8" w:rsidRDefault="00F72ED8">
      <w:pPr>
        <w:pStyle w:val="ConsPlusTitle"/>
        <w:jc w:val="center"/>
      </w:pPr>
      <w:r>
        <w:t>О ПРЕДОСТАВЛЕНИИ В 2014 ГОДУ ИЗ ФЕДЕРАЛЬНОГО БЮДЖЕТА</w:t>
      </w:r>
    </w:p>
    <w:p w:rsidR="00F72ED8" w:rsidRDefault="00F72ED8">
      <w:pPr>
        <w:pStyle w:val="ConsPlusTitle"/>
        <w:jc w:val="center"/>
      </w:pPr>
      <w:r>
        <w:t>БЮДЖЕТУ ЛЕНИНГРАДСКОЙ ОБЛАСТИ ИНЫХ МЕЖБЮДЖЕТНЫХ ТРАНСФЕРТОВ</w:t>
      </w:r>
    </w:p>
    <w:p w:rsidR="00F72ED8" w:rsidRDefault="00F72ED8">
      <w:pPr>
        <w:pStyle w:val="ConsPlusTitle"/>
        <w:jc w:val="center"/>
      </w:pPr>
      <w:r>
        <w:t xml:space="preserve">НА ОКАЗАНИЕ ФИНАНСОВОЙ ПОДДЕРЖКИ </w:t>
      </w:r>
      <w:proofErr w:type="gramStart"/>
      <w:r>
        <w:t>ЗАКРЫТОМУ</w:t>
      </w:r>
      <w:proofErr w:type="gramEnd"/>
      <w:r>
        <w:t xml:space="preserve"> АКЦИОНЕРНОМУ</w:t>
      </w:r>
    </w:p>
    <w:p w:rsidR="00F72ED8" w:rsidRDefault="00F72ED8">
      <w:pPr>
        <w:pStyle w:val="ConsPlusTitle"/>
        <w:jc w:val="center"/>
      </w:pPr>
      <w:r>
        <w:t>ОБЩЕСТВУ "БАЗЭЛЦЕМЕНТ-ПИКАЛЕВО" ДЛЯ ЧАСТИЧНОЙ КОМПЕНСАЦИИ</w:t>
      </w:r>
    </w:p>
    <w:p w:rsidR="00F72ED8" w:rsidRDefault="00F72ED8">
      <w:pPr>
        <w:pStyle w:val="ConsPlusTitle"/>
        <w:jc w:val="center"/>
      </w:pPr>
      <w:r>
        <w:t>ЗАТРАТ НА ПЕРЕВОЗКУ ЖЕЛЕЗНОДОРОЖНЫМ ТРАНСПОРТОМ</w:t>
      </w:r>
    </w:p>
    <w:p w:rsidR="00F72ED8" w:rsidRDefault="00F72ED8">
      <w:pPr>
        <w:pStyle w:val="ConsPlusTitle"/>
        <w:jc w:val="center"/>
      </w:pPr>
      <w:r>
        <w:t>НЕФЕЛИНОВОГО КОНЦЕНТРАТА</w:t>
      </w:r>
    </w:p>
    <w:p w:rsidR="00F72ED8" w:rsidRDefault="00F72ED8">
      <w:pPr>
        <w:pStyle w:val="ConsPlusNormal"/>
        <w:ind w:firstLine="540"/>
        <w:jc w:val="both"/>
      </w:pPr>
    </w:p>
    <w:p w:rsidR="00F72ED8" w:rsidRDefault="00F72ED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72ED8" w:rsidRDefault="00F72ED8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соответствии с </w:t>
      </w:r>
      <w:hyperlink r:id="rId5" w:history="1">
        <w:r>
          <w:rPr>
            <w:color w:val="0000FF"/>
          </w:rPr>
          <w:t>пунктом 13 части 1 статьи 23</w:t>
        </w:r>
      </w:hyperlink>
      <w:r>
        <w:t xml:space="preserve"> Федерального закона "О федеральном бюджете на 2014 год и на плановый период 2015 и 2016 годов" направить бюджетные ассигнования, предусмотренные Министерству финансов Российской Федерации по подразделу "Общеэкономические вопросы" раздела "Национальная экономика" классификации расходов бюджетов, в размере 290000 тыс. рублей Министерству промышленности и торговли Российской Федерации для предоставления в 2014 году из</w:t>
      </w:r>
      <w:proofErr w:type="gramEnd"/>
      <w:r>
        <w:t xml:space="preserve"> федерального бюджета бюджету Ленинградской области иных межбюджетных трансфертов на оказание финансовой поддержки закрытому акционерному обществу "БазэлЦемент-Пикалево" для частичной компенсации затрат на перевозку железнодорожным транспортом нефелинового концентрата.</w:t>
      </w:r>
    </w:p>
    <w:p w:rsidR="00F72ED8" w:rsidRDefault="00F72ED8">
      <w:pPr>
        <w:pStyle w:val="ConsPlusNormal"/>
        <w:ind w:firstLine="540"/>
        <w:jc w:val="both"/>
      </w:pPr>
      <w:r>
        <w:t xml:space="preserve">2. 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в 2014 году из федерального бюджета бюджету Ленинградской области иных межбюджетных трансфертов на оказание финансовой поддержки закрытому акционерному обществу "БазэлЦемент-Пикалево" для частичной компенсации затрат на перевозку железнодорожным транспортом нефелинового концентрата.</w:t>
      </w:r>
    </w:p>
    <w:p w:rsidR="00F72ED8" w:rsidRDefault="00F72ED8">
      <w:pPr>
        <w:pStyle w:val="ConsPlusNormal"/>
        <w:jc w:val="right"/>
      </w:pPr>
    </w:p>
    <w:p w:rsidR="00F72ED8" w:rsidRDefault="00F72ED8">
      <w:pPr>
        <w:pStyle w:val="ConsPlusNormal"/>
        <w:jc w:val="right"/>
      </w:pPr>
      <w:r>
        <w:t>Председатель Правительства</w:t>
      </w:r>
    </w:p>
    <w:p w:rsidR="00F72ED8" w:rsidRDefault="00F72ED8">
      <w:pPr>
        <w:pStyle w:val="ConsPlusNormal"/>
        <w:jc w:val="right"/>
      </w:pPr>
      <w:r>
        <w:t>Российской Федерации</w:t>
      </w:r>
    </w:p>
    <w:p w:rsidR="00F72ED8" w:rsidRDefault="00F72ED8">
      <w:pPr>
        <w:pStyle w:val="ConsPlusNormal"/>
        <w:jc w:val="right"/>
      </w:pPr>
      <w:r>
        <w:t>Д.МЕДВЕДЕВ</w:t>
      </w:r>
    </w:p>
    <w:p w:rsidR="00F72ED8" w:rsidRDefault="00F72ED8">
      <w:pPr>
        <w:pStyle w:val="ConsPlusNormal"/>
        <w:ind w:firstLine="540"/>
        <w:jc w:val="both"/>
      </w:pPr>
    </w:p>
    <w:p w:rsidR="00F72ED8" w:rsidRDefault="00F72ED8">
      <w:pPr>
        <w:pStyle w:val="ConsPlusNormal"/>
        <w:ind w:firstLine="540"/>
        <w:jc w:val="both"/>
      </w:pPr>
    </w:p>
    <w:p w:rsidR="00F72ED8" w:rsidRDefault="00F72ED8">
      <w:pPr>
        <w:pStyle w:val="ConsPlusNormal"/>
        <w:ind w:firstLine="540"/>
        <w:jc w:val="both"/>
      </w:pPr>
    </w:p>
    <w:p w:rsidR="00F72ED8" w:rsidRDefault="00F72ED8">
      <w:pPr>
        <w:pStyle w:val="ConsPlusNormal"/>
        <w:ind w:firstLine="540"/>
        <w:jc w:val="both"/>
      </w:pPr>
    </w:p>
    <w:p w:rsidR="00F72ED8" w:rsidRDefault="00F72ED8">
      <w:pPr>
        <w:pStyle w:val="ConsPlusNormal"/>
        <w:ind w:firstLine="540"/>
        <w:jc w:val="both"/>
      </w:pPr>
    </w:p>
    <w:p w:rsidR="00F72ED8" w:rsidRDefault="00F72ED8">
      <w:pPr>
        <w:pStyle w:val="ConsPlusNormal"/>
        <w:jc w:val="right"/>
        <w:outlineLvl w:val="0"/>
      </w:pPr>
      <w:r>
        <w:t>Утверждены</w:t>
      </w:r>
    </w:p>
    <w:p w:rsidR="00F72ED8" w:rsidRDefault="00F72ED8">
      <w:pPr>
        <w:pStyle w:val="ConsPlusNormal"/>
        <w:jc w:val="right"/>
      </w:pPr>
      <w:r>
        <w:t>Постановлением Правительства</w:t>
      </w:r>
    </w:p>
    <w:p w:rsidR="00F72ED8" w:rsidRDefault="00F72ED8">
      <w:pPr>
        <w:pStyle w:val="ConsPlusNormal"/>
        <w:jc w:val="right"/>
      </w:pPr>
      <w:r>
        <w:t>Российской Федерации</w:t>
      </w:r>
    </w:p>
    <w:p w:rsidR="00F72ED8" w:rsidRDefault="00F72ED8">
      <w:pPr>
        <w:pStyle w:val="ConsPlusNormal"/>
        <w:jc w:val="right"/>
      </w:pPr>
      <w:r>
        <w:t>от 24 ноября 2014 г. N 1234</w:t>
      </w:r>
    </w:p>
    <w:p w:rsidR="00F72ED8" w:rsidRDefault="00F72ED8">
      <w:pPr>
        <w:pStyle w:val="ConsPlusNormal"/>
        <w:jc w:val="center"/>
      </w:pPr>
    </w:p>
    <w:p w:rsidR="00F72ED8" w:rsidRDefault="00F72ED8">
      <w:pPr>
        <w:pStyle w:val="ConsPlusTitle"/>
        <w:jc w:val="center"/>
      </w:pPr>
      <w:bookmarkStart w:id="1" w:name="P30"/>
      <w:bookmarkEnd w:id="1"/>
      <w:r>
        <w:t>ПРАВИЛА</w:t>
      </w:r>
    </w:p>
    <w:p w:rsidR="00F72ED8" w:rsidRDefault="00F72ED8">
      <w:pPr>
        <w:pStyle w:val="ConsPlusTitle"/>
        <w:jc w:val="center"/>
      </w:pPr>
      <w:r>
        <w:t>ПРЕДОСТАВЛЕНИЯ В 2014 ГОДУ ИЗ ФЕДЕРАЛЬНОГО БЮДЖЕТА</w:t>
      </w:r>
    </w:p>
    <w:p w:rsidR="00F72ED8" w:rsidRDefault="00F72ED8">
      <w:pPr>
        <w:pStyle w:val="ConsPlusTitle"/>
        <w:jc w:val="center"/>
      </w:pPr>
      <w:r>
        <w:t>БЮДЖЕТУ ЛЕНИНГРАДСКОЙ ОБЛАСТИ ИНЫХ МЕЖБЮДЖЕТНЫХ ТРАНСФЕРТОВ</w:t>
      </w:r>
    </w:p>
    <w:p w:rsidR="00F72ED8" w:rsidRDefault="00F72ED8">
      <w:pPr>
        <w:pStyle w:val="ConsPlusTitle"/>
        <w:jc w:val="center"/>
      </w:pPr>
      <w:r>
        <w:t xml:space="preserve">НА ОКАЗАНИЕ ФИНАНСОВОЙ ПОДДЕРЖКИ </w:t>
      </w:r>
      <w:proofErr w:type="gramStart"/>
      <w:r>
        <w:t>ЗАКРЫТОМУ</w:t>
      </w:r>
      <w:proofErr w:type="gramEnd"/>
      <w:r>
        <w:t xml:space="preserve"> АКЦИОНЕРНОМУ</w:t>
      </w:r>
    </w:p>
    <w:p w:rsidR="00F72ED8" w:rsidRDefault="00F72ED8">
      <w:pPr>
        <w:pStyle w:val="ConsPlusTitle"/>
        <w:jc w:val="center"/>
      </w:pPr>
      <w:r>
        <w:t>ОБЩЕСТВУ "БАЗЭЛЦЕМЕНТ-ПИКАЛЕВО" ДЛЯ ЧАСТИЧНОЙ КОМПЕНСАЦИИ</w:t>
      </w:r>
    </w:p>
    <w:p w:rsidR="00F72ED8" w:rsidRDefault="00F72ED8">
      <w:pPr>
        <w:pStyle w:val="ConsPlusTitle"/>
        <w:jc w:val="center"/>
      </w:pPr>
      <w:r>
        <w:t>ЗАТРАТ НА ПЕРЕВОЗКУ ЖЕЛЕЗНОДОРОЖНЫМ ТРАНСПОРТОМ</w:t>
      </w:r>
    </w:p>
    <w:p w:rsidR="00F72ED8" w:rsidRDefault="00F72ED8">
      <w:pPr>
        <w:pStyle w:val="ConsPlusTitle"/>
        <w:jc w:val="center"/>
      </w:pPr>
      <w:r>
        <w:t>НЕФЕЛИНОВОГО КОНЦЕНТРАТА</w:t>
      </w:r>
    </w:p>
    <w:p w:rsidR="00F72ED8" w:rsidRDefault="00F72ED8">
      <w:pPr>
        <w:pStyle w:val="ConsPlusNormal"/>
        <w:ind w:firstLine="540"/>
        <w:jc w:val="both"/>
      </w:pPr>
    </w:p>
    <w:p w:rsidR="00F72ED8" w:rsidRDefault="00F72ED8">
      <w:pPr>
        <w:pStyle w:val="ConsPlusNormal"/>
        <w:ind w:firstLine="540"/>
        <w:jc w:val="both"/>
      </w:pPr>
      <w:bookmarkStart w:id="2" w:name="P38"/>
      <w:bookmarkEnd w:id="2"/>
      <w:r>
        <w:t>1. Настоящие Правила устанавливают порядок предоставления в 2014 году из федерального бюджета бюджету Ленинградской области иных межбюджетных трансфертов на оказание финансовой поддержки закрытому акционерному обществу "БазэлЦемент-Пикалево" для частичной компенсации затрат на перевозку железнодорожным транспортом нефелинового концентрата (далее - иные межбюджетные трансферты).</w:t>
      </w:r>
    </w:p>
    <w:p w:rsidR="00F72ED8" w:rsidRDefault="00F72ED8">
      <w:pPr>
        <w:pStyle w:val="ConsPlusNormal"/>
        <w:ind w:firstLine="540"/>
        <w:jc w:val="both"/>
      </w:pPr>
      <w:r>
        <w:lastRenderedPageBreak/>
        <w:t xml:space="preserve">2. Иные межбюджетные трансферты предоставляются Министерством промышленности и торговли Российской Федерации бюджету Ленинградской области в пределах бюджетных ассигнований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F72ED8" w:rsidRDefault="00F72ED8">
      <w:pPr>
        <w:pStyle w:val="ConsPlusNormal"/>
        <w:ind w:firstLine="540"/>
        <w:jc w:val="both"/>
      </w:pPr>
      <w:r>
        <w:t xml:space="preserve">3. Предоставление иных межбюджетных трансфертов осуществляется на основании соглашения, заключенного между Министерством промышленности и торговли Российской Федерации и высшим исполнительным органом государственной власти Ленинградской области, </w:t>
      </w:r>
      <w:proofErr w:type="gramStart"/>
      <w:r>
        <w:t>предусматривающего</w:t>
      </w:r>
      <w:proofErr w:type="gramEnd"/>
      <w:r>
        <w:t xml:space="preserve"> в том числе следующие положения:</w:t>
      </w:r>
    </w:p>
    <w:p w:rsidR="00F72ED8" w:rsidRDefault="00F72ED8">
      <w:pPr>
        <w:pStyle w:val="ConsPlusNormal"/>
        <w:ind w:firstLine="540"/>
        <w:jc w:val="both"/>
      </w:pPr>
      <w:r>
        <w:t>а) целевое назначение иных межбюджетных трансфертов - частичная компенсация затрат закрытого акционерного общества "БазэлЦемент-Пикалево" на перевозку железнодорожным транспортом нефелинового концентрата, понесенных в 2014 году, в том числе до заключения соглашения;</w:t>
      </w:r>
    </w:p>
    <w:p w:rsidR="00F72ED8" w:rsidRDefault="00F72ED8">
      <w:pPr>
        <w:pStyle w:val="ConsPlusNormal"/>
        <w:ind w:firstLine="540"/>
        <w:jc w:val="both"/>
      </w:pPr>
      <w:r>
        <w:t>б) размер и сроки предоставления иных межбюджетных трансфертов;</w:t>
      </w:r>
    </w:p>
    <w:p w:rsidR="00F72ED8" w:rsidRDefault="00F72ED8">
      <w:pPr>
        <w:pStyle w:val="ConsPlusNormal"/>
        <w:ind w:firstLine="540"/>
        <w:jc w:val="both"/>
      </w:pPr>
      <w:r>
        <w:t>в) форма и сроки представления высшим исполнительным органом государственной власти Ленинградской области заявки о перечислении иных межбюджетных трансфертов с указанием размера средств и срока возникновения денежного обязательства Ленинградской области;</w:t>
      </w:r>
    </w:p>
    <w:p w:rsidR="00F72ED8" w:rsidRDefault="00F72ED8">
      <w:pPr>
        <w:pStyle w:val="ConsPlusNormal"/>
        <w:ind w:firstLine="540"/>
        <w:jc w:val="both"/>
      </w:pPr>
      <w:r>
        <w:t xml:space="preserve">г) целевые индикаторы эффективности использования иных межбюджетных трансфертов и их количественные показатели в соответствии с </w:t>
      </w:r>
      <w:hyperlink w:anchor="P57" w:history="1">
        <w:r>
          <w:rPr>
            <w:color w:val="0000FF"/>
          </w:rPr>
          <w:t>пунктом 7</w:t>
        </w:r>
      </w:hyperlink>
      <w:r>
        <w:t xml:space="preserve"> настоящих Правил;</w:t>
      </w:r>
    </w:p>
    <w:p w:rsidR="00F72ED8" w:rsidRDefault="00F72ED8">
      <w:pPr>
        <w:pStyle w:val="ConsPlusNormal"/>
        <w:ind w:firstLine="540"/>
        <w:jc w:val="both"/>
      </w:pPr>
      <w:r>
        <w:t xml:space="preserve">д) последствия недостижения Ленинградской областью установленных количественных </w:t>
      </w:r>
      <w:proofErr w:type="gramStart"/>
      <w:r>
        <w:t>показателей целевых индикаторов эффективности использования иных межбюджетных трансфертов</w:t>
      </w:r>
      <w:proofErr w:type="gramEnd"/>
      <w:r>
        <w:t xml:space="preserve"> и расчет размера штрафных санкций;</w:t>
      </w:r>
    </w:p>
    <w:p w:rsidR="00F72ED8" w:rsidRDefault="00F72ED8">
      <w:pPr>
        <w:pStyle w:val="ConsPlusNormal"/>
        <w:ind w:firstLine="540"/>
        <w:jc w:val="both"/>
      </w:pPr>
      <w:r>
        <w:t xml:space="preserve">е) порядок, форма и сроки представления высшим исполнительным органом государственной власти Ленинградской области отчета о расходах бюджета Ленинградской области, источником финансового обеспечения которых являются иные межбюджетные трансферты, а также о достижении количественных </w:t>
      </w:r>
      <w:proofErr w:type="gramStart"/>
      <w:r>
        <w:t>показателей целевых индикаторов эффективности использования иных межбюджетных трансфертов</w:t>
      </w:r>
      <w:proofErr w:type="gramEnd"/>
      <w:r>
        <w:t>;</w:t>
      </w:r>
    </w:p>
    <w:p w:rsidR="00F72ED8" w:rsidRDefault="00F72ED8">
      <w:pPr>
        <w:pStyle w:val="ConsPlusNormal"/>
        <w:ind w:firstLine="540"/>
        <w:jc w:val="both"/>
      </w:pPr>
      <w:proofErr w:type="gramStart"/>
      <w:r>
        <w:t>ж) наличие нормативного правового акта Ленинградской области, устанавливающего расходное обязательство Ленинградской области, источником финансового обеспечения которого являются иные межбюджетные трансферты, включая использование собственных финансовых средств в размере не менее 5 процентов размера иных межбюджетных трансфертов;</w:t>
      </w:r>
      <w:proofErr w:type="gramEnd"/>
    </w:p>
    <w:p w:rsidR="00F72ED8" w:rsidRDefault="00F72ED8">
      <w:pPr>
        <w:pStyle w:val="ConsPlusNormal"/>
        <w:ind w:firstLine="540"/>
        <w:jc w:val="both"/>
      </w:pPr>
      <w:r>
        <w:t xml:space="preserve">з) порядок </w:t>
      </w:r>
      <w:proofErr w:type="gramStart"/>
      <w:r>
        <w:t>контроля за</w:t>
      </w:r>
      <w:proofErr w:type="gramEnd"/>
      <w:r>
        <w:t xml:space="preserve"> соблюдением Ленинградской областью целей и условий предоставления иных межбюджетных трансфертов;</w:t>
      </w:r>
    </w:p>
    <w:p w:rsidR="00F72ED8" w:rsidRDefault="00F72ED8">
      <w:pPr>
        <w:pStyle w:val="ConsPlusNormal"/>
        <w:ind w:firstLine="540"/>
        <w:jc w:val="both"/>
      </w:pPr>
      <w:bookmarkStart w:id="3" w:name="P49"/>
      <w:bookmarkEnd w:id="3"/>
      <w:r>
        <w:t>и) обязательство по заключению между высшим исполнительным органом государственной власти Ленинградской области и закрытым акционерным обществом "БазэлЦемент-Пикалево" договора о предоставлении в 2014 году субсидии из бюджета Ленинградской области в целях возмещения части затрат на перевозку железнодорожным транспортом нефелинового концентрата, понесенных в 2014 году, в том числе до заключения договора.</w:t>
      </w:r>
    </w:p>
    <w:p w:rsidR="00F72ED8" w:rsidRDefault="00F72ED8">
      <w:pPr>
        <w:pStyle w:val="ConsPlusNormal"/>
        <w:ind w:firstLine="540"/>
        <w:jc w:val="both"/>
      </w:pPr>
      <w:r>
        <w:t xml:space="preserve">4. В договоре, указанном в </w:t>
      </w:r>
      <w:hyperlink w:anchor="P49" w:history="1">
        <w:r>
          <w:rPr>
            <w:color w:val="0000FF"/>
          </w:rPr>
          <w:t>подпункте "и" пункта 3</w:t>
        </w:r>
      </w:hyperlink>
      <w:r>
        <w:t xml:space="preserve"> настоящих Правил, предусматриваются:</w:t>
      </w:r>
    </w:p>
    <w:p w:rsidR="00F72ED8" w:rsidRDefault="00F72ED8">
      <w:pPr>
        <w:pStyle w:val="ConsPlusNormal"/>
        <w:ind w:firstLine="540"/>
        <w:jc w:val="both"/>
      </w:pPr>
      <w:r>
        <w:t xml:space="preserve">а) целевые индикаторы эффективности использования субсидии и их количественные показатели в соответствии с </w:t>
      </w:r>
      <w:hyperlink w:anchor="P57" w:history="1">
        <w:r>
          <w:rPr>
            <w:color w:val="0000FF"/>
          </w:rPr>
          <w:t>пунктом 7</w:t>
        </w:r>
      </w:hyperlink>
      <w:r>
        <w:t xml:space="preserve"> настоящих Правил;</w:t>
      </w:r>
    </w:p>
    <w:p w:rsidR="00F72ED8" w:rsidRDefault="00F72ED8">
      <w:pPr>
        <w:pStyle w:val="ConsPlusNormal"/>
        <w:ind w:firstLine="540"/>
        <w:jc w:val="both"/>
      </w:pPr>
      <w:r>
        <w:t>б) ответственность закрытого акционерного общества "БазэлЦемент-Пикалево" за недостижение количественных показателей целевых индикаторов по результатам использования предоставляемой субсидии, включая расчет размера и порядок применения штрафных санкций;</w:t>
      </w:r>
    </w:p>
    <w:p w:rsidR="00F72ED8" w:rsidRDefault="00F72ED8">
      <w:pPr>
        <w:pStyle w:val="ConsPlusNormal"/>
        <w:ind w:firstLine="540"/>
        <w:jc w:val="both"/>
      </w:pPr>
      <w:r>
        <w:t xml:space="preserve">в) обязательства по проведению соответствующих проверок закрытого акционерного общества "БазэлЦемент-Пикалево" уполномоченными органами </w:t>
      </w:r>
      <w:proofErr w:type="gramStart"/>
      <w:r>
        <w:t>Ленинградской</w:t>
      </w:r>
      <w:proofErr w:type="gramEnd"/>
      <w:r>
        <w:t xml:space="preserve"> области и согласие закрытого акционерного общества "БазэлЦемент-Пикалево" на проведение таких проверок;</w:t>
      </w:r>
    </w:p>
    <w:p w:rsidR="00F72ED8" w:rsidRDefault="00F72ED8">
      <w:pPr>
        <w:pStyle w:val="ConsPlusNormal"/>
        <w:ind w:firstLine="540"/>
        <w:jc w:val="both"/>
      </w:pPr>
      <w:r>
        <w:t>г) обязательство закрытого акционерного общества "БазэлЦемент-Пикалево" по возврату предоставленной субсидии при установлении по результатам проверок ее нецелевого использования.</w:t>
      </w:r>
    </w:p>
    <w:p w:rsidR="00F72ED8" w:rsidRDefault="00F72ED8">
      <w:pPr>
        <w:pStyle w:val="ConsPlusNormal"/>
        <w:ind w:firstLine="540"/>
        <w:jc w:val="both"/>
      </w:pPr>
      <w:r>
        <w:t xml:space="preserve">5. Перечисление иных межбюджетных трансфертов бюджету Ленинградской области осуществляется на счет, открытый в территориальном органе Федерального казначейства для учета поступлений и их распределения между бюджетами бюджетной системы Российской </w:t>
      </w:r>
      <w:r>
        <w:lastRenderedPageBreak/>
        <w:t>Федерации для последующего перечисления в установленном порядке в бюджет Ленинградской области.</w:t>
      </w:r>
    </w:p>
    <w:p w:rsidR="00F72ED8" w:rsidRDefault="00F72ED8">
      <w:pPr>
        <w:pStyle w:val="ConsPlusNormal"/>
        <w:ind w:firstLine="540"/>
        <w:jc w:val="both"/>
      </w:pPr>
      <w:r>
        <w:t>6. Иные межбюджетные трансферты в случае их нецелевого использования подлежат взысканию в доход федерального бюджета в соответствии с бюджетным законодательством Российской Федерации.</w:t>
      </w:r>
    </w:p>
    <w:p w:rsidR="00F72ED8" w:rsidRDefault="00F72ED8">
      <w:pPr>
        <w:pStyle w:val="ConsPlusNormal"/>
        <w:ind w:firstLine="540"/>
        <w:jc w:val="both"/>
      </w:pPr>
      <w:bookmarkStart w:id="4" w:name="P57"/>
      <w:bookmarkEnd w:id="4"/>
      <w:r>
        <w:t>7. Целевыми индикаторами эффективности использования иных межбюджетных трансфертов являются:</w:t>
      </w:r>
    </w:p>
    <w:p w:rsidR="00F72ED8" w:rsidRDefault="00F72ED8">
      <w:pPr>
        <w:pStyle w:val="ConsPlusNormal"/>
        <w:ind w:firstLine="540"/>
        <w:jc w:val="both"/>
      </w:pPr>
      <w:r>
        <w:t>а) отсутствие задолженности закрытого акционерного общества "БазэлЦемент-Пикалево" по платежам в бюджеты бюджетной системы Российской Федерации;</w:t>
      </w:r>
    </w:p>
    <w:p w:rsidR="00F72ED8" w:rsidRDefault="00F72ED8">
      <w:pPr>
        <w:pStyle w:val="ConsPlusNormal"/>
        <w:ind w:firstLine="540"/>
        <w:jc w:val="both"/>
      </w:pPr>
      <w:r>
        <w:t>б) отсутствие задолженности перед работниками закрытого акционерного общества "БазэлЦемент-Пикалево" по заработной плате;</w:t>
      </w:r>
    </w:p>
    <w:p w:rsidR="00F72ED8" w:rsidRDefault="00F72ED8">
      <w:pPr>
        <w:pStyle w:val="ConsPlusNormal"/>
        <w:ind w:firstLine="540"/>
        <w:jc w:val="both"/>
      </w:pPr>
      <w:r>
        <w:t>в) снижение величины убытка до налогообложения (без учета получения субсидии в 2014 году) относительно 2013 года не менее чем на 20 процентов;</w:t>
      </w:r>
    </w:p>
    <w:p w:rsidR="00F72ED8" w:rsidRDefault="00F72ED8">
      <w:pPr>
        <w:pStyle w:val="ConsPlusNormal"/>
        <w:ind w:firstLine="540"/>
        <w:jc w:val="both"/>
      </w:pPr>
      <w:r>
        <w:t>г) уменьшение негативного воздействия на окружающую среду путем сокращения выбросов диалюминия триоксида на 35 процентов в результате выполнения ряда мероприятий по повышению эффективности работы печи кальцинации;</w:t>
      </w:r>
    </w:p>
    <w:p w:rsidR="00F72ED8" w:rsidRDefault="00F72ED8">
      <w:pPr>
        <w:pStyle w:val="ConsPlusNormal"/>
        <w:ind w:firstLine="540"/>
        <w:jc w:val="both"/>
      </w:pPr>
      <w:r>
        <w:t>д) снижение удельного расхода топлива на 1 тонну спека на 2 процента при выполнении реконструкции горячих обрезов 2 печей спекания.</w:t>
      </w:r>
    </w:p>
    <w:p w:rsidR="00F72ED8" w:rsidRDefault="00F72ED8">
      <w:pPr>
        <w:pStyle w:val="ConsPlusNormal"/>
        <w:ind w:firstLine="540"/>
        <w:jc w:val="both"/>
      </w:pPr>
      <w:r>
        <w:t xml:space="preserve">8. </w:t>
      </w:r>
      <w:proofErr w:type="gramStart"/>
      <w:r>
        <w:t xml:space="preserve">Не использованный на 31 декабря текущего финансового года остаток иных межбюджетных трансфертов подлежит возврату в доход федерального бюджета органами государственной власти Ленинградской области, за которыми в соответствии с законодательными и иными нормативными правовыми актами закреплены источники доходов бюджета Ленинградской области по возврату остатков иных межбюджетных трансфертов, в соответствии с требованиями, установленными Бюджетным </w:t>
      </w:r>
      <w:hyperlink r:id="rId6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</w:t>
      </w:r>
      <w:proofErr w:type="gramEnd"/>
      <w:r>
        <w:t xml:space="preserve"> </w:t>
      </w:r>
      <w:proofErr w:type="gramStart"/>
      <w:r>
        <w:t>бюджете</w:t>
      </w:r>
      <w:proofErr w:type="gramEnd"/>
      <w:r>
        <w:t xml:space="preserve"> на текущий финансовый год и плановый период.</w:t>
      </w:r>
    </w:p>
    <w:p w:rsidR="00F72ED8" w:rsidRDefault="00F72ED8">
      <w:pPr>
        <w:pStyle w:val="ConsPlusNormal"/>
        <w:ind w:firstLine="540"/>
        <w:jc w:val="both"/>
      </w:pPr>
      <w:proofErr w:type="gramStart"/>
      <w:r>
        <w:t>При наличии потребности в остатке иных межбюджетных трансфертов, не использованном в отчетном финансовом году, указанный остаток в соответствии с решением Министерства промышленности и торговли Российской Федерации может быть возвращен в текущем финансовом году в бюджет Ленинградской области для финансового обеспечения расходов, соответствующих целям предоставления иных межбюджетных трансфертов, в порядке, установленном бюджетным законодательством Российской Федерации.</w:t>
      </w:r>
      <w:proofErr w:type="gramEnd"/>
    </w:p>
    <w:p w:rsidR="00F72ED8" w:rsidRDefault="00F72ED8">
      <w:pPr>
        <w:pStyle w:val="ConsPlusNormal"/>
        <w:ind w:firstLine="540"/>
        <w:jc w:val="both"/>
      </w:pPr>
      <w:r>
        <w:t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F72ED8" w:rsidRDefault="00F72ED8">
      <w:pPr>
        <w:pStyle w:val="ConsPlusNormal"/>
        <w:ind w:firstLine="540"/>
        <w:jc w:val="both"/>
      </w:pPr>
      <w:r>
        <w:t xml:space="preserve">9. </w:t>
      </w:r>
      <w:proofErr w:type="gramStart"/>
      <w:r>
        <w:t>Высший исполнительный орган государственной власти Ленинградской области ежемесячно, не позднее 30-го числа месяца, следующего за отчетным, представляет в Министерство промышленности и торговли Российской Федерации отчет о расходах бюджета Ленинградской области, источником финансового обеспечения которых являются иные межбюджетные трансферты, а также отчет о достижении количественных показателей целевых индикаторов эффективности использования иных межбюджетных трансфертов.</w:t>
      </w:r>
      <w:proofErr w:type="gramEnd"/>
    </w:p>
    <w:p w:rsidR="00F72ED8" w:rsidRDefault="00F72ED8">
      <w:pPr>
        <w:pStyle w:val="ConsPlusNormal"/>
        <w:ind w:firstLine="540"/>
        <w:jc w:val="both"/>
      </w:pPr>
      <w:r>
        <w:t xml:space="preserve">10. </w:t>
      </w:r>
      <w:proofErr w:type="gramStart"/>
      <w:r>
        <w:t>Контроль за</w:t>
      </w:r>
      <w:proofErr w:type="gramEnd"/>
      <w:r>
        <w:t xml:space="preserve"> соблюдением Ленинградской областью целей и условий предоставления иных межбюджетных трансфертов осуществляется Министерством промышленности и торговли Российской Федерации и Федеральной службой финансово-бюджетного надзора.</w:t>
      </w:r>
    </w:p>
    <w:p w:rsidR="00F72ED8" w:rsidRDefault="00F72ED8">
      <w:pPr>
        <w:pStyle w:val="ConsPlusNormal"/>
      </w:pPr>
    </w:p>
    <w:p w:rsidR="00F72ED8" w:rsidRDefault="00F72ED8">
      <w:pPr>
        <w:pStyle w:val="ConsPlusNormal"/>
      </w:pPr>
    </w:p>
    <w:p w:rsidR="00F72ED8" w:rsidRDefault="00F72ED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C1E4A" w:rsidRDefault="003C1E4A"/>
    <w:sectPr w:rsidR="003C1E4A" w:rsidSect="00A47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ED8"/>
    <w:rsid w:val="003C1E4A"/>
    <w:rsid w:val="00F72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2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2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72E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2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2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72E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8BB0B0EFE12E24AE5768C5DC25CB5CAF1837EA792FD176ABDCDB638D8w31DI" TargetMode="External"/><Relationship Id="rId5" Type="http://schemas.openxmlformats.org/officeDocument/2006/relationships/hyperlink" Target="consultantplus://offline/ref=38BB0B0EFE12E24AE5768C5DC25CB5CAF2847CA69CF2176ABDCDB638D83D358D35DBEDBCD76764F0wA1B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1467</Words>
  <Characters>8363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2016-11-25T08:53:00Z</dcterms:created>
  <dcterms:modified xsi:type="dcterms:W3CDTF">2016-11-25T08:54:00Z</dcterms:modified>
</cp:coreProperties>
</file>