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123" w:rsidRDefault="00A2312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23123" w:rsidRDefault="00A23123">
      <w:pPr>
        <w:pStyle w:val="ConsPlusNormal"/>
        <w:jc w:val="both"/>
        <w:outlineLvl w:val="0"/>
      </w:pPr>
    </w:p>
    <w:p w:rsidR="00A23123" w:rsidRDefault="00A2312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23123" w:rsidRDefault="00A23123">
      <w:pPr>
        <w:pStyle w:val="ConsPlusTitle"/>
        <w:jc w:val="center"/>
      </w:pPr>
    </w:p>
    <w:p w:rsidR="00A23123" w:rsidRDefault="00A23123">
      <w:pPr>
        <w:pStyle w:val="ConsPlusTitle"/>
        <w:jc w:val="center"/>
      </w:pPr>
      <w:r>
        <w:t>ПОСТАНОВЛЕНИЕ</w:t>
      </w:r>
    </w:p>
    <w:p w:rsidR="00A23123" w:rsidRDefault="00A23123">
      <w:pPr>
        <w:pStyle w:val="ConsPlusTitle"/>
        <w:jc w:val="center"/>
      </w:pPr>
      <w:r>
        <w:t>от 11 сентября 2020 г. N 1404</w:t>
      </w:r>
    </w:p>
    <w:p w:rsidR="00A23123" w:rsidRDefault="00A23123">
      <w:pPr>
        <w:pStyle w:val="ConsPlusTitle"/>
        <w:jc w:val="center"/>
      </w:pPr>
    </w:p>
    <w:p w:rsidR="00A23123" w:rsidRDefault="00A23123">
      <w:pPr>
        <w:pStyle w:val="ConsPlusTitle"/>
        <w:jc w:val="center"/>
      </w:pPr>
      <w:r>
        <w:t>ОБ УТВЕРЖДЕНИИ ПРАВИЛ</w:t>
      </w:r>
    </w:p>
    <w:p w:rsidR="00A23123" w:rsidRDefault="00A23123">
      <w:pPr>
        <w:pStyle w:val="ConsPlusTitle"/>
        <w:jc w:val="center"/>
      </w:pPr>
      <w:r>
        <w:t>ОПРЕДЕЛЕНИЯ ОБЩЕГО ОБЪЕМА СУБВЕНЦИЙ, ПРЕДОСТАВЛЯЕМЫХ</w:t>
      </w:r>
    </w:p>
    <w:p w:rsidR="00A23123" w:rsidRDefault="00A23123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A23123" w:rsidRDefault="00A23123">
      <w:pPr>
        <w:pStyle w:val="ConsPlusTitle"/>
        <w:jc w:val="center"/>
      </w:pPr>
      <w:r>
        <w:t>ФЕДЕРАЦИИ ДЛЯ ОСУЩЕСТВЛЕНИЯ ПОЛНОМОЧИЙ РОССИЙСКОЙ ФЕДЕРАЦИИ</w:t>
      </w:r>
    </w:p>
    <w:p w:rsidR="00A23123" w:rsidRDefault="00A23123">
      <w:pPr>
        <w:pStyle w:val="ConsPlusTitle"/>
        <w:jc w:val="center"/>
      </w:pPr>
      <w:r>
        <w:t>В ОБЛАСТИ ЛЕСНЫХ ОТНОШЕНИЙ, ПЕРЕДАННЫХ В СООТВЕТСТВИИ</w:t>
      </w:r>
    </w:p>
    <w:p w:rsidR="00A23123" w:rsidRDefault="00A23123">
      <w:pPr>
        <w:pStyle w:val="ConsPlusTitle"/>
        <w:jc w:val="center"/>
      </w:pPr>
      <w:r>
        <w:t>С ЧАСТЬЮ 1 СТАТЬИ 83 ЛЕСНОГО КОДЕКСА РОССИЙСКОЙ ФЕДЕРАЦИИ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определения общего объема субвенций, предоставляемых из федерального бюджета бюджетам субъектов Российской Федерации для осуществления полномочий Российской Федерации в области лесных отношений, переданных в соответствии с </w:t>
      </w:r>
      <w:hyperlink r:id="rId6" w:history="1">
        <w:r>
          <w:rPr>
            <w:color w:val="0000FF"/>
          </w:rPr>
          <w:t>частью 1 статьи 83</w:t>
        </w:r>
      </w:hyperlink>
      <w:r>
        <w:t xml:space="preserve"> Лесного кодекса Российской Федерации.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right"/>
      </w:pPr>
      <w:r>
        <w:t>Председатель Правительства</w:t>
      </w:r>
    </w:p>
    <w:p w:rsidR="00A23123" w:rsidRDefault="00A23123">
      <w:pPr>
        <w:pStyle w:val="ConsPlusNormal"/>
        <w:jc w:val="right"/>
      </w:pPr>
      <w:r>
        <w:t>Российской Федерации</w:t>
      </w:r>
    </w:p>
    <w:p w:rsidR="00A23123" w:rsidRDefault="00A23123">
      <w:pPr>
        <w:pStyle w:val="ConsPlusNormal"/>
        <w:jc w:val="right"/>
      </w:pPr>
      <w:r>
        <w:t>М.МИШУСТИН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right"/>
        <w:outlineLvl w:val="0"/>
      </w:pPr>
      <w:r>
        <w:t>Утверждены</w:t>
      </w:r>
    </w:p>
    <w:p w:rsidR="00A23123" w:rsidRDefault="00A23123">
      <w:pPr>
        <w:pStyle w:val="ConsPlusNormal"/>
        <w:jc w:val="right"/>
      </w:pPr>
      <w:r>
        <w:t>постановлением Правительства</w:t>
      </w:r>
    </w:p>
    <w:p w:rsidR="00A23123" w:rsidRDefault="00A23123">
      <w:pPr>
        <w:pStyle w:val="ConsPlusNormal"/>
        <w:jc w:val="right"/>
      </w:pPr>
      <w:r>
        <w:t>Российской Федерации</w:t>
      </w:r>
    </w:p>
    <w:p w:rsidR="00A23123" w:rsidRDefault="00A23123">
      <w:pPr>
        <w:pStyle w:val="ConsPlusNormal"/>
        <w:jc w:val="right"/>
      </w:pPr>
      <w:r>
        <w:t>от 11 сентября 2020 г. N 1404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Title"/>
        <w:jc w:val="center"/>
      </w:pPr>
      <w:bookmarkStart w:id="0" w:name="P30"/>
      <w:bookmarkEnd w:id="0"/>
      <w:r>
        <w:t>ПРАВИЛА</w:t>
      </w:r>
    </w:p>
    <w:p w:rsidR="00A23123" w:rsidRDefault="00A23123">
      <w:pPr>
        <w:pStyle w:val="ConsPlusTitle"/>
        <w:jc w:val="center"/>
      </w:pPr>
      <w:r>
        <w:t>ОПРЕДЕЛЕНИЯ ОБЩЕГО ОБЪЕМА СУБВЕНЦИЙ, ПРЕДОСТАВЛЯЕМЫХ</w:t>
      </w:r>
    </w:p>
    <w:p w:rsidR="00A23123" w:rsidRDefault="00A23123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A23123" w:rsidRDefault="00A23123">
      <w:pPr>
        <w:pStyle w:val="ConsPlusTitle"/>
        <w:jc w:val="center"/>
      </w:pPr>
      <w:r>
        <w:t>ФЕДЕРАЦИИ ДЛЯ ОСУЩЕСТВЛЕНИЯ ПОЛНОМОЧИЙ РОССИЙСКОЙ ФЕДЕРАЦИИ</w:t>
      </w:r>
    </w:p>
    <w:p w:rsidR="00A23123" w:rsidRDefault="00A23123">
      <w:pPr>
        <w:pStyle w:val="ConsPlusTitle"/>
        <w:jc w:val="center"/>
      </w:pPr>
      <w:r>
        <w:t>В ОБЛАСТИ ЛЕСНЫХ ОТНОШЕНИЙ, ПЕРЕДАННЫХ В СООТВЕТСТВИИ</w:t>
      </w:r>
    </w:p>
    <w:p w:rsidR="00A23123" w:rsidRDefault="00A23123">
      <w:pPr>
        <w:pStyle w:val="ConsPlusTitle"/>
        <w:jc w:val="center"/>
      </w:pPr>
      <w:r>
        <w:t>С ЧАСТЬЮ 1 СТАТЬИ 83 ЛЕСНОГО КОДЕКСА РОССИЙСКОЙ ФЕДЕРАЦИИ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ind w:firstLine="540"/>
        <w:jc w:val="both"/>
      </w:pPr>
      <w:r>
        <w:t xml:space="preserve">1. Настоящие Правила устанавливают порядок определения общего объема субвенций, предоставляемых из федерального бюджета бюджетам субъектов Российской Федерации для осуществления полномочий Российской Федерации в области лесных отношений, переданных в соответствии с </w:t>
      </w:r>
      <w:hyperlink r:id="rId7" w:history="1">
        <w:r>
          <w:rPr>
            <w:color w:val="0000FF"/>
          </w:rPr>
          <w:t>частью 1 статьи 83</w:t>
        </w:r>
      </w:hyperlink>
      <w:r>
        <w:t xml:space="preserve"> Лесного кодекса Российской Федерации (далее - субвенции).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Общий объем субвенций определяется Федеральным агентством лесного хозяйства одновременно с подготовкой проекта федерального закона о федеральном бюджете на очередной финансовый год и плановый период в целях финансового обеспечения расходных обязательств субъектов Российской Федерации, возникающих при выполнении следующих полномочий Российской Федерации в области лесных отношений, переданных для осуществления </w:t>
      </w:r>
      <w:r>
        <w:lastRenderedPageBreak/>
        <w:t>органам государственной власти субъектов Российской Федерации (далее - переданные полномочия):</w:t>
      </w:r>
      <w:proofErr w:type="gramEnd"/>
    </w:p>
    <w:p w:rsidR="00A23123" w:rsidRDefault="00A23123">
      <w:pPr>
        <w:pStyle w:val="ConsPlusNormal"/>
        <w:spacing w:before="220"/>
        <w:ind w:firstLine="540"/>
        <w:jc w:val="both"/>
      </w:pPr>
      <w:r>
        <w:t>а) предоставление лесных участков, расположенных в границах земель лесного фонда, в постоянное (бессрочное) пользование, аренду, безвозмездное пользование;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б) заключение договоров купли-продажи лесных насаждений, расположенных на землях лесного фонда;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в) подготовка, организация и проведение торгов на право заключения договоров аренды лесных участков, находящихся в государственной или муниципальной собственности, аукционов на право заключения договоров купли-продажи лесных насаждений;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г) установление сервитутов, публичных сервитутов в отношении лесных участков, расположенных в границах земель лесного фонда;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д) выдача разрешений на выполнение работ по геологическому изучению недр на землях лесного фонда;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gramStart"/>
      <w:r>
        <w:t>е) осуществление на землях лесного фонда охраны лесов (в том числе осуществление мер пожарной безопасности и тушения лесных пожаров,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лесосеменного районирования, формирования</w:t>
      </w:r>
      <w:proofErr w:type="gramEnd"/>
      <w:r>
        <w:t xml:space="preserve"> федерального фонда семян лесных растений и государственного мониторинга воспроизводства лесов), лесоразведения;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ж) проведение на землях лесного фонда лесоустройства, за исключением случаев, предусмотренных </w:t>
      </w:r>
      <w:hyperlink r:id="rId8" w:history="1">
        <w:r>
          <w:rPr>
            <w:color w:val="0000FF"/>
          </w:rPr>
          <w:t>пунктами 1</w:t>
        </w:r>
      </w:hyperlink>
      <w:r>
        <w:t xml:space="preserve"> и </w:t>
      </w:r>
      <w:hyperlink r:id="rId9" w:history="1">
        <w:r>
          <w:rPr>
            <w:color w:val="0000FF"/>
          </w:rPr>
          <w:t>2 части 1 статьи 68</w:t>
        </w:r>
      </w:hyperlink>
      <w:r>
        <w:t xml:space="preserve"> Лесного кодекса Российской Федерации;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з) проектирование лесных участков на землях лесного фонда;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и) разработка и утверждение лесных планов субъектов Российской Федерации, лесохозяйственных регламентов, а также проведение государственной экспертизы проектов освоения лесов;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к) ведение государственного лесного реестра в отношении лесов, расположенных в границах территории субъекта Российской Федерации;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л) осуществление на землях лесного фонда федерального государственного лесного надзора (лесной охраны), федерального государственного пожарного надзора в лесах, за исключением случаев, предусмотренных </w:t>
      </w:r>
      <w:hyperlink r:id="rId10" w:history="1">
        <w:r>
          <w:rPr>
            <w:color w:val="0000FF"/>
          </w:rPr>
          <w:t>пунктами 36</w:t>
        </w:r>
      </w:hyperlink>
      <w:r>
        <w:t xml:space="preserve"> и </w:t>
      </w:r>
      <w:hyperlink r:id="rId11" w:history="1">
        <w:r>
          <w:rPr>
            <w:color w:val="0000FF"/>
          </w:rPr>
          <w:t>37 статьи 81</w:t>
        </w:r>
      </w:hyperlink>
      <w:r>
        <w:t xml:space="preserve"> Лесного кодекса Российской Федерации;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м) установление перечня должностных лиц, осуществляющих федеральный государственный лесной надзор (лесную охрану), и перечня должностных лиц, осуществляющих федеральный государственный пожарный надзор в лесах;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н) учет древесины, заготовленной гражданами для собственных нужд в лесах, расположенных на землях лесного фонда.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Определение общего объема субвенции осуществляется с учетом затрат на организацию осуществления переданных полномочий в отношении каждого субъекта Российской Федерации исходя из нормативов формирования бюджетных ассигнований (далее - нормативы затрат), нормативной численности органа государственной власти субъекта Российской Федерации, включая численность должностных лиц, осуществляющих на землях лесного фонда федеральный </w:t>
      </w:r>
      <w:r>
        <w:lastRenderedPageBreak/>
        <w:t>государственный лесной надзор (лесную охрану), федеральный государственный пожарный надзор в лесах, объема мероприятий по</w:t>
      </w:r>
      <w:proofErr w:type="gramEnd"/>
      <w:r>
        <w:t xml:space="preserve"> охране, защите и воспроизводству лесов и проведению на землях лесного фонда лесоустройства, а также исходя из необходимости проведения не более одного раза в 10 лет начиная с 2029 года разработки лесных планов субъектов Российской Федерации и лесохозяйственных регламентов лесничеств.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Общий объем субвенции бюджету субъекта Российской Федерации на исполнение переданных полномочий определяется по формуле: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s</w:t>
      </w:r>
      <w:proofErr w:type="spellEnd"/>
      <w:r>
        <w:t xml:space="preserve"> = </w:t>
      </w:r>
      <w:proofErr w:type="spellStart"/>
      <w:r>
        <w:t>N</w:t>
      </w:r>
      <w:r>
        <w:rPr>
          <w:vertAlign w:val="subscript"/>
        </w:rPr>
        <w:t>ч</w:t>
      </w:r>
      <w:proofErr w:type="spellEnd"/>
      <w:r>
        <w:t xml:space="preserve"> x </w:t>
      </w:r>
      <w:proofErr w:type="spellStart"/>
      <w:proofErr w:type="gramStart"/>
      <w:r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ч</w:t>
      </w:r>
      <w:r>
        <w:t xml:space="preserve"> + </w:t>
      </w:r>
      <w:r w:rsidRPr="0062561A">
        <w:rPr>
          <w:position w:val="-11"/>
        </w:rPr>
        <w:pict>
          <v:shape id="_x0000_i1025" style="width:31.8pt;height:22.6pt" coordsize="" o:spt="100" adj="0,,0" path="" filled="f" stroked="f">
            <v:stroke joinstyle="miter"/>
            <v:imagedata r:id="rId12" o:title="base_1_362270_32768"/>
            <v:formulas/>
            <v:path o:connecttype="segments"/>
          </v:shape>
        </w:pict>
      </w:r>
      <w:r>
        <w:t xml:space="preserve"> (</w:t>
      </w:r>
      <w:proofErr w:type="spellStart"/>
      <w:r>
        <w:t>N</w:t>
      </w:r>
      <w:r>
        <w:rPr>
          <w:vertAlign w:val="subscript"/>
        </w:rPr>
        <w:t>во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озвл</w:t>
      </w:r>
      <w:proofErr w:type="spellEnd"/>
      <w:r>
        <w:t xml:space="preserve"> x </w:t>
      </w:r>
      <w:proofErr w:type="spellStart"/>
      <w:r>
        <w:t>H</w:t>
      </w:r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озвл</w:t>
      </w:r>
      <w:proofErr w:type="spellEnd"/>
      <w:r>
        <w:t xml:space="preserve">) + </w:t>
      </w:r>
      <w:proofErr w:type="spellStart"/>
      <w:r>
        <w:t>V</w:t>
      </w:r>
      <w:r>
        <w:rPr>
          <w:vertAlign w:val="subscript"/>
        </w:rPr>
        <w:t>т</w:t>
      </w:r>
      <w:proofErr w:type="spellEnd"/>
      <w:r>
        <w:t xml:space="preserve"> + </w:t>
      </w:r>
      <w:proofErr w:type="spellStart"/>
      <w:r>
        <w:t>N</w:t>
      </w:r>
      <w:r>
        <w:rPr>
          <w:vertAlign w:val="subscript"/>
        </w:rPr>
        <w:t>лп</w:t>
      </w:r>
      <w:proofErr w:type="spellEnd"/>
      <w:r>
        <w:t xml:space="preserve"> x</w:t>
      </w:r>
    </w:p>
    <w:p w:rsidR="00A23123" w:rsidRDefault="00A23123">
      <w:pPr>
        <w:pStyle w:val="ConsPlusNormal"/>
        <w:jc w:val="center"/>
      </w:pPr>
      <w:proofErr w:type="spellStart"/>
      <w:proofErr w:type="gramStart"/>
      <w:r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лп</w:t>
      </w:r>
      <w:proofErr w:type="spellEnd"/>
      <w:r>
        <w:t xml:space="preserve"> + </w:t>
      </w:r>
      <w:r w:rsidRPr="0062561A">
        <w:rPr>
          <w:position w:val="-11"/>
        </w:rPr>
        <w:pict>
          <v:shape id="_x0000_i1026" style="width:31.8pt;height:22.6pt" coordsize="" o:spt="100" adj="0,,0" path="" filled="f" stroked="f">
            <v:stroke joinstyle="miter"/>
            <v:imagedata r:id="rId12" o:title="base_1_362270_32769"/>
            <v:formulas/>
            <v:path o:connecttype="segments"/>
          </v:shape>
        </w:pict>
      </w:r>
      <w:r>
        <w:t xml:space="preserve"> (</w:t>
      </w:r>
      <w:proofErr w:type="spellStart"/>
      <w:r>
        <w:t>N</w:t>
      </w:r>
      <w:r>
        <w:rPr>
          <w:vertAlign w:val="subscript"/>
        </w:rPr>
        <w:t>лх</w:t>
      </w:r>
      <w:proofErr w:type="spellEnd"/>
      <w:r>
        <w:t xml:space="preserve"> x </w:t>
      </w:r>
      <w:proofErr w:type="spellStart"/>
      <w:r>
        <w:t>H</w:t>
      </w:r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лх</w:t>
      </w:r>
      <w:proofErr w:type="spellEnd"/>
      <w:r>
        <w:t xml:space="preserve">) + </w:t>
      </w:r>
      <w:proofErr w:type="spellStart"/>
      <w:r>
        <w:t>P</w:t>
      </w:r>
      <w:r>
        <w:rPr>
          <w:vertAlign w:val="subscript"/>
        </w:rPr>
        <w:t>лпж</w:t>
      </w:r>
      <w:proofErr w:type="spellEnd"/>
      <w:r>
        <w:t xml:space="preserve"> + </w:t>
      </w:r>
      <w:proofErr w:type="spellStart"/>
      <w:r>
        <w:t>P</w:t>
      </w:r>
      <w:r>
        <w:rPr>
          <w:vertAlign w:val="subscript"/>
        </w:rPr>
        <w:t>лх</w:t>
      </w:r>
      <w:proofErr w:type="spellEnd"/>
      <w:r>
        <w:t xml:space="preserve"> + </w:t>
      </w:r>
      <w:proofErr w:type="spellStart"/>
      <w:r>
        <w:t>P</w:t>
      </w:r>
      <w:r>
        <w:rPr>
          <w:vertAlign w:val="subscript"/>
        </w:rPr>
        <w:t>лпт</w:t>
      </w:r>
      <w:proofErr w:type="spellEnd"/>
      <w:r>
        <w:t>,</w:t>
      </w:r>
    </w:p>
    <w:p w:rsidR="00A23123" w:rsidRDefault="00A23123">
      <w:pPr>
        <w:pStyle w:val="ConsPlusNormal"/>
        <w:jc w:val="both"/>
      </w:pPr>
    </w:p>
    <w:p w:rsidR="00A23123" w:rsidRDefault="00A23123">
      <w:pPr>
        <w:pStyle w:val="ConsPlusNormal"/>
        <w:ind w:firstLine="540"/>
        <w:jc w:val="both"/>
      </w:pPr>
      <w:r>
        <w:t>где: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s</w:t>
      </w:r>
      <w:proofErr w:type="spellEnd"/>
      <w:r>
        <w:t xml:space="preserve"> - общий объем субвенции бюджету субъекта Российской Федерации для осуществления переданных полномочий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ч</w:t>
      </w:r>
      <w:proofErr w:type="spellEnd"/>
      <w:r>
        <w:t xml:space="preserve"> - нормативная численность органа государственной власти субъекта Российской Федерации, включая численность должностных лиц, осуществляющих на землях лесного фонда федеральный государственный лесной надзор (лесную охрану) и федеральный государственный пожарный надзор в лесах;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ч</w:t>
      </w:r>
      <w:r>
        <w:t xml:space="preserve"> - норматив затрат на содержание одного работника органа государственной власти субъекта Российской Федерации, включая должностных лиц, осуществляющих на землях лесного фонда федеральный государственный лесной надзор (лесную охрану) и федеральный государственный пожарный надзор в лесах, с учетом ежегодной индексации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во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озвл</w:t>
      </w:r>
      <w:proofErr w:type="spellEnd"/>
      <w:r>
        <w:t xml:space="preserve"> - показатель объема мероприятий, предусмотренных лесным планом субъекта Российской Федерации на соответствующий финансовый год, в части мероприятий по охране, защите и воспроизводству лесов и проведению лесоустройства, а также осуществлению мер пожарной безопасности, за исключением мероприятий по тушению лесных пожаров;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озвл</w:t>
      </w:r>
      <w:proofErr w:type="spellEnd"/>
      <w:r>
        <w:t xml:space="preserve"> - норматив затрат для выполнения единицы объема мероприятий по охране, защите и воспроизводству лесов и проведению лесоустройства, а также осуществлению мер пожарной безопасности, за исключением мероприятий по тушению лесных пожаров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r>
        <w:rPr>
          <w:vertAlign w:val="subscript"/>
        </w:rPr>
        <w:t>т</w:t>
      </w:r>
      <w:proofErr w:type="spellEnd"/>
      <w:r>
        <w:t xml:space="preserve"> - среднегодовая фактическая сумма расходов из федерального бюджета на тушение лесных пожаров без учета дополнительных средств, направленных бюджетам субъектов Российской Федерации на финансовое обеспечение расходов, связанных с тушением лесных пожаров, за счет субвенций из федерального бюджета (рублей) за последние 5 лет, предшествующих текущему финансовому году, с учетом ежегодной индексации на коэффициенты инфляции, установленные в соответствующем финансовом году;</w:t>
      </w:r>
      <w:proofErr w:type="gramEnd"/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лп</w:t>
      </w:r>
      <w:proofErr w:type="spellEnd"/>
      <w:r>
        <w:t xml:space="preserve"> - лесной план субъекта Российской Федерации, разрабатываемый в целях освоения лесов в границах лесничеств и лесопарков;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лп</w:t>
      </w:r>
      <w:proofErr w:type="spellEnd"/>
      <w:r>
        <w:t xml:space="preserve"> - норматив затрат на разработку лесного плана субъекта Российской Федерации, определяемый с учетом мероприятий по осуществлению освоения лесов и зоны такого освоения (планируются не чаще одного раза в 10 лет)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лх</w:t>
      </w:r>
      <w:proofErr w:type="spellEnd"/>
      <w:r>
        <w:t xml:space="preserve"> - количество лесохозяйственных регламентов в отношении лесов, расположенных на землях лесного фонда в границах лесничеств субъекта Российской Федерации, для осуществления использования, охраны, защиты и воспроизводства лесов;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lastRenderedPageBreak/>
        <w:t>H</w:t>
      </w:r>
      <w:proofErr w:type="gramEnd"/>
      <w:r>
        <w:rPr>
          <w:vertAlign w:val="subscript"/>
        </w:rPr>
        <w:t>бз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лх</w:t>
      </w:r>
      <w:proofErr w:type="spellEnd"/>
      <w:r>
        <w:t xml:space="preserve"> - норматив затрат на разработку одной единицы лесохозяйственного регламента лесничества субъекта Российской Федерации, определяемый с учетом интенсивности использования, охраны, защиты и воспроизводства лесов, расположенных в границах лесничества на землях лесного фонда (планируются не чаще одного раза в 10 лет)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P</w:t>
      </w:r>
      <w:proofErr w:type="gramEnd"/>
      <w:r>
        <w:rPr>
          <w:vertAlign w:val="subscript"/>
        </w:rPr>
        <w:t>лпж</w:t>
      </w:r>
      <w:proofErr w:type="spellEnd"/>
      <w:r>
        <w:t xml:space="preserve"> - объем фактической потребности субъекта Российской Федерации в оснащении учреждений, подведомственных органу государственной власти субъекта Российской Федерации, осуществляющему переданные полномочия, специализированной </w:t>
      </w:r>
      <w:proofErr w:type="spellStart"/>
      <w:r>
        <w:t>лесопожарной</w:t>
      </w:r>
      <w:proofErr w:type="spellEnd"/>
      <w:r>
        <w:t xml:space="preserve"> техникой и оборудованием до 2024 года включительно, определяемый в соответствии с паспортом федерального </w:t>
      </w:r>
      <w:hyperlink r:id="rId13" w:history="1">
        <w:r>
          <w:rPr>
            <w:color w:val="0000FF"/>
          </w:rPr>
          <w:t>проекта</w:t>
        </w:r>
      </w:hyperlink>
      <w:r>
        <w:t xml:space="preserve"> "Сохранение лесов" национального проекта "Экология". </w:t>
      </w:r>
      <w:proofErr w:type="gramStart"/>
      <w:r>
        <w:t xml:space="preserve">Начиная с 2025 года фактическая потребность субъекта Российской Федерации в оснащении учреждений, подведомственных органу государственной власти субъекта Российской Федерации, осуществляющему переданные полномочия, специализированной </w:t>
      </w:r>
      <w:proofErr w:type="spellStart"/>
      <w:r>
        <w:t>лесопожарной</w:t>
      </w:r>
      <w:proofErr w:type="spellEnd"/>
      <w:r>
        <w:t xml:space="preserve"> техникой и оборудованием определяется как разница между нормативной потребностью и фактическим наличием техники и оборудования в стоимостном выражении с учетом среднерыночных цен по Российской Федерации, определяемых Федеральным агентством лесного хозяйства методом сопоставимых рыночных цен (анализа рынка</w:t>
      </w:r>
      <w:proofErr w:type="gramEnd"/>
      <w:r>
        <w:t xml:space="preserve">) в соответствии со </w:t>
      </w:r>
      <w:hyperlink r:id="rId14" w:history="1">
        <w:r>
          <w:rPr>
            <w:color w:val="0000FF"/>
          </w:rPr>
          <w:t>статьей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P</w:t>
      </w:r>
      <w:proofErr w:type="gramEnd"/>
      <w:r>
        <w:rPr>
          <w:vertAlign w:val="subscript"/>
        </w:rPr>
        <w:t>лх</w:t>
      </w:r>
      <w:proofErr w:type="spellEnd"/>
      <w:r>
        <w:t xml:space="preserve"> - объем фактической потребности субъекта Российской Федерации в оснащении учреждений, подведомственных органу государственной власти субъекта Российской Федерации, осуществляющему переданные полномочия, специализированной лесохозяйственной техникой и оборудованием до 2023 года включительно, определяемый в соответствии с паспортом федерального </w:t>
      </w:r>
      <w:hyperlink r:id="rId15" w:history="1">
        <w:r>
          <w:rPr>
            <w:color w:val="0000FF"/>
          </w:rPr>
          <w:t>проекта</w:t>
        </w:r>
      </w:hyperlink>
      <w:r>
        <w:t xml:space="preserve"> "Сохранение лесов" национального проекта "Экология". </w:t>
      </w:r>
      <w:proofErr w:type="gramStart"/>
      <w:r>
        <w:t>Начиная с 2024 года фактическая потребность субъекта Российской Федерации в оснащении учреждений, подведомственных органу государственной власти субъекта Российской Федерации, осуществляющему переданные полномочия, специализированной лесохозяйственной техникой и оборудованием определяется как разница между нормативной потребностью и фактическим наличием техники и оборудования в стоимостном выражении с учетом среднерыночных цен по Российской Федерации, определяемых Федеральным агентством лесного хозяйства методом сопоставимых рыночных цен (анализа рынка</w:t>
      </w:r>
      <w:proofErr w:type="gramEnd"/>
      <w:r>
        <w:t xml:space="preserve">) в соответствии со </w:t>
      </w:r>
      <w:hyperlink r:id="rId16" w:history="1">
        <w:r>
          <w:rPr>
            <w:color w:val="0000FF"/>
          </w:rPr>
          <w:t>статьей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(рублей);</w:t>
      </w:r>
    </w:p>
    <w:p w:rsidR="00A23123" w:rsidRDefault="00A2312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P</w:t>
      </w:r>
      <w:proofErr w:type="gramEnd"/>
      <w:r>
        <w:rPr>
          <w:vertAlign w:val="subscript"/>
        </w:rPr>
        <w:t>лпт</w:t>
      </w:r>
      <w:proofErr w:type="spellEnd"/>
      <w:r>
        <w:t xml:space="preserve"> - фактическая потребность субъекта Российской Федерации в оснащении органа государственной власти субъекта Российской Федерации, осуществляющего переданные полномочия, в приобретении техники и оборудования, необходимых для патрулирования лесов, определяемая как разница между нормативной потребностью и фактическим наличием техники и оборудования в стоимостном выражении с учетом среднерыночных цен по Российской Федерации, определяемых Федеральным агентством лесного хозяйства методом сопоставимых рыночных цен (анализа рынка) в </w:t>
      </w:r>
      <w:proofErr w:type="gramStart"/>
      <w:r>
        <w:t>соответствии</w:t>
      </w:r>
      <w:proofErr w:type="gramEnd"/>
      <w:r>
        <w:t xml:space="preserve"> со </w:t>
      </w:r>
      <w:hyperlink r:id="rId17" w:history="1">
        <w:r>
          <w:rPr>
            <w:color w:val="0000FF"/>
          </w:rPr>
          <w:t>статьей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(рублей).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Определение нормативов затрат для мероприятий по охране, защите и воспроизводству лесов осуществляется Федеральным агентством лесного хозяйства по согласованию с Министерством финансов Российской Федерации исходя из базовых условий выполнения мероприятий по охране, защите, воспроизводству лесов, лесоразведению и лесоустройству с соблюдением технологий и отраслевой специфики их выполнения и с применением норм материальных, технических и трудовых ресурсов, а также территориальных коэффициентов.</w:t>
      </w:r>
      <w:proofErr w:type="gramEnd"/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Нормативная численность органа государственной власти субъекта Российской Федерации, включая численность должностных лиц, осуществляющих на землях лесного фонда федеральный государственный лесной надзор (лесную охрану) и федеральный государственный </w:t>
      </w:r>
      <w:r>
        <w:lastRenderedPageBreak/>
        <w:t>пожарный надзор в лесах, в пределах установленных нормативов патрулирования лесов должностными лицами, осуществляющими федеральный государственный лесной надзор (лесную охрану), и норматив затрат на их содержание определяются Федеральным агентством лесного хозяйства исходя из административных процедур</w:t>
      </w:r>
      <w:proofErr w:type="gramEnd"/>
      <w:r>
        <w:t xml:space="preserve"> по предоставлению государственных услуг и исполнению государственных функций в сфере переданных полномочий и времени, затрачиваемого на их предоставление и исполнение соответственно.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 xml:space="preserve">6. Нормативная потребность в специализированной </w:t>
      </w:r>
      <w:proofErr w:type="spellStart"/>
      <w:r>
        <w:t>лесопожарной</w:t>
      </w:r>
      <w:proofErr w:type="spellEnd"/>
      <w:r>
        <w:t xml:space="preserve"> технике и оборудовании определяется на основе </w:t>
      </w:r>
      <w:hyperlink r:id="rId18" w:history="1">
        <w:r>
          <w:rPr>
            <w:color w:val="0000FF"/>
          </w:rPr>
          <w:t>нормативов</w:t>
        </w:r>
      </w:hyperlink>
      <w:r>
        <w:t xml:space="preserve"> обеспеченности субъекта Российской Федерации </w:t>
      </w:r>
      <w:proofErr w:type="spellStart"/>
      <w:r>
        <w:t>лесопожарными</w:t>
      </w:r>
      <w:proofErr w:type="spellEnd"/>
      <w:r>
        <w:t xml:space="preserve"> формированиями, пожарной техникой и оборудованием, противопожарным снаряжением и инвентарем, иными средствами предупреждения и тушения лесных пожаров, утвержденных распоряжением Правительства Российской Федерации от 19 июля 2019 г. N 1605-р.</w:t>
      </w:r>
    </w:p>
    <w:p w:rsidR="00A23123" w:rsidRDefault="00A23123">
      <w:pPr>
        <w:pStyle w:val="ConsPlusNormal"/>
        <w:spacing w:before="220"/>
        <w:ind w:firstLine="540"/>
        <w:jc w:val="both"/>
      </w:pPr>
      <w:r>
        <w:t>7. Нормативная потребность в специализированной лесохозяйственной технике и оборудовании, а также в технике и оборудовании, необходимых для патрулирования лесов, определяется на основе нормативов обеспеченности субъектов Российской Федерации, установленных Федеральным агентством лесного хозяйства, исходя из количества техники и оборудования, необходимого для выполнения объемов мероприятий по охране, защите, воспроизводству лесов, лесоразведению и патрулированию лесов в соответствии с объемами указанных мероприятий, установленными лесными планами субъектов Российской Федерации.</w:t>
      </w:r>
      <w:bookmarkStart w:id="1" w:name="_GoBack"/>
      <w:bookmarkEnd w:id="1"/>
    </w:p>
    <w:p w:rsidR="00333BC0" w:rsidRDefault="00333BC0"/>
    <w:sectPr w:rsidR="00333BC0" w:rsidSect="009B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123"/>
    <w:rsid w:val="00333BC0"/>
    <w:rsid w:val="00A2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31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31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31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31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FCABCC6CDDDFD9240896FAAB85FC128D3EE8125CD7C310C58F398DEB756B22938BB2AFCF656AC59E2273E1DA3CBBEC576796DFA3d9h4N" TargetMode="External"/><Relationship Id="rId13" Type="http://schemas.openxmlformats.org/officeDocument/2006/relationships/hyperlink" Target="consultantplus://offline/ref=3AFCABCC6CDDDFD9240896FAAB85FC128D3AE61A57D2C310C58F398DEB756B22938BB2A7C9656694CB6D72BD9C6BA8EE5C6794D6BF9632D6d6h5N" TargetMode="External"/><Relationship Id="rId18" Type="http://schemas.openxmlformats.org/officeDocument/2006/relationships/hyperlink" Target="consultantplus://offline/ref=3AFCABCC6CDDDFD9240896FAAB85FC128D39E91258D7C310C58F398DEB756B22938BB2A7C9656191C86D72BD9C6BA8EE5C6794D6BF9632D6d6h5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FCABCC6CDDDFD9240896FAAB85FC128D3EE8125CD7C310C58F398DEB756B22938BB2A1C1656AC59E2273E1DA3CBBEC576796DFA3d9h4N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3AFCABCC6CDDDFD9240896FAAB85FC128D3EE11E57D4C310C58F398DEB756B22938BB2A7C862609A9B3762B9D53CA7F25E708ADDA196d3h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FCABCC6CDDDFD9240896FAAB85FC128D3EE11E57D4C310C58F398DEB756B22938BB2A7C862609A9B3762B9D53CA7F25E708ADDA196d3h2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FCABCC6CDDDFD9240896FAAB85FC128D3EE8125CD7C310C58F398DEB756B22938BB2A1C1656AC59E2273E1DA3CBBEC576796DFA3d9h4N" TargetMode="External"/><Relationship Id="rId11" Type="http://schemas.openxmlformats.org/officeDocument/2006/relationships/hyperlink" Target="consultantplus://offline/ref=3AFCABCC6CDDDFD9240896FAAB85FC128D3EE8125CD7C310C58F398DEB756B22938BB2A1CE6D6AC59E2273E1DA3CBBEC576796DFA3d9h4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AFCABCC6CDDDFD9240896FAAB85FC128D3AE61A57D2C310C58F398DEB756B22938BB2A7C9656694CB6D72BD9C6BA8EE5C6794D6BF9632D6d6h5N" TargetMode="External"/><Relationship Id="rId10" Type="http://schemas.openxmlformats.org/officeDocument/2006/relationships/hyperlink" Target="consultantplus://offline/ref=3AFCABCC6CDDDFD9240896FAAB85FC128D3EE8125CD7C310C58F398DEB756B22938BB2A3CA6E35C08B332BEEDA20A5E5407B94DDdAh1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FCABCC6CDDDFD9240896FAAB85FC128D3EE8125CD7C310C58F398DEB756B22938BB2A3CB676AC59E2273E1DA3CBBEC576796DFA3d9h4N" TargetMode="External"/><Relationship Id="rId14" Type="http://schemas.openxmlformats.org/officeDocument/2006/relationships/hyperlink" Target="consultantplus://offline/ref=3AFCABCC6CDDDFD9240896FAAB85FC128D3EE11E57D4C310C58F398DEB756B22938BB2A7C862609A9B3762B9D53CA7F25E708ADDA196d3h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2321</Words>
  <Characters>13236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2020-09-22T13:33:00Z</dcterms:created>
  <dcterms:modified xsi:type="dcterms:W3CDTF">2020-09-22T13:34:00Z</dcterms:modified>
</cp:coreProperties>
</file>