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13E" w:rsidRDefault="002E513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E513E" w:rsidRDefault="002E513E">
      <w:pPr>
        <w:pStyle w:val="ConsPlusNormal"/>
        <w:jc w:val="both"/>
        <w:outlineLvl w:val="0"/>
      </w:pPr>
    </w:p>
    <w:p w:rsidR="002E513E" w:rsidRDefault="002E513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513E" w:rsidRDefault="002E513E">
      <w:pPr>
        <w:pStyle w:val="ConsPlusTitle"/>
        <w:jc w:val="center"/>
      </w:pPr>
    </w:p>
    <w:p w:rsidR="002E513E" w:rsidRDefault="002E513E">
      <w:pPr>
        <w:pStyle w:val="ConsPlusTitle"/>
        <w:jc w:val="center"/>
      </w:pPr>
      <w:r>
        <w:t>ПОСТАНОВЛЕНИЕ</w:t>
      </w:r>
    </w:p>
    <w:p w:rsidR="002E513E" w:rsidRDefault="002E513E">
      <w:pPr>
        <w:pStyle w:val="ConsPlusTitle"/>
        <w:jc w:val="center"/>
      </w:pPr>
      <w:r>
        <w:t>от 1 июля 2022 г. N 1193</w:t>
      </w:r>
    </w:p>
    <w:p w:rsidR="002E513E" w:rsidRDefault="002E513E">
      <w:pPr>
        <w:pStyle w:val="ConsPlusTitle"/>
        <w:jc w:val="center"/>
      </w:pPr>
    </w:p>
    <w:p w:rsidR="002E513E" w:rsidRDefault="002E513E">
      <w:pPr>
        <w:pStyle w:val="ConsPlusTitle"/>
        <w:jc w:val="center"/>
      </w:pPr>
      <w:r>
        <w:t>ОБ УТВЕРЖДЕНИИ ПРАВИЛ</w:t>
      </w:r>
    </w:p>
    <w:p w:rsidR="002E513E" w:rsidRDefault="002E513E">
      <w:pPr>
        <w:pStyle w:val="ConsPlusTitle"/>
        <w:jc w:val="center"/>
      </w:pPr>
      <w:r>
        <w:t>ПРЕДОСТАВЛЕНИЯ ИЗ ФЕДЕРАЛЬНОГО БЮДЖЕТА СУБСИДИИ</w:t>
      </w:r>
    </w:p>
    <w:p w:rsidR="002E513E" w:rsidRDefault="002E513E">
      <w:pPr>
        <w:pStyle w:val="ConsPlusTitle"/>
        <w:jc w:val="center"/>
      </w:pPr>
      <w:r>
        <w:t>НА ПРЕДОСТАВЛЕНИЕ ТАЛАНТЛИВЫМ ШКОЛЬНИКАМ 8 - 11 КЛАССОВ</w:t>
      </w:r>
    </w:p>
    <w:p w:rsidR="002E513E" w:rsidRDefault="002E513E">
      <w:pPr>
        <w:pStyle w:val="ConsPlusTitle"/>
        <w:jc w:val="center"/>
      </w:pPr>
      <w:r>
        <w:t>ВОЗМОЖНОСТИ ПРОХОЖДЕНИЯ ДОПОЛНИТЕЛЬНОГО ДВУХЛЕТНЕГО КУРСА</w:t>
      </w:r>
    </w:p>
    <w:p w:rsidR="002E513E" w:rsidRDefault="002E513E">
      <w:pPr>
        <w:pStyle w:val="ConsPlusTitle"/>
        <w:jc w:val="center"/>
      </w:pPr>
      <w:r>
        <w:t>ОБУЧЕНИЯ СОВРЕМЕННЫМ ЯЗЫКАМ ПРОГРАММИРОВАНИЯ НА БАЗЕ</w:t>
      </w:r>
    </w:p>
    <w:p w:rsidR="002E513E" w:rsidRDefault="002E513E">
      <w:pPr>
        <w:pStyle w:val="ConsPlusTitle"/>
        <w:jc w:val="center"/>
      </w:pPr>
      <w:r>
        <w:t>АВТОНОМНОЙ НЕКОММЕРЧЕСКОЙ ОРГАНИЗАЦИИ "УНИВЕРСИТЕТ</w:t>
      </w:r>
    </w:p>
    <w:p w:rsidR="002E513E" w:rsidRDefault="002E513E">
      <w:pPr>
        <w:pStyle w:val="ConsPlusTitle"/>
        <w:jc w:val="center"/>
      </w:pPr>
      <w:r>
        <w:t>НАЦИОНАЛЬНОЙ ТЕХНОЛОГИЧЕСКОЙ ИНИЦИАТИВЫ 2035"</w:t>
      </w: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0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предоставление талантливым школьникам 8 - 11 классов возможности прохождения дополнительного двухлетнего курса обучения современным языкам программирования на базе автономной некоммерческой организации "Университет Национальной технологической инициативы 2035".</w:t>
      </w: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jc w:val="right"/>
      </w:pPr>
      <w:r>
        <w:t>Председатель Правительства</w:t>
      </w:r>
    </w:p>
    <w:p w:rsidR="002E513E" w:rsidRDefault="002E513E">
      <w:pPr>
        <w:pStyle w:val="ConsPlusNormal"/>
        <w:jc w:val="right"/>
      </w:pPr>
      <w:r>
        <w:t>Российской Федерации</w:t>
      </w:r>
    </w:p>
    <w:p w:rsidR="002E513E" w:rsidRDefault="002E513E">
      <w:pPr>
        <w:pStyle w:val="ConsPlusNormal"/>
        <w:jc w:val="right"/>
      </w:pPr>
      <w:r>
        <w:t>М.МИШУСТИН</w:t>
      </w: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jc w:val="right"/>
        <w:outlineLvl w:val="0"/>
      </w:pPr>
      <w:r>
        <w:t>Утверждены</w:t>
      </w:r>
    </w:p>
    <w:p w:rsidR="002E513E" w:rsidRDefault="002E513E">
      <w:pPr>
        <w:pStyle w:val="ConsPlusNormal"/>
        <w:jc w:val="right"/>
      </w:pPr>
      <w:r>
        <w:t>постановлением Правительства</w:t>
      </w:r>
    </w:p>
    <w:p w:rsidR="002E513E" w:rsidRDefault="002E513E">
      <w:pPr>
        <w:pStyle w:val="ConsPlusNormal"/>
        <w:jc w:val="right"/>
      </w:pPr>
      <w:r>
        <w:t>Российской Федерации</w:t>
      </w:r>
    </w:p>
    <w:p w:rsidR="002E513E" w:rsidRDefault="002E513E">
      <w:pPr>
        <w:pStyle w:val="ConsPlusNormal"/>
        <w:jc w:val="right"/>
      </w:pPr>
      <w:r>
        <w:t>от 1 июля 2022 г. N 1193</w:t>
      </w:r>
    </w:p>
    <w:p w:rsidR="002E513E" w:rsidRDefault="002E513E">
      <w:pPr>
        <w:pStyle w:val="ConsPlusNormal"/>
        <w:jc w:val="center"/>
      </w:pPr>
    </w:p>
    <w:p w:rsidR="002E513E" w:rsidRDefault="002E513E">
      <w:pPr>
        <w:pStyle w:val="ConsPlusTitle"/>
        <w:jc w:val="center"/>
      </w:pPr>
      <w:bookmarkStart w:id="0" w:name="P30"/>
      <w:bookmarkEnd w:id="0"/>
      <w:r>
        <w:t>ПРАВИЛА</w:t>
      </w:r>
    </w:p>
    <w:p w:rsidR="002E513E" w:rsidRDefault="002E513E">
      <w:pPr>
        <w:pStyle w:val="ConsPlusTitle"/>
        <w:jc w:val="center"/>
      </w:pPr>
      <w:r>
        <w:t>ПРЕДОСТАВЛЕНИЯ ИЗ ФЕДЕРАЛЬНОГО БЮДЖЕТА СУБСИДИИ</w:t>
      </w:r>
    </w:p>
    <w:p w:rsidR="002E513E" w:rsidRDefault="002E513E">
      <w:pPr>
        <w:pStyle w:val="ConsPlusTitle"/>
        <w:jc w:val="center"/>
      </w:pPr>
      <w:r>
        <w:t>НА ПРЕДОСТАВЛЕНИЕ ТАЛАНТЛИВЫМ ШКОЛЬНИКАМ 8 - 11 КЛАССОВ</w:t>
      </w:r>
    </w:p>
    <w:p w:rsidR="002E513E" w:rsidRDefault="002E513E">
      <w:pPr>
        <w:pStyle w:val="ConsPlusTitle"/>
        <w:jc w:val="center"/>
      </w:pPr>
      <w:r>
        <w:t>ВОЗМОЖНОСТИ ПРОХОЖДЕНИЯ ДОПОЛНИТЕЛЬНОГО ДВУХЛЕТНЕГО КУРСА</w:t>
      </w:r>
    </w:p>
    <w:p w:rsidR="002E513E" w:rsidRDefault="002E513E">
      <w:pPr>
        <w:pStyle w:val="ConsPlusTitle"/>
        <w:jc w:val="center"/>
      </w:pPr>
      <w:r>
        <w:t>ОБУЧЕНИЯ СОВРЕМЕННЫМ ЯЗЫКАМ ПРОГРАММИРОВАНИЯ НА БАЗЕ</w:t>
      </w:r>
    </w:p>
    <w:p w:rsidR="002E513E" w:rsidRDefault="002E513E">
      <w:pPr>
        <w:pStyle w:val="ConsPlusTitle"/>
        <w:jc w:val="center"/>
      </w:pPr>
      <w:r>
        <w:t>АВТОНОМНОЙ НЕКОММЕРЧЕСКОЙ ОРГАНИЗАЦИИ "УНИВЕРСИТЕТ</w:t>
      </w:r>
    </w:p>
    <w:p w:rsidR="002E513E" w:rsidRDefault="002E513E">
      <w:pPr>
        <w:pStyle w:val="ConsPlusTitle"/>
        <w:jc w:val="center"/>
      </w:pPr>
      <w:r>
        <w:t>НАЦИОНАЛЬНОЙ ТЕХНОЛОГИЧЕСКОЙ ИНИЦИАТИВЫ 2035"</w:t>
      </w: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ind w:firstLine="540"/>
        <w:jc w:val="both"/>
      </w:pPr>
      <w:bookmarkStart w:id="1" w:name="P38"/>
      <w:bookmarkEnd w:id="1"/>
      <w:r>
        <w:t>1. Настоящие Правила устанавливают цель, порядок и условия предоставления из федерального бюджета субсидии на предоставление талантливым школьникам 8 - 11 классов возможности прохождения дополнительного двухлетнего курса обучения современным языкам программирования на базе автономной некоммерческой организации "Университет Национальной технологической инициативы 2035" (далее соответственно - организация, субсидия).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Субсидия предоставляется в рамках реализации федерального проекта "Развитие кадрового потенциала ИТ-отрасли" национальной </w:t>
      </w:r>
      <w:hyperlink r:id="rId5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(далее - федеральный проект).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В рамках достижения цели, указанной в настоящем пункте, талантливыми школьниками 8 - 11 классов признаются граждане Российской Федерации, осваивающие образовательные программы основного общего и среднего общего образования 8 - 11 классов, высокомотивированные и успешно прошедшие вступительные испытания в рамках реализации федерального проекта.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2" w:name="P41"/>
      <w:bookmarkEnd w:id="2"/>
      <w:r>
        <w:t>2. Субсидия предоставляется для реализации следующих мероприятий: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3" w:name="P42"/>
      <w:bookmarkEnd w:id="3"/>
      <w:r>
        <w:t xml:space="preserve">а) реализация модульных дополнительных общеобразовательных программ, разработанных </w:t>
      </w:r>
      <w:r>
        <w:lastRenderedPageBreak/>
        <w:t>для обучения граждан Российской Федерации, осваивающих образовательные программы основного общего и среднего общего образования 8 - 11 классов, современным языкам программирования;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б) организационное, экспертно-аналитическое и координационное обеспечение реализации </w:t>
      </w:r>
      <w:hyperlink w:anchor="P42">
        <w:r>
          <w:rPr>
            <w:color w:val="0000FF"/>
          </w:rPr>
          <w:t>подпункта "а"</w:t>
        </w:r>
      </w:hyperlink>
      <w:r>
        <w:t xml:space="preserve"> настоящего пункта.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4" w:name="P44"/>
      <w:bookmarkEnd w:id="4"/>
      <w:r>
        <w:t xml:space="preserve">3. Субсидия предоставляется в пределах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цель, установленную </w:t>
      </w:r>
      <w:hyperlink w:anchor="P38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5" w:name="P45"/>
      <w:bookmarkEnd w:id="5"/>
      <w:r>
        <w:t xml:space="preserve">4. Субсидия является источником финансового обеспечения следующих расходов организации, непосредственно направленных на достижение результата предоставления субсидии, указанного в </w:t>
      </w:r>
      <w:hyperlink w:anchor="P99">
        <w:r>
          <w:rPr>
            <w:color w:val="0000FF"/>
          </w:rPr>
          <w:t>пункте 15</w:t>
        </w:r>
      </w:hyperlink>
      <w:r>
        <w:t xml:space="preserve"> настоящих Правил: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а) оплата труда и начисления на выплаты по оплате труда работников организации, осуществляемые на основе договоров (контрактов) в соответствии с трудовым законодательством Российской Федерации, иные выплаты социального характера, предусмотренные законодательством Российской Федерации, в том числе пособия за счет Фонда социального страхования Российской Федерации и пособие по временной нетрудоспособности, прочие выплаты работодателя в пользу работников, не относящиеся к заработной плате (пособия и компенсации, обусловленные условиями трудовых отношений, выплаты стимулирующего характера), - в размере не более 3,5 процента размера субсидии, предоставленной организации в текущем финансовом году;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б) командировочные расходы работников организации - в размере не более 0,01 процента размера субсидии, предоставленной организации в текущем финансовом году;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в) аренда помещений - в размере не более 0,2 процента размера субсидии, предоставленной организации в текущем финансовом году;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г) материально-техническое и информационное обеспечение мероприятий, указанных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Правил, в том числе закупка (аренда) необходимого оборудования для создания и обслуживания рабочих мест работников, закупка программного обеспечения, - в размере не более 0,2 процента размера субсидии, предоставленной организации в текущем финансовом году;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д) закупка работ (услуг) организаций, реализующих дополнительные образовательные программы, организаций, обеспечивающих профессиональную ориентацию граждан, применение информационных решений и платформ, иных работ (услуг), предусмотренных в рамках реализации мероприятий, указанных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Правил, - в размере не более 98,3 процента размера субсидии, предоставленной организации в текущем финансовом году.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5. Размер субсидии определяется как сумма затрат по направлениям расходов, предусмотренных </w:t>
      </w:r>
      <w:hyperlink w:anchor="P45">
        <w:r>
          <w:rPr>
            <w:color w:val="0000FF"/>
          </w:rPr>
          <w:t>пунктом 4</w:t>
        </w:r>
      </w:hyperlink>
      <w:r>
        <w:t xml:space="preserve"> настоящих Правил, в пределах установленных процентных ограничений, не превышающих 100 процентов лимитов бюджетных обязательств, доведенных в установленном порядке до Министерства цифрового развития, связи и массовых коммуникаций Российской Федерации как получателя средств федерального бюджета на цель, указанную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Средняя заработная плата одного работника, непосредственно выполняющего работы, направленные на достижение результата предоставления субсидии, указанного в </w:t>
      </w:r>
      <w:hyperlink w:anchor="P99">
        <w:r>
          <w:rPr>
            <w:color w:val="0000FF"/>
          </w:rPr>
          <w:t>пункте 15</w:t>
        </w:r>
      </w:hyperlink>
      <w:r>
        <w:t xml:space="preserve"> настоящих Правил, не может превышать размер среднемесячной начисленной заработной платы по соответствующему виду экономической деятельности по г. Москве, исчисляемый по данным Федеральной службы государственной статистики, за год, предшествующий отчетному году.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Накладные расходы, включающие в том числе расходы на оплату труда административного персонала организации, а также начисления на выплаты по оплате труда и иные выплаты социального характера, предусмотренные законодательством Российской Федерации, не могут превышать 40 процентов объема расходов, предусмотренных на фонд оплаты труда работников получателя субсидии, непосредственно связанных с достижением результата предоставления субсидии.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Затраты на закупку товаров, работ (услуг) у третьих лиц определяются исходя из стоимости </w:t>
      </w:r>
      <w:r>
        <w:lastRenderedPageBreak/>
        <w:t>доступных на рынке аналогов.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6. Субсидия предоставляется на основании соглашения о предоставлении субсидии, заключаемого между Министерством цифрового развития, связи и массовых коммуникаций Российской Федерации и организацией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типовой </w:t>
      </w:r>
      <w:hyperlink r:id="rId6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соглашение), содержащего в том числе: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а) цель, условия и порядок предоставления субсидии;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б) размер субсидии и сроки ее перечисления;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в) запрет на приобретение за счет полученной организацией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 и комплектующих изделий, а также операций, связанных с достижением результата предоставления субсидии;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г) значения результата предоставления субсидии, указанного в </w:t>
      </w:r>
      <w:hyperlink w:anchor="P99">
        <w:r>
          <w:rPr>
            <w:color w:val="0000FF"/>
          </w:rPr>
          <w:t>пункте 15</w:t>
        </w:r>
      </w:hyperlink>
      <w:r>
        <w:t xml:space="preserve"> настоящих Правил;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д) сроки и формы представления организацией отчетности в соответствии с </w:t>
      </w:r>
      <w:hyperlink w:anchor="P107">
        <w:r>
          <w:rPr>
            <w:color w:val="0000FF"/>
          </w:rPr>
          <w:t>пунктом 17</w:t>
        </w:r>
      </w:hyperlink>
      <w:r>
        <w:t xml:space="preserve"> настоящих Правил, а также сроки и формы представления организацией дополнительной отчетности (при необходимости);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е) обязательство организации по возврату в доход федерального бюджета субсидии в размере, при использовании которого были допущены нарушения условий предоставления субсидии, выявленные по результатам проверок, проведенных Министерством цифрового развития, связи и массовых коммуникаций Российской Федерации и органом государственного финансового контроля,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ж) порядок возврата и определения размера средств, полученных организацией, подлежащих возврату в доход федерального бюджета за нарушение условий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субсидии, в соответствии с </w:t>
      </w:r>
      <w:hyperlink w:anchor="P115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з) возможность компенсации за счет субсидии расходов (части расходов) организации, предусмотренных направлениями расходов, источником финансового обеспечения которых является субсидия, фактически произведенных организацией за счет собственных средств в текущем финансовом году до заключения соглашения, при наличии документов, подтверждающих понесенные организацией расходы (части расходов) и предусмотренных соглашением в целях реализации мероприятий, указанных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и) условие о согласовании новых условий соглашения или о его расторжении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цифрового развития, связи и массовых коммуникаций Российской Федерации как получателю средств федерального бюджета ранее доведенных лимитов бюджетных обязательств, указанных в </w:t>
      </w:r>
      <w:hyperlink w:anchor="P44">
        <w:r>
          <w:rPr>
            <w:color w:val="0000FF"/>
          </w:rPr>
          <w:t>пункте 3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к) обязательство организации по ведению раздельного учета расходов, осуществляемых за счет субсидии;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л) обязательство организации по возврату средств субсидии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субсидии, размер которых рассчитывается в соответствии с </w:t>
      </w:r>
      <w:hyperlink w:anchor="P118">
        <w:r>
          <w:rPr>
            <w:color w:val="0000FF"/>
          </w:rPr>
          <w:t>пунктом 23</w:t>
        </w:r>
      </w:hyperlink>
      <w:r>
        <w:t xml:space="preserve"> настоящих Правил;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м) положения о казначейском сопровождении субсидии,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н) согласие организации на осуществление проверки Министерством цифрового развития, связи и массовых коммуникаций Российской Федерации соблюдения организацией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соблюдения </w:t>
      </w:r>
      <w:r>
        <w:lastRenderedPageBreak/>
        <w:t xml:space="preserve">организацией порядка и условий предоставления субсидии в соответствии со </w:t>
      </w:r>
      <w:hyperlink r:id="rId7">
        <w:r>
          <w:rPr>
            <w:color w:val="0000FF"/>
          </w:rPr>
          <w:t>статьями 268.1</w:t>
        </w:r>
      </w:hyperlink>
      <w:r>
        <w:t xml:space="preserve"> и </w:t>
      </w:r>
      <w:hyperlink r:id="rId8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о) согласие лиц, получающих средства на основании договоров, заключенных с организацией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цифрового развития, связи и массовых коммуникаций Российской Федерации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9">
        <w:r>
          <w:rPr>
            <w:color w:val="0000FF"/>
          </w:rPr>
          <w:t>статьями 268.1</w:t>
        </w:r>
      </w:hyperlink>
      <w:r>
        <w:t xml:space="preserve"> и </w:t>
      </w:r>
      <w:hyperlink r:id="rId10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и на включение таких положений в соглашение;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п) иные условия, определяемые Министерством цифрового развития, связи и массовых коммуникаций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7. Дополнительные соглашения к соглашению, в том числе о расторжении соглашения, заключаются в системе "Электронный бюджет" в соответствии с типовой формой, установленной Министерством финансов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6" w:name="P72"/>
      <w:bookmarkEnd w:id="6"/>
      <w:r>
        <w:t>8. Организация на 1-е число месяца, предшествующего месяцу, в котором планируется заключение соглашения, должна соответствовать следующим требованиям: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7" w:name="P76"/>
      <w:bookmarkEnd w:id="7"/>
      <w:r>
        <w:t xml:space="preserve">г) организация не получает средства из федерального бюджета в соответствии с иными нормативными правовыми актами Российской Федерации на цель, предусмотренную </w:t>
      </w:r>
      <w:hyperlink w:anchor="P38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д) организация не является иностранным юридическим лицом либо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1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8" w:name="P78"/>
      <w:bookmarkEnd w:id="8"/>
      <w:r>
        <w:t>е)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9" w:name="P79"/>
      <w:bookmarkEnd w:id="9"/>
      <w:r>
        <w:t>ж)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10" w:name="P80"/>
      <w:bookmarkEnd w:id="10"/>
      <w:r>
        <w:t>9. Для заключения соглашения организация представляет в Министерство цифрового развития, связи и массовых коммуникаций Российской Федерации письмо на бланке организации, подписанное руководителем (уполномоченным им лицом с представлением документов, подтверждающих полномочия указанного лица) (далее - уполномоченное лицо), с приложением следующих документов: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lastRenderedPageBreak/>
        <w:t>а) справка, подписанная руководителем организации или уполномоченным им лицом, подтверждающая отсутствие у организации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заверенная в установленном порядке (в случае непредставления такого документа Министерство цифрового развития, связи и массовых коммуникаций Российской Федерации запрашивает его самостоятельно у федерального органа исполнительной власти, осуществляющего государственную регистрацию юридических лиц);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б) справка, подписанная руководителем организации или уполномоченным им лицом, подтверждающая отсутствие у организации на 1-е число месяца, предшествующего месяцу, в котором планируется заключение соглашения, просроченной задолженности по возврату в федеральный бюджет субсидий, бюджетных инвестиций, предоставленных в том числе в соответствии с иными нормативными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в) справка, подписанная руководителем организации или уполномоченным им лицом, подтверждающая, что организация на 1-е число месяца, предшествующего месяцу, в котором планируется заключение соглашения,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г) помесячный прогноз осуществления организацией расходов, на финансовое обеспечение которых предоставляется субсидия (в произвольной форме);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д) смета затрат по направлениям расходования субсидии на реализацию мероприятий, указанных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 (в произвольной форме);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е) справка, подписанная руководителем или уполномоченным им лицом, подтверждающая, что организация на 1-е число месяца, предшествующего месяцу, в котором планируется заключение соглашения, не является получателем средств из федерального бюджета на реализацию цели, указанной в </w:t>
      </w:r>
      <w:hyperlink w:anchor="P38">
        <w:r>
          <w:rPr>
            <w:color w:val="0000FF"/>
          </w:rPr>
          <w:t>пункте 1</w:t>
        </w:r>
      </w:hyperlink>
      <w:r>
        <w:t xml:space="preserve"> настоящих Правил, в соответствии с иными нормативными правовыми актами Российской Федерации;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ж) справка, подписанная руководителем или уполномоченным им лицом, подтверждающая,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з) справка, подписанная руководителем или уполномоченным им лицом, подтверждающая соответствие организации требованиям, предусмотренным </w:t>
      </w:r>
      <w:hyperlink w:anchor="P76">
        <w:r>
          <w:rPr>
            <w:color w:val="0000FF"/>
          </w:rPr>
          <w:t>подпунктами "г"</w:t>
        </w:r>
      </w:hyperlink>
      <w:r>
        <w:t xml:space="preserve">, </w:t>
      </w:r>
      <w:hyperlink w:anchor="P78">
        <w:r>
          <w:rPr>
            <w:color w:val="0000FF"/>
          </w:rPr>
          <w:t>"е"</w:t>
        </w:r>
      </w:hyperlink>
      <w:r>
        <w:t xml:space="preserve"> и </w:t>
      </w:r>
      <w:hyperlink w:anchor="P79">
        <w:r>
          <w:rPr>
            <w:color w:val="0000FF"/>
          </w:rPr>
          <w:t>"ж" пункта 8</w:t>
        </w:r>
      </w:hyperlink>
      <w:r>
        <w:t xml:space="preserve"> настоящих Правил.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10. Ответственность за достоверность представляемых в Министерство цифрового развития, связи и массовых коммуникаций Российской Федерации документов несет организация в соответствии с законодательством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11" w:name="P90"/>
      <w:bookmarkEnd w:id="11"/>
      <w:r>
        <w:t xml:space="preserve">11. Министерство цифрового развития, связи и массовых коммуникаций Российской Федерации в течение 5 рабочих дней со дня регистрации документов, представленных организацией в соответствии с </w:t>
      </w:r>
      <w:hyperlink w:anchor="P80">
        <w:r>
          <w:rPr>
            <w:color w:val="0000FF"/>
          </w:rPr>
          <w:t>пунктом 9</w:t>
        </w:r>
      </w:hyperlink>
      <w:r>
        <w:t xml:space="preserve"> настоящих Правил, рассматривает указанные документы и направляет организации посредством системы "Электронный бюджет" проект соглашения в целях его заключения либо направляет организации письмо об отказе в заключении соглашения с указанием оснований отказа.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Организация в течение 10 рабочих дней со дня получения посредством системы "Электронный бюджет" проекта соглашения подписывает его.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В случае </w:t>
      </w:r>
      <w:proofErr w:type="spellStart"/>
      <w:r>
        <w:t>неподписания</w:t>
      </w:r>
      <w:proofErr w:type="spellEnd"/>
      <w:r>
        <w:t xml:space="preserve"> организацией в указанный срок проекта соглашения организация посредством системы "Электронный бюджет" возвращает проект соглашения Министерству </w:t>
      </w:r>
      <w:r>
        <w:lastRenderedPageBreak/>
        <w:t>цифрового развития, связи и массовых коммуникаций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12. Основаниями для отказа в заключении соглашения являются: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а) несоответствие организации требованиям, предусмотренным </w:t>
      </w:r>
      <w:hyperlink w:anchor="P72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б) несоответствие представленных организацией документов требованиям, определенным </w:t>
      </w:r>
      <w:hyperlink w:anchor="P80">
        <w:r>
          <w:rPr>
            <w:color w:val="0000FF"/>
          </w:rPr>
          <w:t>пунктом 9</w:t>
        </w:r>
      </w:hyperlink>
      <w:r>
        <w:t xml:space="preserve"> настоящих Правил, или непредставление (представления не в полном объеме) указанных документов;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в) установление факта недостоверности представленной организацией информации.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13. Повторное представление организацией документов, указанных в </w:t>
      </w:r>
      <w:hyperlink w:anchor="P80">
        <w:r>
          <w:rPr>
            <w:color w:val="0000FF"/>
          </w:rPr>
          <w:t>пункте 9</w:t>
        </w:r>
      </w:hyperlink>
      <w:r>
        <w:t xml:space="preserve"> настоящих Правил, возможно после получения письма об отказе в заключении соглашения, указанного в </w:t>
      </w:r>
      <w:hyperlink w:anchor="P90">
        <w:r>
          <w:rPr>
            <w:color w:val="0000FF"/>
          </w:rPr>
          <w:t>пункте 11</w:t>
        </w:r>
      </w:hyperlink>
      <w:r>
        <w:t xml:space="preserve"> настоящих Правил, и при условии устранения замечаний, являющихся основаниями отказа в заключении соглашения о предоставлении субсидии.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14. Перечисление субсидии организации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территориальному органу Федерального казначейства, не позднее 2-го 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12" w:name="P99"/>
      <w:bookmarkEnd w:id="12"/>
      <w:r>
        <w:t>15. Результатом предоставления субсидии является количество талантливых школьников 8 - 11 классов, которым предоставлена возможность прохождения дополнительного двухлетнего курса обучения современным языкам программирования.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Определены точные даты достижения результата предоставления субсидии и его конечные значения по годам (нарастающим итогом):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31 декабря 2022 г. - 100 тыс. человек;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31 декабря 2023 г. - 240 тыс. человек;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31 декабря 2024 г. - 240 тыс. человек.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В целях достижения результата предоставления субсидии, обеспечивается присоединение информационной системы организации к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 В федеральной государственной информационной системе "Единый портал государственных и муниципальных услуг (функций)" Министерством цифрового развития, связи и массовых коммуникаций Российской Федерации совместно с организацией обеспечивается реализация функций размещения каталога реализуемых образовательных программ, выбора программы гражданином, подачи заявления на обучение в рамках мероприятия, предусмотренного </w:t>
      </w:r>
      <w:hyperlink w:anchor="P42">
        <w:r>
          <w:rPr>
            <w:color w:val="0000FF"/>
          </w:rPr>
          <w:t>подпунктом "а" пункта 2</w:t>
        </w:r>
      </w:hyperlink>
      <w:r>
        <w:t xml:space="preserve"> настоящих Правил. С целью достоверной идентификации граждан, подавших заявления посредством указанного единого портала, организация подключает свою информационную систему к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Для обеспечения безопасности и конфиденциальности передачи информации информационная система организации присоединяется к федеральной государственной информационной системе "Единая система межведомственного электронного взаимодействия".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16. Общая трудоемкость дополнительного двухлетнего курса обучения современным языкам программирования составляет не менее 144 академических часов с применением модульной формы обучения, включающей 4 модуля трудоемкостью не менее 36 академических часов каждый.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Организация осуществляет оплату работ (услуг) образовательным организациям, реализующим дополнительные общеобразовательные программы в соответствии с заключенными с этими организациями договорами в рамках мероприятия, предусмотренного </w:t>
      </w:r>
      <w:hyperlink w:anchor="P42">
        <w:r>
          <w:rPr>
            <w:color w:val="0000FF"/>
          </w:rPr>
          <w:t>подпунктом "а" пункта 2</w:t>
        </w:r>
      </w:hyperlink>
      <w:r>
        <w:t xml:space="preserve"> настоящих Правил, по мере окончания обучения граждан по соответствующему модулю образовательной программы после получения надлежащим образом оформленных документов, </w:t>
      </w:r>
      <w:r>
        <w:lastRenderedPageBreak/>
        <w:t>подтверждающих успешное завершение обучения по указанному модулю, и иных отчетных документов, предусмотренных договорами с образовательными организациями.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13" w:name="P107"/>
      <w:bookmarkEnd w:id="13"/>
      <w:r>
        <w:t>17. Отчеты об осуществлении расходов, источником финансового обеспечения которых является субсидия, по состоянию на 1-е число месяца, следующего за отчетным периодом, представляются организацией в Министерство цифрового развития, связи и массовых коммуникаций Российской Федерации по форме, определенной типовой формой соглашения, установленной Министерством финансов Российской Федерации: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ежеквартально, не позднее 11-го числа месяца, следующего за отчетным кварталом;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ежегодно, не позднее 30-го числа месяца, следующего за отчетным годом.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Отчеты о достижении значений результата предоставления субсидии по состоянию на 1-е число месяца, следующего за отчетным периодом, представляются организацией в Министерство цифрового развития, связи и массовых коммуникаций Российской Федерации ежемесячно, не позднее 11-го числа месяца, следующего за отчетным периодом, по форме, определенной типовой формой соглашения, установленной Министерством финансов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18. Министерство цифрового развития, связи и массовых коммуникаций Российской Федерации вправе установить в соглашении сроки и форму представления организацией дополнительной отчетности.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19. Отчеты, указанные в </w:t>
      </w:r>
      <w:hyperlink w:anchor="P107">
        <w:r>
          <w:rPr>
            <w:color w:val="0000FF"/>
          </w:rPr>
          <w:t>пункте 17</w:t>
        </w:r>
      </w:hyperlink>
      <w:r>
        <w:t xml:space="preserve"> настоящих Правил, направляются в Министерство цифрового развития, связи и массовых коммуникаций Российской Федерации в форме электронного документа, подписанного усиленной квалифицированной электронной подписью руководителя организации.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14" w:name="P113"/>
      <w:bookmarkEnd w:id="14"/>
      <w:r>
        <w:t xml:space="preserve">20. Министерство цифрового развития, связи и массовых коммуникаций Российской Федерации осуществляет проверку соблюдения порядка и условий предоставления субсидии, в том числе в части достижения результата предоставления субсидии, органы государственного финансового контроля осуществляют проверки в соответствии со </w:t>
      </w:r>
      <w:hyperlink r:id="rId12">
        <w:r>
          <w:rPr>
            <w:color w:val="0000FF"/>
          </w:rPr>
          <w:t>статьями 268.1</w:t>
        </w:r>
      </w:hyperlink>
      <w:r>
        <w:t xml:space="preserve"> и </w:t>
      </w:r>
      <w:hyperlink r:id="rId13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21. Организация обязана представлять по запросу Министерства цифрового развития, связи и массовых коммуникаций Российской Федерации и органа государственного финансового контроля информацию, необходимую для осуществления проверок, предусмотренных </w:t>
      </w:r>
      <w:hyperlink w:anchor="P113">
        <w:r>
          <w:rPr>
            <w:color w:val="0000FF"/>
          </w:rPr>
          <w:t>пунктом 20</w:t>
        </w:r>
      </w:hyperlink>
      <w:r>
        <w:t xml:space="preserve"> настоящих Правил. Указанный запрос должен содержать форму представления информации, методические рекомендации по заполнению указанной формы, а также срок представления запрашиваемой информации.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15" w:name="P115"/>
      <w:bookmarkEnd w:id="15"/>
      <w:r>
        <w:t xml:space="preserve">22. При установлении в ходе проверок, предусмотренных </w:t>
      </w:r>
      <w:hyperlink w:anchor="P113">
        <w:r>
          <w:rPr>
            <w:color w:val="0000FF"/>
          </w:rPr>
          <w:t>пунктом 20</w:t>
        </w:r>
      </w:hyperlink>
      <w:r>
        <w:t xml:space="preserve"> настоящих Правил, нарушения условий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соответствующие средства в объеме выявленного нарушения или в объеме, пропорциональном степени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субсидии, подлежат возврату организацией в доход федерального бюджета: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а) на основании требования Министерства цифрового развития, связи и массовых коммуникаций Российской Федерации - в течение 10 календарных дней со дня получения организацией указанного требования;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bookmarkStart w:id="16" w:name="P118"/>
      <w:bookmarkEnd w:id="16"/>
      <w:r>
        <w:t xml:space="preserve">23.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размер средств субсидии (Q), подлежащих возврату в доход федерального бюджета в соответствии с </w:t>
      </w:r>
      <w:hyperlink w:anchor="P115">
        <w:r>
          <w:rPr>
            <w:color w:val="0000FF"/>
          </w:rPr>
          <w:t>абзацем первым пункта 22</w:t>
        </w:r>
      </w:hyperlink>
      <w:r>
        <w:t xml:space="preserve"> настоящих Правил, рассчитывается по формуле:</w:t>
      </w:r>
    </w:p>
    <w:p w:rsidR="002E513E" w:rsidRDefault="002E513E">
      <w:pPr>
        <w:pStyle w:val="ConsPlusNormal"/>
        <w:jc w:val="center"/>
      </w:pPr>
    </w:p>
    <w:p w:rsidR="002E513E" w:rsidRDefault="002E513E">
      <w:pPr>
        <w:pStyle w:val="ConsPlusNormal"/>
        <w:jc w:val="center"/>
      </w:pPr>
      <w:r>
        <w:t xml:space="preserve">Q = (1 - P / </w:t>
      </w:r>
      <w:proofErr w:type="spellStart"/>
      <w:r>
        <w:t>Pmax</w:t>
      </w:r>
      <w:proofErr w:type="spellEnd"/>
      <w:r>
        <w:t>) x S,</w:t>
      </w:r>
    </w:p>
    <w:p w:rsidR="002E513E" w:rsidRDefault="002E513E">
      <w:pPr>
        <w:pStyle w:val="ConsPlusNormal"/>
        <w:ind w:firstLine="540"/>
        <w:jc w:val="both"/>
      </w:pPr>
    </w:p>
    <w:p w:rsidR="002E513E" w:rsidRDefault="002E513E">
      <w:pPr>
        <w:pStyle w:val="ConsPlusNormal"/>
        <w:ind w:firstLine="540"/>
        <w:jc w:val="both"/>
      </w:pPr>
      <w:r>
        <w:t>где: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P - достигнутое значение результата предоставления субсидии;</w:t>
      </w:r>
    </w:p>
    <w:p w:rsidR="002E513E" w:rsidRDefault="002E513E">
      <w:pPr>
        <w:pStyle w:val="ConsPlusNormal"/>
        <w:spacing w:before="200"/>
        <w:ind w:firstLine="540"/>
        <w:jc w:val="both"/>
      </w:pPr>
      <w:proofErr w:type="spellStart"/>
      <w:r>
        <w:lastRenderedPageBreak/>
        <w:t>Pmax</w:t>
      </w:r>
      <w:proofErr w:type="spellEnd"/>
      <w:r>
        <w:t xml:space="preserve"> - плановое значение результата предоставления субсидии;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S - размер средств федерального бюджета, полученных организацией в соответствии с </w:t>
      </w:r>
      <w:hyperlink w:anchor="P44">
        <w:r>
          <w:rPr>
            <w:color w:val="0000FF"/>
          </w:rPr>
          <w:t>пунктом 3</w:t>
        </w:r>
      </w:hyperlink>
      <w:r>
        <w:t xml:space="preserve"> настоящих Правил в отчетном периоде в рамках соглашения.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24. Основанием для освобождения организации от мер ответственности за </w:t>
      </w:r>
      <w:proofErr w:type="spellStart"/>
      <w:r>
        <w:t>недостижение</w:t>
      </w:r>
      <w:proofErr w:type="spellEnd"/>
      <w:r>
        <w:t xml:space="preserve"> значений результата предоставления субсидии, предусмотренных </w:t>
      </w:r>
      <w:hyperlink w:anchor="P118">
        <w:r>
          <w:rPr>
            <w:color w:val="0000FF"/>
          </w:rPr>
          <w:t>пунктом 23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>25.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 сведения о субсидии размещаются на едином портале бюджетной системы Российской Федерации в информационно-телекоммуникационной сети "Интернет" (в разделе единого портала).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26. Ответственность за нарушение условий и порядка предоставления субсидий, а также за недостоверность представляемых в Министерство цифрового развития, связи и массовых коммуникаций Российской Федерации сведений об осуществлении расходов, в целях </w:t>
      </w:r>
      <w:proofErr w:type="gramStart"/>
      <w:r>
        <w:t>финансирования</w:t>
      </w:r>
      <w:proofErr w:type="gramEnd"/>
      <w:r>
        <w:t xml:space="preserve"> которых предоставляется субсидия, возлагается на организацию в соответствии с законодательством Российской Федерации.</w:t>
      </w:r>
    </w:p>
    <w:p w:rsidR="002E513E" w:rsidRDefault="002E513E">
      <w:pPr>
        <w:pStyle w:val="ConsPlusNormal"/>
        <w:spacing w:before="200"/>
        <w:ind w:firstLine="540"/>
        <w:jc w:val="both"/>
      </w:pPr>
      <w:r>
        <w:t xml:space="preserve">27.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4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2E513E" w:rsidRDefault="002E513E">
      <w:pPr>
        <w:pStyle w:val="ConsPlusNormal"/>
        <w:jc w:val="both"/>
      </w:pPr>
    </w:p>
    <w:p w:rsidR="002E513E" w:rsidRDefault="002E513E">
      <w:pPr>
        <w:pStyle w:val="ConsPlusNormal"/>
        <w:jc w:val="both"/>
      </w:pPr>
    </w:p>
    <w:p w:rsidR="002E513E" w:rsidRDefault="002E51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1EBB" w:rsidRDefault="007E1EBB">
      <w:bookmarkStart w:id="17" w:name="_GoBack"/>
      <w:bookmarkEnd w:id="17"/>
    </w:p>
    <w:sectPr w:rsidR="007E1EBB" w:rsidSect="00425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13E"/>
    <w:rsid w:val="002E513E"/>
    <w:rsid w:val="007E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805A43-9DA8-491C-B1DE-7147284F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51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2E51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2E51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7B14F8FFC823719B9F9E1BF1154BA47EE8D9077BF5098992241369C094AF776FA8B48087D0BA34F9A2DA8ED57998A38982851CE3BQCQ9M" TargetMode="External"/><Relationship Id="rId13" Type="http://schemas.openxmlformats.org/officeDocument/2006/relationships/hyperlink" Target="consultantplus://offline/ref=0217B14F8FFC823719B9F9E1BF1154BA47EE8D9077BF5098992241369C094AF776FA8B48087D0BA34F9A2DA8ED57998A38982851CE3BQCQ9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7B14F8FFC823719B9F9E1BF1154BA47EE8D9077BF5098992241369C094AF776FA8B48087F0DA34F9A2DA8ED57998A38982851CE3BQCQ9M" TargetMode="External"/><Relationship Id="rId12" Type="http://schemas.openxmlformats.org/officeDocument/2006/relationships/hyperlink" Target="consultantplus://offline/ref=0217B14F8FFC823719B9F9E1BF1154BA47EE8D9077BF5098992241369C094AF776FA8B48087F0DA34F9A2DA8ED57998A38982851CE3BQCQ9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7B14F8FFC823719B9F9E1BF1154BA40E68B9775B05098992241369C094AF776FA8B4A0F7F09A81DC03DACA40396953A813654D03BCBA0Q8Q2M" TargetMode="External"/><Relationship Id="rId11" Type="http://schemas.openxmlformats.org/officeDocument/2006/relationships/hyperlink" Target="consultantplus://offline/ref=0217B14F8FFC823719B9F9E1BF1154BA41E78E9271BB5098992241369C094AF776FA8B4E042B58EC4EC668FFFE569C8A3A9F34Q5Q1M" TargetMode="External"/><Relationship Id="rId5" Type="http://schemas.openxmlformats.org/officeDocument/2006/relationships/hyperlink" Target="consultantplus://offline/ref=0217B14F8FFC823719B9F9E1BF1154BA40ED859B72BC5098992241369C094AF764FAD3460E7D17A81CD56BFDE2Q5Q4M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217B14F8FFC823719B9F9E1BF1154BA47EE8D9077BF5098992241369C094AF776FA8B48087D0BA34F9A2DA8ED57998A38982851CE3BQCQ9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217B14F8FFC823719B9F9E1BF1154BA47EE8D9077BF5098992241369C094AF776FA8B48087F0DA34F9A2DA8ED57998A38982851CE3BQCQ9M" TargetMode="External"/><Relationship Id="rId14" Type="http://schemas.openxmlformats.org/officeDocument/2006/relationships/hyperlink" Target="consultantplus://offline/ref=0217B14F8FFC823719B9F9E1BF1154BA47EF8D9770B05098992241369C094AF776FA8B4A0F7F09A918C03DACA40396953A813654D03BCBA0Q8Q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4484</Words>
  <Characters>25563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2022-07-12T12:16:00Z</dcterms:created>
  <dcterms:modified xsi:type="dcterms:W3CDTF">2022-07-12T12:16:00Z</dcterms:modified>
</cp:coreProperties>
</file>