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99F" w:rsidRDefault="00FE299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E299F" w:rsidRDefault="00FE299F">
      <w:pPr>
        <w:pStyle w:val="ConsPlusNormal"/>
        <w:jc w:val="both"/>
        <w:outlineLvl w:val="0"/>
      </w:pPr>
    </w:p>
    <w:p w:rsidR="00FE299F" w:rsidRDefault="00FE299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E299F" w:rsidRDefault="00FE299F">
      <w:pPr>
        <w:pStyle w:val="ConsPlusTitle"/>
        <w:jc w:val="center"/>
      </w:pPr>
    </w:p>
    <w:p w:rsidR="00FE299F" w:rsidRDefault="00FE299F">
      <w:pPr>
        <w:pStyle w:val="ConsPlusTitle"/>
        <w:jc w:val="center"/>
      </w:pPr>
      <w:r>
        <w:t>ПОСТАНОВЛЕНИЕ</w:t>
      </w:r>
    </w:p>
    <w:p w:rsidR="00FE299F" w:rsidRDefault="00FE299F">
      <w:pPr>
        <w:pStyle w:val="ConsPlusTitle"/>
        <w:jc w:val="center"/>
      </w:pPr>
      <w:r>
        <w:t>от 13 декабря 2021 г. N 2271</w:t>
      </w:r>
    </w:p>
    <w:p w:rsidR="00FE299F" w:rsidRDefault="00FE299F">
      <w:pPr>
        <w:pStyle w:val="ConsPlusTitle"/>
        <w:jc w:val="center"/>
      </w:pPr>
    </w:p>
    <w:p w:rsidR="00FE299F" w:rsidRDefault="00FE299F">
      <w:pPr>
        <w:pStyle w:val="ConsPlusTitle"/>
        <w:jc w:val="center"/>
      </w:pPr>
      <w:r>
        <w:t>ОБ УТВЕРЖДЕНИИ ПРАВИЛ ЭКОНОМИЧЕСКОГО ОБОСНОВАНИЯ ЗАТРАТ</w:t>
      </w:r>
    </w:p>
    <w:p w:rsidR="00FE299F" w:rsidRDefault="00FE299F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FE299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99F" w:rsidRDefault="00FE299F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99F" w:rsidRDefault="00FE299F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E299F" w:rsidRDefault="00FE299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E299F" w:rsidRDefault="00FE299F">
            <w:pPr>
              <w:pStyle w:val="ConsPlusNormal"/>
              <w:jc w:val="center"/>
            </w:pPr>
            <w:r>
              <w:rPr>
                <w:color w:val="392C69"/>
              </w:rPr>
              <w:t xml:space="preserve">(с изм., внесенными </w:t>
            </w:r>
            <w:hyperlink r:id="rId5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18.02.2022 N 216)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99F" w:rsidRDefault="00FE299F">
            <w:pPr>
              <w:spacing w:after="1" w:line="0" w:lineRule="atLeast"/>
            </w:pPr>
          </w:p>
        </w:tc>
      </w:tr>
    </w:tbl>
    <w:p w:rsidR="00FE299F" w:rsidRDefault="00FE299F">
      <w:pPr>
        <w:pStyle w:val="ConsPlusNormal"/>
        <w:jc w:val="both"/>
      </w:pPr>
    </w:p>
    <w:p w:rsidR="00FE299F" w:rsidRDefault="00FE299F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1 пункта 2 статьи 242.24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экономического обоснования затрат.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FE299F" w:rsidRDefault="00FE299F">
      <w:pPr>
        <w:pStyle w:val="ConsPlusNormal"/>
        <w:jc w:val="both"/>
      </w:pPr>
    </w:p>
    <w:p w:rsidR="00FE299F" w:rsidRDefault="00FE299F">
      <w:pPr>
        <w:pStyle w:val="ConsPlusNormal"/>
        <w:jc w:val="right"/>
      </w:pPr>
      <w:r>
        <w:t>Председатель Правительства</w:t>
      </w:r>
    </w:p>
    <w:p w:rsidR="00FE299F" w:rsidRDefault="00FE299F">
      <w:pPr>
        <w:pStyle w:val="ConsPlusNormal"/>
        <w:jc w:val="right"/>
      </w:pPr>
      <w:r>
        <w:t>Российской Федерации</w:t>
      </w:r>
    </w:p>
    <w:p w:rsidR="00FE299F" w:rsidRDefault="00FE299F">
      <w:pPr>
        <w:pStyle w:val="ConsPlusNormal"/>
        <w:jc w:val="right"/>
      </w:pPr>
      <w:r>
        <w:t>М.МИШУСТИН</w:t>
      </w:r>
    </w:p>
    <w:p w:rsidR="00FE299F" w:rsidRDefault="00FE299F">
      <w:pPr>
        <w:pStyle w:val="ConsPlusNormal"/>
        <w:jc w:val="both"/>
      </w:pPr>
    </w:p>
    <w:p w:rsidR="00FE299F" w:rsidRDefault="00FE299F">
      <w:pPr>
        <w:pStyle w:val="ConsPlusNormal"/>
        <w:jc w:val="both"/>
      </w:pPr>
    </w:p>
    <w:p w:rsidR="00FE299F" w:rsidRDefault="00FE299F">
      <w:pPr>
        <w:pStyle w:val="ConsPlusNormal"/>
        <w:jc w:val="both"/>
      </w:pPr>
    </w:p>
    <w:p w:rsidR="00FE299F" w:rsidRDefault="00FE299F">
      <w:pPr>
        <w:pStyle w:val="ConsPlusNormal"/>
        <w:jc w:val="both"/>
      </w:pPr>
    </w:p>
    <w:p w:rsidR="00FE299F" w:rsidRDefault="00FE299F">
      <w:pPr>
        <w:pStyle w:val="ConsPlusNormal"/>
        <w:jc w:val="both"/>
      </w:pPr>
    </w:p>
    <w:p w:rsidR="00FE299F" w:rsidRDefault="00FE299F">
      <w:pPr>
        <w:pStyle w:val="ConsPlusNormal"/>
        <w:jc w:val="right"/>
        <w:outlineLvl w:val="0"/>
      </w:pPr>
      <w:r>
        <w:t>Утверждены</w:t>
      </w:r>
    </w:p>
    <w:p w:rsidR="00FE299F" w:rsidRDefault="00FE299F">
      <w:pPr>
        <w:pStyle w:val="ConsPlusNormal"/>
        <w:jc w:val="right"/>
      </w:pPr>
      <w:r>
        <w:t>постановлением Правительства</w:t>
      </w:r>
    </w:p>
    <w:p w:rsidR="00FE299F" w:rsidRDefault="00FE299F">
      <w:pPr>
        <w:pStyle w:val="ConsPlusNormal"/>
        <w:jc w:val="right"/>
      </w:pPr>
      <w:r>
        <w:t>Российской Федерации</w:t>
      </w:r>
    </w:p>
    <w:p w:rsidR="00FE299F" w:rsidRDefault="00FE299F">
      <w:pPr>
        <w:pStyle w:val="ConsPlusNormal"/>
        <w:jc w:val="right"/>
      </w:pPr>
      <w:r>
        <w:t>от 13 декабря 2021 г. N 2271</w:t>
      </w:r>
    </w:p>
    <w:p w:rsidR="00FE299F" w:rsidRDefault="00FE299F">
      <w:pPr>
        <w:pStyle w:val="ConsPlusNormal"/>
        <w:jc w:val="both"/>
      </w:pPr>
    </w:p>
    <w:p w:rsidR="00FE299F" w:rsidRDefault="00FE299F">
      <w:pPr>
        <w:pStyle w:val="ConsPlusTitle"/>
        <w:jc w:val="center"/>
      </w:pPr>
      <w:bookmarkStart w:id="0" w:name="P27"/>
      <w:bookmarkEnd w:id="0"/>
      <w:r>
        <w:t>ПРАВИЛА ЭКОНОМИЧЕСКОГО ОБОСНОВАНИЯ ЗАТРАТ</w:t>
      </w:r>
    </w:p>
    <w:p w:rsidR="00FE299F" w:rsidRDefault="00FE299F">
      <w:pPr>
        <w:pStyle w:val="ConsPlusNormal"/>
        <w:jc w:val="both"/>
      </w:pPr>
    </w:p>
    <w:p w:rsidR="00FE299F" w:rsidRDefault="00FE299F">
      <w:pPr>
        <w:pStyle w:val="ConsPlusNormal"/>
        <w:ind w:firstLine="540"/>
        <w:jc w:val="both"/>
      </w:pPr>
      <w:r>
        <w:t>1. Настоящие Правила определяют порядок экономического обоснования затрат, подлежащих экономическому обоснованию в соответствии с настоящими Правилами, при осуществлении расширенного казначейского сопровождения средств, предоставляемых в соответствии с настоящим пунктом (далее - целевые средства) в целях исполнения:</w:t>
      </w:r>
    </w:p>
    <w:p w:rsidR="00FE299F" w:rsidRDefault="00FE299F">
      <w:pPr>
        <w:pStyle w:val="ConsPlusNormal"/>
        <w:spacing w:before="220"/>
        <w:ind w:firstLine="540"/>
        <w:jc w:val="both"/>
      </w:pPr>
      <w:bookmarkStart w:id="1" w:name="P30"/>
      <w:bookmarkEnd w:id="1"/>
      <w:r>
        <w:t xml:space="preserve">а) государственных контрактов, заключаемых с единственным поставщиком (подрядчиком, исполнителем), определенным в соответствии с </w:t>
      </w:r>
      <w:hyperlink r:id="rId7" w:history="1">
        <w:r>
          <w:rPr>
            <w:color w:val="0000FF"/>
          </w:rPr>
          <w:t>пунктом 2 части 1 статьи 93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цена которых составляет 20 млрд. рублей и более, предметом которых является строительство (реконструкция, в том числе с элементами реставрации, технического перевооружения) объектов капитального строительства (за исключением государственных контрактов, заключаемых в целях выполнения государственного оборонного заказа) (далее соответственно - государственный контракт, строительство, объект капитальных вложений);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б) договоров (соглашений) о предоставлении субсидий юридическим лицам в соответствии с </w:t>
      </w:r>
      <w:hyperlink r:id="rId8" w:history="1">
        <w:r>
          <w:rPr>
            <w:color w:val="0000FF"/>
          </w:rPr>
          <w:t>пунктами 8</w:t>
        </w:r>
      </w:hyperlink>
      <w:r>
        <w:t xml:space="preserve"> и </w:t>
      </w:r>
      <w:hyperlink r:id="rId9" w:history="1">
        <w:r>
          <w:rPr>
            <w:color w:val="0000FF"/>
          </w:rPr>
          <w:t>8.1 статьи 78</w:t>
        </w:r>
      </w:hyperlink>
      <w:r>
        <w:t xml:space="preserve">, </w:t>
      </w:r>
      <w:hyperlink r:id="rId10" w:history="1">
        <w:r>
          <w:rPr>
            <w:color w:val="0000FF"/>
          </w:rPr>
          <w:t>статьями 78.2</w:t>
        </w:r>
      </w:hyperlink>
      <w:r>
        <w:t xml:space="preserve"> и </w:t>
      </w:r>
      <w:hyperlink r:id="rId11" w:history="1">
        <w:r>
          <w:rPr>
            <w:color w:val="0000FF"/>
          </w:rPr>
          <w:t>78.3</w:t>
        </w:r>
      </w:hyperlink>
      <w:r>
        <w:t xml:space="preserve"> Бюджетного кодекса Российской Федерации, договоров о предоставлении бюджетных инвестиций юридическим лицам в соответствии со </w:t>
      </w:r>
      <w:hyperlink r:id="rId12" w:history="1">
        <w:r>
          <w:rPr>
            <w:color w:val="0000FF"/>
          </w:rPr>
          <w:t>статьей 80</w:t>
        </w:r>
      </w:hyperlink>
      <w:r>
        <w:t xml:space="preserve"> Бюджетного кодекса Российской Федерации (далее - соглашения (договоры) о предоставлении субсидий (бюджетных инвестиций) на осуществление капитальных вложений в </w:t>
      </w:r>
      <w:r>
        <w:lastRenderedPageBreak/>
        <w:t>отдельный объект капитальных вложений на сумму 20 млрд. рублей и более;</w:t>
      </w:r>
    </w:p>
    <w:p w:rsidR="00FE299F" w:rsidRDefault="00FE299F">
      <w:pPr>
        <w:pStyle w:val="ConsPlusNormal"/>
        <w:spacing w:before="220"/>
        <w:ind w:firstLine="540"/>
        <w:jc w:val="both"/>
      </w:pPr>
      <w:bookmarkStart w:id="2" w:name="P32"/>
      <w:bookmarkEnd w:id="2"/>
      <w:r>
        <w:t xml:space="preserve">в) контрактов (договоров) о поставке товаров, выполнении работ и оказании услуг, заключенных в рамках исполнения государственных контрактов и соглашений (договоров) о предоставлении субсидий (бюджетных инвестиций),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</w:t>
      </w:r>
      <w:proofErr w:type="gramStart"/>
      <w:r>
        <w:t>исполнения</w:t>
      </w:r>
      <w:proofErr w:type="gramEnd"/>
      <w:r>
        <w:t xml:space="preserve"> которых являются субсидии (бюджетные инвестиции) (далее - контракт (договор).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г) государственных контрактов и соглашений (договоров) о предоставлении субсидий (бюджетных инвестиций), определенных </w:t>
      </w:r>
      <w:hyperlink w:anchor="P30" w:history="1">
        <w:r>
          <w:rPr>
            <w:color w:val="0000FF"/>
          </w:rPr>
          <w:t>подпунктами "а"</w:t>
        </w:r>
      </w:hyperlink>
      <w:r>
        <w:t xml:space="preserve"> - </w:t>
      </w:r>
      <w:hyperlink w:anchor="P32" w:history="1">
        <w:r>
          <w:rPr>
            <w:color w:val="0000FF"/>
          </w:rPr>
          <w:t>"в"</w:t>
        </w:r>
      </w:hyperlink>
      <w:r>
        <w:t xml:space="preserve"> настоящего пункта, цена (сумма) которых составляет менее 20 млрд. рублей, по решению Правительства Российской Федерации.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2. Государственные заказчики и главные распорядители бюджетных средств, до которых как получателей бюджетных средств доведены лимиты бюджетных обязательств на предоставление субсидий (бюджетных инвестиций) (далее - главный распорядитель бюджетных средств) и получатели целевых средств обеспечивают применение настоящих Правил при исполнении государственных контрактов и соглашений (договоров) о предоставлении субсидий (бюджетных инвестиций) и контрактов (договоров).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3. В настоящих Правилах используются следующие понятия: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а) "сведения" - документ, утверждающий сведения об операциях с целевыми средствами, определенный порядком санкционирования операций со средствами участников казначейского сопровождения, установленным Министерством финансов Российской Федерации в соответствии с </w:t>
      </w:r>
      <w:hyperlink r:id="rId13" w:history="1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б) "предельные затраты" - затраты на строительство объекта капитальных вложений, определенные в соответствии с </w:t>
      </w:r>
      <w:hyperlink w:anchor="P43" w:history="1">
        <w:r>
          <w:rPr>
            <w:color w:val="0000FF"/>
          </w:rPr>
          <w:t>пунктами 4</w:t>
        </w:r>
      </w:hyperlink>
      <w:r>
        <w:t xml:space="preserve"> и </w:t>
      </w:r>
      <w:hyperlink w:anchor="P48" w:history="1">
        <w:r>
          <w:rPr>
            <w:color w:val="0000FF"/>
          </w:rPr>
          <w:t>6</w:t>
        </w:r>
      </w:hyperlink>
      <w:r>
        <w:t xml:space="preserve"> настоящих Правил на основании проектной документации, утвержденной в установленном законодательством Российской Федерации о градостроительной деятельности порядке;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в) "затраты по данным раздельного учета получателя целевых средств" - затраты, фактически начисленные получателем целевых средств по данным раздельного учета результатов финансово-хозяйственной деятельности по государственному контракту, соглашению (договору) о предоставлении субсидии (бюджетных инвестиций) и контракту (договору), произведенные получателем целевых средств без привлечения иных юридических лиц;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г) "экономически обоснованные затраты" - затраты по данным раздельного учета получателя целевых средств, подлежащие экономическому обоснованию в соответствии с настоящими Правилами, подтвержденные результатами анализа экономической обоснованности затрат, проведенного Федеральным казначейством в установленном им на основании </w:t>
      </w:r>
      <w:hyperlink r:id="rId14" w:history="1">
        <w:r>
          <w:rPr>
            <w:color w:val="0000FF"/>
          </w:rPr>
          <w:t>абзаца третьего подпункта 1 пункта 2 статьи 242.24</w:t>
        </w:r>
      </w:hyperlink>
      <w:r>
        <w:t xml:space="preserve"> Бюджетного кодекса Российской Федерации порядке с учетом положений настоящих Правил;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д) "лицевой счет, кассовые затраты (выплаты)" - показатели выплат по соответствующим видам затрат, указанные в сведениях, а также показатели фактических кассовых расходов по ним, отраженные на лицевом счете участника казначейского сопровождения, определенном </w:t>
      </w:r>
      <w:hyperlink r:id="rId15" w:history="1">
        <w:r>
          <w:rPr>
            <w:color w:val="0000FF"/>
          </w:rPr>
          <w:t>пунктом 7.1 статьи 220.1</w:t>
        </w:r>
      </w:hyperlink>
      <w:r>
        <w:t xml:space="preserve"> Бюджетного кодекса Российской Федерации;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е) "расходная декларация" - документ о формировании в установленных Правительством Российской Федерации случаях информации о структуре цены государственного контракта и контракта (договора), суммы средств, предусмотренной договором (соглашением), в порядке и по форме, которые установлены Министерством финансов Российской Федерации, в соответствии с </w:t>
      </w:r>
      <w:hyperlink r:id="rId16" w:history="1">
        <w:r>
          <w:rPr>
            <w:color w:val="0000FF"/>
          </w:rPr>
          <w:t>подпунктом 5 пункта 2 статьи 242.23</w:t>
        </w:r>
      </w:hyperlink>
      <w:r>
        <w:t xml:space="preserve"> Бюджетного кодекса Российской Федерации;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lastRenderedPageBreak/>
        <w:t>ж) "ресурсная расходная декларация" - документ, порядок формирования и внесения изменений в который устанавливается Министерством финансов Российской Федерации, в котором отражаются значения предельных затрат, экономически обоснованных затрат по государственному контракту и соглашению (договору) о предоставлении субсидии (бюджетных инвестиций), общие значения кассовых затрат (выплат), затрат по данным раздельного учета получателя целевых средств, по всем контрактам (договорам), заключенным в рамках исполнения государственного контракта, соглашения (договора) о предоставлении субсидии (бюджетных инвестиций), в том числе общие значения кассовых затрат (выплат), затрат по данным раздельного учета получателя целевых средств по государственному контракту и соглашению (договору) о предоставлении субсидии (бюджетных инвестиций), произведенных без привлечения иных юридических лиц.</w:t>
      </w:r>
    </w:p>
    <w:p w:rsidR="00FE299F" w:rsidRDefault="00FE299F">
      <w:pPr>
        <w:pStyle w:val="ConsPlusNormal"/>
        <w:spacing w:before="220"/>
        <w:ind w:firstLine="540"/>
        <w:jc w:val="both"/>
      </w:pPr>
      <w:bookmarkStart w:id="3" w:name="P43"/>
      <w:bookmarkEnd w:id="3"/>
      <w:r>
        <w:t>4. Экономическому обоснованию в соответствии с настоящими Правилами подлежат следующие виды затрат по государственным контрактам, соглашениям (договорам) о предоставлении субсидий (бюджетных инвестиций) и контрактам (договорам):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а) заработная плата;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б) налоги, сборы и иные обязательные платежи в бюджеты бюджетной системы Российской Федерации;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в) страховые взносы на обязательное социальное страхование.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5. Правительство Российской Федерации вправе установить дополнительные виды затрат, подлежащие экономическому обоснованию в соответствии с настоящими Правилами, в том числе в целях определения предельного уровня доходности, при исполнении государственного контракта и соглашения (договора) о предоставлении субсидии (бюджетных инвестиций).</w:t>
      </w:r>
    </w:p>
    <w:p w:rsidR="00FE299F" w:rsidRDefault="00FE299F">
      <w:pPr>
        <w:pStyle w:val="ConsPlusNormal"/>
        <w:spacing w:before="220"/>
        <w:ind w:firstLine="540"/>
        <w:jc w:val="both"/>
      </w:pPr>
      <w:bookmarkStart w:id="4" w:name="P48"/>
      <w:bookmarkEnd w:id="4"/>
      <w:r>
        <w:t>6. Предельные затраты определяются: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а) государственным заказчиком по государственному контракту в пределах цены государственного контракта;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б) главным распорядителем бюджетных средств либо в соответствии с принятым им решением заказчиком по контракту (договору), являющемуся получателем субсидии (бюджетных инвестиций), по согласованию с главным распорядителем бюджетных средств - в пределах суммы соглашения (договора) о предоставлении субсидии (бюджетных инвестиций).</w:t>
      </w:r>
    </w:p>
    <w:p w:rsidR="00FE299F" w:rsidRDefault="00FE299F">
      <w:pPr>
        <w:pStyle w:val="ConsPlusNormal"/>
        <w:spacing w:before="220"/>
        <w:ind w:firstLine="540"/>
        <w:jc w:val="both"/>
      </w:pPr>
      <w:bookmarkStart w:id="5" w:name="P51"/>
      <w:bookmarkEnd w:id="5"/>
      <w:r>
        <w:t>7. Территориальный орган Федерального казначейства для определения экономически обоснованных затрат в целом по государственному контракту, соглашению (договору) о предоставлении субсидии (бюджетных инвестиций) при приеме сведений по государственному контракту и соглашению (договору) о предоставлении субсидии (бюджетных инвестиций), а также по каждому контракту (договору) осуществляет проверку на предмет непревышения значений затрат по каждому виду затрат, подлежащих экономическому обоснованию, и общей суммы целевых средств, указанных в сведениях, с учетом значений затрат, включенных во все ранее представленные сведения по государственному контракту, соглашению (договору) о предоставлении субсидии (бюджетных инвестиций) и контрактам (договорам), над значениями соответствующих предельных затрат и цены (суммы) государственного контракта, соглашения (договора) о предоставлении субсидии (бюджетных инвестиций), указанных в ресурсной расходной декларации.</w:t>
      </w:r>
    </w:p>
    <w:p w:rsidR="00FE299F" w:rsidRDefault="00FE299F">
      <w:pPr>
        <w:pStyle w:val="ConsPlusNormal"/>
        <w:spacing w:before="220"/>
        <w:ind w:firstLine="540"/>
        <w:jc w:val="both"/>
      </w:pPr>
      <w:bookmarkStart w:id="6" w:name="P52"/>
      <w:bookmarkEnd w:id="6"/>
      <w:r>
        <w:t xml:space="preserve">В случае если в процессе исполнения государственного контракта, соглашения (договора) о предоставлении субсидии (бюджетных инвестиций) и контракта (договора) возникает необходимость изменения объема выплат по видам подлежащих экономическому обоснованию затрат, указанным в </w:t>
      </w:r>
      <w:hyperlink w:anchor="P43" w:history="1">
        <w:r>
          <w:rPr>
            <w:color w:val="0000FF"/>
          </w:rPr>
          <w:t>пункте 4</w:t>
        </w:r>
      </w:hyperlink>
      <w:r>
        <w:t xml:space="preserve"> настоящих Правил, государственный заказчик, главный распорядитель бюджетных средств, получатель субсидии (бюджетных инвестиций) и исполнитель по </w:t>
      </w:r>
      <w:r>
        <w:lastRenderedPageBreak/>
        <w:t>государственному контракту и контракту (договору), осуществляющий функции заказчика по соответствующему контракту (договору), заключенному им с иным получателем целевых средств (далее - заказчик), вправе внести соответствующие изменения в сведения в пределах цены (суммы) государственного контракта, соглашения (договора) о предоставлении субсидии (бюджетных инвестиций) и контракта (договора).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В случае если изменения, указанные в </w:t>
      </w:r>
      <w:hyperlink w:anchor="P52" w:history="1">
        <w:r>
          <w:rPr>
            <w:color w:val="0000FF"/>
          </w:rPr>
          <w:t>абзаце втором</w:t>
        </w:r>
      </w:hyperlink>
      <w:r>
        <w:t xml:space="preserve"> настоящего пункта, приводят к превышению значений предельных затрат, указанных в </w:t>
      </w:r>
      <w:hyperlink w:anchor="P51" w:history="1">
        <w:r>
          <w:rPr>
            <w:color w:val="0000FF"/>
          </w:rPr>
          <w:t>абзаце первом</w:t>
        </w:r>
      </w:hyperlink>
      <w:r>
        <w:t xml:space="preserve"> настоящего пункта, в территориальный орган Федерального казначейства представляются обоснования таких изменений.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8. Для определения экономически обоснованных затрат при проведении платежа при окончательном расчете по государственному контракту, соглашению (договору) о предоставлении субсидии (бюджетных инвестиций) и контракту (договору), а также при оплате этапа по государственному контракту и соглашению (договору) о предоставлении субсидии (бюджетных инвестиций) (в случае если условиями государственного контракта и соглашения (договора) о предоставлении субсидии (бюджетных инвестиций) предусмотрены этапы его исполнения) затраты по данным раздельного учета получателя целевых средств, отраженные в расходной декларации, проверяются территориальным органом Федерального казначейства с проведением анализа экономического обоснования затрат на соответствие фактическим затратам, а также на соответствие: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а) информации, содержащейся в расходной декларации, данным, отраженным в информационных системах участников казначейского сопровождения - получателей целевых средств, в которых осуществляется ведение бухгалтерского и управленческого учета;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б) данным, отраженным в информационных системах участников казначейского сопровождения - получателей целевых средств, информации, содержащейся в первичных учетных документах;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в) информации, содержащейся в первичных учетных документах, информации, указанной в государственном контракте, соглашении (договоре) о предоставлении субсидии (бюджетных инвестиций) и контракте (договоре).</w:t>
      </w:r>
    </w:p>
    <w:p w:rsidR="00FE299F" w:rsidRDefault="00FE299F">
      <w:pPr>
        <w:pStyle w:val="ConsPlusNormal"/>
        <w:spacing w:before="220"/>
        <w:ind w:firstLine="540"/>
        <w:jc w:val="both"/>
      </w:pPr>
      <w:bookmarkStart w:id="7" w:name="P58"/>
      <w:bookmarkEnd w:id="7"/>
      <w:r>
        <w:t>9. Затраты по государственному контракту и соглашению (договору) о предоставлении субсидии (бюджетных инвестиций) с учетом ранее проведенных окончательных расчетов по всем контрактам (договорам), заключенным в рамках исполнения государственного контракта и соглашения (договора) о предоставлении субсидии (бюджетных инвестиций), не должны превышать предельные затраты, указанные в ресурсной расходной декларации.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10. При казначейском сопровождении с проведением анализа экономического обоснования затрат условия ведения и использования лицевого счета (режим лицевого счета) в дополнение к положениям, определенным порядком расширенного казначейского сопровождения, установленным Правительством Российской Федерации в соответствии с </w:t>
      </w:r>
      <w:hyperlink r:id="rId17" w:history="1">
        <w:r>
          <w:rPr>
            <w:color w:val="0000FF"/>
          </w:rPr>
          <w:t>пунктом 2 статьи 242.24</w:t>
        </w:r>
      </w:hyperlink>
      <w:r>
        <w:t xml:space="preserve"> Бюджетного кодекса Российской Федерации, включают положения: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>а) о санкционировании расходов, источником финансового обеспечения которых являются целевые средства, на основании сведений, полномочия по утверждению которых не подлежат передаче от заказчика;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б) о проведении операций по списанию целевых средств с лицевого счета после осуществления проверок, предусмотренных </w:t>
      </w:r>
      <w:hyperlink w:anchor="P51" w:history="1">
        <w:r>
          <w:rPr>
            <w:color w:val="0000FF"/>
          </w:rPr>
          <w:t>пунктами 7</w:t>
        </w:r>
      </w:hyperlink>
      <w:r>
        <w:t xml:space="preserve"> - </w:t>
      </w:r>
      <w:hyperlink w:anchor="P58" w:history="1">
        <w:r>
          <w:rPr>
            <w:color w:val="0000FF"/>
          </w:rPr>
          <w:t>9</w:t>
        </w:r>
      </w:hyperlink>
      <w:r>
        <w:t xml:space="preserve"> настоящих Правил.</w:t>
      </w:r>
    </w:p>
    <w:p w:rsidR="00FE299F" w:rsidRDefault="00FE299F">
      <w:pPr>
        <w:pStyle w:val="ConsPlusNormal"/>
        <w:spacing w:before="220"/>
        <w:ind w:firstLine="540"/>
        <w:jc w:val="both"/>
      </w:pPr>
      <w:r>
        <w:t xml:space="preserve">11. Экономическое обоснование затрат при исполнении государственных контрактов, соглашений (договоров) о предоставлении субсидий (бюджетных инвестиций) и контрактов (договоров), содержащих сведения, составляющие государственную тайну или относимые к </w:t>
      </w:r>
      <w:r>
        <w:lastRenderedPageBreak/>
        <w:t>охраняемой законодательством Российской Федерации иной информации ограниченного доступа, осуществляется с соблюдением требований, установленных законодательством Российской Федерации о государственной тайне.</w:t>
      </w:r>
    </w:p>
    <w:p w:rsidR="00FE299F" w:rsidRDefault="00FE299F">
      <w:pPr>
        <w:pStyle w:val="ConsPlusNormal"/>
        <w:jc w:val="both"/>
      </w:pPr>
    </w:p>
    <w:p w:rsidR="00FE299F" w:rsidRDefault="00FE299F">
      <w:pPr>
        <w:pStyle w:val="ConsPlusNormal"/>
        <w:jc w:val="both"/>
      </w:pPr>
    </w:p>
    <w:p w:rsidR="00FE299F" w:rsidRDefault="00FE299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8" w:name="_GoBack"/>
      <w:bookmarkEnd w:id="8"/>
    </w:p>
    <w:sectPr w:rsidR="00246B30" w:rsidSect="00F51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9F"/>
    <w:rsid w:val="00246B30"/>
    <w:rsid w:val="00FE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A845E-33EE-413A-8722-CFBFE87E6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29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29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29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B7799B3A5CC5AAB3B8DD9724BD7D0C6042A49E94F55F3FAB23D3A17024F8E465DEE16797DF5CBE6FE743A64BB228C07437E74B0B6FOBB8O" TargetMode="External"/><Relationship Id="rId13" Type="http://schemas.openxmlformats.org/officeDocument/2006/relationships/hyperlink" Target="consultantplus://offline/ref=A6B7799B3A5CC5AAB3B8DD9724BD7D0C6042A49E94F55F3FAB23D3A17024F8E465DEE16498D95BBE6FE743A64BB228C07437E74B0B6FOBB8O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6B7799B3A5CC5AAB3B8DD9724BD7D0C604DAB9794F55F3FAB23D3A17024F8E465DEE1639EDF59BE6FE743A64BB228C07437E74B0B6FOBB8O" TargetMode="External"/><Relationship Id="rId12" Type="http://schemas.openxmlformats.org/officeDocument/2006/relationships/hyperlink" Target="consultantplus://offline/ref=A6B7799B3A5CC5AAB3B8DD9724BD7D0C6042A49E94F55F3FAB23D3A17024F8E465DEE1639FDC5AB139BD53A202E624DF752AF94A156FBA68OEBDO" TargetMode="External"/><Relationship Id="rId17" Type="http://schemas.openxmlformats.org/officeDocument/2006/relationships/hyperlink" Target="consultantplus://offline/ref=A6B7799B3A5CC5AAB3B8DD9724BD7D0C6042A49E94F55F3FAB23D3A17024F8E465DEE16498D95DBE6FE743A64BB228C07437E74B0B6FOBB8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6B7799B3A5CC5AAB3B8DD9724BD7D0C6042A49E94F55F3FAB23D3A17024F8E465DEE16498DB53BE6FE743A64BB228C07437E74B0B6FOBB8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6B7799B3A5CC5AAB3B8DD9724BD7D0C6042A49E94F55F3FAB23D3A17024F8E465DEE16498D952BE6FE743A64BB228C07437E74B0B6FOBB8O" TargetMode="External"/><Relationship Id="rId11" Type="http://schemas.openxmlformats.org/officeDocument/2006/relationships/hyperlink" Target="consultantplus://offline/ref=A6B7799B3A5CC5AAB3B8DD9724BD7D0C6042A49E94F55F3FAB23D3A17024F8E465DEE1639FDC5EB23CBD53A202E624DF752AF94A156FBA68OEBDO" TargetMode="External"/><Relationship Id="rId5" Type="http://schemas.openxmlformats.org/officeDocument/2006/relationships/hyperlink" Target="consultantplus://offline/ref=A6B7799B3A5CC5AAB3B8DD9724BD7D0C6744A39E92F35F3FAB23D3A17024F8E465DEE1639FDF5BB533BD53A202E624DF752AF94A156FBA68OEBDO" TargetMode="External"/><Relationship Id="rId15" Type="http://schemas.openxmlformats.org/officeDocument/2006/relationships/hyperlink" Target="consultantplus://offline/ref=A6B7799B3A5CC5AAB3B8DD9724BD7D0C6042A49E94F55F3FAB23D3A17024F8E465DEE16499DB5ABE6FE743A64BB228C07437E74B0B6FOBB8O" TargetMode="External"/><Relationship Id="rId10" Type="http://schemas.openxmlformats.org/officeDocument/2006/relationships/hyperlink" Target="consultantplus://offline/ref=A6B7799B3A5CC5AAB3B8DD9724BD7D0C6042A49E94F55F3FAB23D3A17024F8E465DEE1639FDC5FB638BD53A202E624DF752AF94A156FBA68OEBDO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6B7799B3A5CC5AAB3B8DD9724BD7D0C6042A49E94F55F3FAB23D3A17024F8E465DEE16797DE5BBE6FE743A64BB228C07437E74B0B6FOBB8O" TargetMode="External"/><Relationship Id="rId14" Type="http://schemas.openxmlformats.org/officeDocument/2006/relationships/hyperlink" Target="consultantplus://offline/ref=A6B7799B3A5CC5AAB3B8DD9724BD7D0C6042A49E94F55F3FAB23D3A17024F8E465DEE16498D952BE6FE743A64BB228C07437E74B0B6FOBB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2286</Words>
  <Characters>13035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2022-03-11T14:01:00Z</dcterms:created>
  <dcterms:modified xsi:type="dcterms:W3CDTF">2022-03-11T14:01:00Z</dcterms:modified>
</cp:coreProperties>
</file>