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AE0" w:rsidRDefault="00A94AE0">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A94AE0" w:rsidRDefault="00A94AE0">
      <w:pPr>
        <w:pStyle w:val="ConsPlusNormal"/>
        <w:jc w:val="both"/>
        <w:outlineLvl w:val="0"/>
      </w:pPr>
    </w:p>
    <w:p w:rsidR="00A94AE0" w:rsidRDefault="00A94AE0">
      <w:pPr>
        <w:pStyle w:val="ConsPlusTitle"/>
        <w:jc w:val="center"/>
        <w:outlineLvl w:val="0"/>
      </w:pPr>
      <w:r>
        <w:t>МИНИСТЕРСТВО СТРОИТЕЛЬСТВА И ЖИЛИЩНО-КОММУНАЛЬНОГО</w:t>
      </w:r>
    </w:p>
    <w:p w:rsidR="00A94AE0" w:rsidRDefault="00A94AE0">
      <w:pPr>
        <w:pStyle w:val="ConsPlusTitle"/>
        <w:jc w:val="center"/>
      </w:pPr>
      <w:r>
        <w:t>ХОЗЯЙСТВА РОССИЙСКОЙ ФЕДЕРАЦИИ</w:t>
      </w:r>
    </w:p>
    <w:p w:rsidR="00A94AE0" w:rsidRDefault="00A94AE0">
      <w:pPr>
        <w:pStyle w:val="ConsPlusTitle"/>
        <w:jc w:val="both"/>
      </w:pPr>
    </w:p>
    <w:p w:rsidR="00A94AE0" w:rsidRDefault="00A94AE0">
      <w:pPr>
        <w:pStyle w:val="ConsPlusTitle"/>
        <w:jc w:val="center"/>
      </w:pPr>
      <w:r>
        <w:t>ПРИКАЗ</w:t>
      </w:r>
    </w:p>
    <w:p w:rsidR="00A94AE0" w:rsidRDefault="00A94AE0">
      <w:pPr>
        <w:pStyle w:val="ConsPlusTitle"/>
        <w:jc w:val="center"/>
      </w:pPr>
      <w:r>
        <w:t>от 26 октября 2022 г. N 904/</w:t>
      </w:r>
      <w:proofErr w:type="spellStart"/>
      <w:r>
        <w:t>пр</w:t>
      </w:r>
      <w:proofErr w:type="spellEnd"/>
    </w:p>
    <w:p w:rsidR="00A94AE0" w:rsidRDefault="00A94AE0">
      <w:pPr>
        <w:pStyle w:val="ConsPlusTitle"/>
        <w:jc w:val="both"/>
      </w:pPr>
    </w:p>
    <w:p w:rsidR="00A94AE0" w:rsidRDefault="00A94AE0">
      <w:pPr>
        <w:pStyle w:val="ConsPlusTitle"/>
        <w:jc w:val="center"/>
      </w:pPr>
      <w:r>
        <w:t>ОБ УТВЕРЖДЕНИИ МЕТОДИКИ</w:t>
      </w:r>
    </w:p>
    <w:p w:rsidR="00A94AE0" w:rsidRDefault="00A94AE0">
      <w:pPr>
        <w:pStyle w:val="ConsPlusTitle"/>
        <w:jc w:val="center"/>
      </w:pPr>
      <w:r>
        <w:t>ОПРЕДЕЛЕНИЯ СМЕТНЫХ ЦЕН СТРОИТЕЛЬНЫХ РЕСУРСОВ</w:t>
      </w:r>
    </w:p>
    <w:p w:rsidR="00A94AE0" w:rsidRDefault="00A94AE0">
      <w:pPr>
        <w:pStyle w:val="ConsPlusNormal"/>
        <w:jc w:val="both"/>
      </w:pPr>
    </w:p>
    <w:p w:rsidR="00A94AE0" w:rsidRDefault="00A94AE0">
      <w:pPr>
        <w:pStyle w:val="ConsPlusNormal"/>
        <w:ind w:firstLine="540"/>
        <w:jc w:val="both"/>
      </w:pPr>
      <w:r>
        <w:t xml:space="preserve">В соответствии с </w:t>
      </w:r>
      <w:hyperlink r:id="rId5">
        <w:r>
          <w:rPr>
            <w:color w:val="0000FF"/>
          </w:rPr>
          <w:t>пунктами 32</w:t>
        </w:r>
      </w:hyperlink>
      <w:r>
        <w:t xml:space="preserve">, </w:t>
      </w:r>
      <w:hyperlink r:id="rId6">
        <w:r>
          <w:rPr>
            <w:color w:val="0000FF"/>
          </w:rPr>
          <w:t>33 статьи 1</w:t>
        </w:r>
      </w:hyperlink>
      <w:r>
        <w:t xml:space="preserve">, </w:t>
      </w:r>
      <w:hyperlink r:id="rId7">
        <w:r>
          <w:rPr>
            <w:color w:val="0000FF"/>
          </w:rPr>
          <w:t>пунктом 7.6 части 1 статьи 6</w:t>
        </w:r>
      </w:hyperlink>
      <w:r>
        <w:t xml:space="preserve">, </w:t>
      </w:r>
      <w:hyperlink r:id="rId8">
        <w:r>
          <w:rPr>
            <w:color w:val="0000FF"/>
          </w:rPr>
          <w:t>части 6 статьи 8.3</w:t>
        </w:r>
      </w:hyperlink>
      <w:r>
        <w:t xml:space="preserve"> Градостроительного кодекса Российской Федерации (Собрание законодательства Российской Федерации, 2005, N 1, ст. 16; 2016, N 27, ст. 4302; 2017, N 31, ст. 4740), </w:t>
      </w:r>
      <w:hyperlink r:id="rId9">
        <w:r>
          <w:rPr>
            <w:color w:val="0000FF"/>
          </w:rPr>
          <w:t>подпунктами 5.4.23(1)</w:t>
        </w:r>
      </w:hyperlink>
      <w:r>
        <w:t xml:space="preserve">, </w:t>
      </w:r>
      <w:hyperlink r:id="rId10">
        <w:r>
          <w:rPr>
            <w:color w:val="0000FF"/>
          </w:rPr>
          <w:t>5.4.23(2) пункта 5</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(Собрание законодательства Российской Федерации, 2013, N 47, ст. 6117; 2016, N 47, ст. 6673), приказываю:</w:t>
      </w:r>
    </w:p>
    <w:p w:rsidR="00A94AE0" w:rsidRDefault="00A94AE0">
      <w:pPr>
        <w:pStyle w:val="ConsPlusNormal"/>
        <w:spacing w:before="220"/>
        <w:ind w:firstLine="540"/>
        <w:jc w:val="both"/>
      </w:pPr>
      <w:r>
        <w:t xml:space="preserve">утвердить прилагаемую </w:t>
      </w:r>
      <w:hyperlink w:anchor="P28">
        <w:r>
          <w:rPr>
            <w:color w:val="0000FF"/>
          </w:rPr>
          <w:t>Методику</w:t>
        </w:r>
      </w:hyperlink>
      <w:r>
        <w:t xml:space="preserve"> определения сметных цен строительных ресурсов.</w:t>
      </w:r>
    </w:p>
    <w:p w:rsidR="00A94AE0" w:rsidRDefault="00A94AE0">
      <w:pPr>
        <w:pStyle w:val="ConsPlusNormal"/>
        <w:jc w:val="both"/>
      </w:pPr>
    </w:p>
    <w:p w:rsidR="00A94AE0" w:rsidRDefault="00A94AE0">
      <w:pPr>
        <w:pStyle w:val="ConsPlusNormal"/>
        <w:jc w:val="right"/>
      </w:pPr>
      <w:r>
        <w:t>Министр</w:t>
      </w:r>
    </w:p>
    <w:p w:rsidR="00A94AE0" w:rsidRDefault="00A94AE0">
      <w:pPr>
        <w:pStyle w:val="ConsPlusNormal"/>
        <w:jc w:val="right"/>
      </w:pPr>
      <w:r>
        <w:t>И.Э.ФАЙЗУЛЛИН</w:t>
      </w:r>
    </w:p>
    <w:p w:rsidR="00A94AE0" w:rsidRDefault="00A94AE0">
      <w:pPr>
        <w:pStyle w:val="ConsPlusNormal"/>
        <w:jc w:val="both"/>
      </w:pPr>
    </w:p>
    <w:p w:rsidR="00A94AE0" w:rsidRDefault="00A94AE0">
      <w:pPr>
        <w:pStyle w:val="ConsPlusNormal"/>
        <w:jc w:val="both"/>
      </w:pPr>
    </w:p>
    <w:p w:rsidR="00A94AE0" w:rsidRDefault="00A94AE0">
      <w:pPr>
        <w:pStyle w:val="ConsPlusNormal"/>
        <w:jc w:val="both"/>
      </w:pPr>
    </w:p>
    <w:p w:rsidR="00A94AE0" w:rsidRDefault="00A94AE0">
      <w:pPr>
        <w:pStyle w:val="ConsPlusNormal"/>
        <w:jc w:val="both"/>
      </w:pPr>
    </w:p>
    <w:p w:rsidR="00A94AE0" w:rsidRDefault="00A94AE0">
      <w:pPr>
        <w:pStyle w:val="ConsPlusNormal"/>
        <w:jc w:val="both"/>
      </w:pPr>
    </w:p>
    <w:p w:rsidR="00A94AE0" w:rsidRDefault="00A94AE0">
      <w:pPr>
        <w:pStyle w:val="ConsPlusNormal"/>
        <w:jc w:val="right"/>
        <w:outlineLvl w:val="0"/>
      </w:pPr>
      <w:r>
        <w:t>Приложение</w:t>
      </w:r>
    </w:p>
    <w:p w:rsidR="00A94AE0" w:rsidRDefault="00A94AE0">
      <w:pPr>
        <w:pStyle w:val="ConsPlusNormal"/>
        <w:jc w:val="both"/>
      </w:pPr>
    </w:p>
    <w:p w:rsidR="00A94AE0" w:rsidRDefault="00A94AE0">
      <w:pPr>
        <w:pStyle w:val="ConsPlusNormal"/>
        <w:jc w:val="right"/>
      </w:pPr>
      <w:r>
        <w:t>Утверждена</w:t>
      </w:r>
    </w:p>
    <w:p w:rsidR="00A94AE0" w:rsidRDefault="00A94AE0">
      <w:pPr>
        <w:pStyle w:val="ConsPlusNormal"/>
        <w:jc w:val="right"/>
      </w:pPr>
      <w:r>
        <w:t>приказом Министерства строительства</w:t>
      </w:r>
    </w:p>
    <w:p w:rsidR="00A94AE0" w:rsidRDefault="00A94AE0">
      <w:pPr>
        <w:pStyle w:val="ConsPlusNormal"/>
        <w:jc w:val="right"/>
      </w:pPr>
      <w:r>
        <w:t>и жилищно-коммунального хозяйства</w:t>
      </w:r>
    </w:p>
    <w:p w:rsidR="00A94AE0" w:rsidRDefault="00A94AE0">
      <w:pPr>
        <w:pStyle w:val="ConsPlusNormal"/>
        <w:jc w:val="right"/>
      </w:pPr>
      <w:r>
        <w:t>Российской Федерации</w:t>
      </w:r>
    </w:p>
    <w:p w:rsidR="00A94AE0" w:rsidRDefault="00A94AE0">
      <w:pPr>
        <w:pStyle w:val="ConsPlusNormal"/>
        <w:jc w:val="right"/>
      </w:pPr>
      <w:r>
        <w:t>от 26 октября 2022 г. N 904/</w:t>
      </w:r>
      <w:proofErr w:type="spellStart"/>
      <w:r>
        <w:t>пр</w:t>
      </w:r>
      <w:proofErr w:type="spellEnd"/>
    </w:p>
    <w:p w:rsidR="00A94AE0" w:rsidRDefault="00A94AE0">
      <w:pPr>
        <w:pStyle w:val="ConsPlusNormal"/>
        <w:jc w:val="both"/>
      </w:pPr>
    </w:p>
    <w:p w:rsidR="00A94AE0" w:rsidRDefault="00A94AE0">
      <w:pPr>
        <w:pStyle w:val="ConsPlusTitle"/>
        <w:jc w:val="center"/>
      </w:pPr>
      <w:bookmarkStart w:id="0" w:name="P28"/>
      <w:bookmarkEnd w:id="0"/>
      <w:r>
        <w:t>МЕТОДИКА</w:t>
      </w:r>
    </w:p>
    <w:p w:rsidR="00A94AE0" w:rsidRDefault="00A94AE0">
      <w:pPr>
        <w:pStyle w:val="ConsPlusTitle"/>
        <w:jc w:val="center"/>
      </w:pPr>
      <w:r>
        <w:t>ОПРЕДЕЛЕНИЯ СМЕТНЫХ ЦЕН СТРОИТЕЛЬНЫХ РЕСУРСОВ</w:t>
      </w:r>
    </w:p>
    <w:p w:rsidR="00A94AE0" w:rsidRDefault="00A94AE0">
      <w:pPr>
        <w:pStyle w:val="ConsPlusNormal"/>
        <w:jc w:val="both"/>
      </w:pPr>
    </w:p>
    <w:p w:rsidR="00A94AE0" w:rsidRDefault="00A94AE0">
      <w:pPr>
        <w:pStyle w:val="ConsPlusTitle"/>
        <w:jc w:val="center"/>
        <w:outlineLvl w:val="1"/>
      </w:pPr>
      <w:r>
        <w:t>I. Общие положения</w:t>
      </w:r>
    </w:p>
    <w:p w:rsidR="00A94AE0" w:rsidRDefault="00A94AE0">
      <w:pPr>
        <w:pStyle w:val="ConsPlusNormal"/>
        <w:jc w:val="both"/>
      </w:pPr>
    </w:p>
    <w:p w:rsidR="00A94AE0" w:rsidRDefault="00A94AE0">
      <w:pPr>
        <w:pStyle w:val="ConsPlusNormal"/>
        <w:ind w:firstLine="540"/>
        <w:jc w:val="both"/>
      </w:pPr>
      <w:r>
        <w:t xml:space="preserve">1. Методика определения сметных цен строительных ресурсов (далее - Методика) устанавливает способы определения сметных цен строительных ресурсов, размещаемых в федеральной государственной информационной системе ценообразования в строительстве, созданной в соответствии с </w:t>
      </w:r>
      <w:hyperlink r:id="rId11">
        <w:r>
          <w:rPr>
            <w:color w:val="0000FF"/>
          </w:rPr>
          <w:t>Положением</w:t>
        </w:r>
      </w:hyperlink>
      <w:r>
        <w:t xml:space="preserve"> о федеральной государственной информационной системе ценообразования в строительстве, утвержденным постановлением Правительства Российской Федерации от 23 сентября 2016 г. N 959 (Собрание законодательства Российской Федерации, 2016, N 40, ст. 5741; 2020, N 48, ст. 7765) (далее - ФГИС ЦС).</w:t>
      </w:r>
    </w:p>
    <w:p w:rsidR="00A94AE0" w:rsidRDefault="00A94AE0">
      <w:pPr>
        <w:pStyle w:val="ConsPlusNormal"/>
        <w:spacing w:before="220"/>
        <w:ind w:firstLine="540"/>
        <w:jc w:val="both"/>
      </w:pPr>
      <w:r>
        <w:t xml:space="preserve">2. Сметные цены строительных ресурсов, к которым относятся сметные цены материалов, изделий, конструкций (далее - материальные ресурсы), сметные цены оборудования, сметные цены на затраты труда работников в строительстве, сметные цены на эксплуатацию машин и механизмов применяются в соответствии со сметными нормативами, сведения о которых </w:t>
      </w:r>
      <w:r>
        <w:lastRenderedPageBreak/>
        <w:t xml:space="preserve">включены в федеральный реестр сметных нормативов, формируемый в соответствии с </w:t>
      </w:r>
      <w:hyperlink r:id="rId12">
        <w:r>
          <w:rPr>
            <w:color w:val="0000FF"/>
          </w:rPr>
          <w:t>Порядком</w:t>
        </w:r>
      </w:hyperlink>
      <w:r>
        <w:t xml:space="preserve"> формирования и ведения федерального реестра сметных нормативов, утвержденным приказом Министерства строительства и жилищно-коммунального хозяйства Российской Федерации от 24 октября 2017 г. N 1470/</w:t>
      </w:r>
      <w:proofErr w:type="spellStart"/>
      <w:r>
        <w:t>пр</w:t>
      </w:r>
      <w:proofErr w:type="spellEnd"/>
      <w:r>
        <w:t xml:space="preserve"> (зарегистрирован Министерством юстиции Российской Федерации 14 мая 2018 г., регистрационный N 51079) (далее - ФРСН), при определении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этапе архитектурно-строительного проектирования, подготовки сметы на снос объекта капитально строительства (далее - строительство) в соответствии с </w:t>
      </w:r>
      <w:hyperlink r:id="rId13">
        <w:r>
          <w:rPr>
            <w:color w:val="0000FF"/>
          </w:rPr>
          <w:t>частью 1 статьи 8.3</w:t>
        </w:r>
      </w:hyperlink>
      <w:r>
        <w:t xml:space="preserve"> Градостроительного кодекса Российской Федерации (Собрание законодательства Российской Федерации, 2005, N 1, ст. 16; 2016, N 27, ст. 4302; 2022, N 18, ст. 3010).</w:t>
      </w:r>
    </w:p>
    <w:p w:rsidR="00A94AE0" w:rsidRDefault="00A94AE0">
      <w:pPr>
        <w:pStyle w:val="ConsPlusNormal"/>
        <w:spacing w:before="220"/>
        <w:ind w:firstLine="540"/>
        <w:jc w:val="both"/>
      </w:pPr>
      <w:r>
        <w:t>3. Сметные цены на затраты труда работников в строительстве и сметные цены на эксплуатацию машин и механизмов определяются в соответствии со сметными нормативами, сведения о которых включены в ФРСН.</w:t>
      </w:r>
    </w:p>
    <w:p w:rsidR="00A94AE0" w:rsidRDefault="00A94AE0">
      <w:pPr>
        <w:pStyle w:val="ConsPlusNormal"/>
        <w:spacing w:before="220"/>
        <w:ind w:firstLine="540"/>
        <w:jc w:val="both"/>
      </w:pPr>
      <w:r>
        <w:t xml:space="preserve">4. Сметные цены материальных ресурсов и оборудования определяются в соответствии с Методикой по номенклатуре классификатора строительных ресурсов, формируемого Министерством строительства и жилищно-коммунального хозяйства Российской Федерации в соответствии с </w:t>
      </w:r>
      <w:hyperlink r:id="rId14">
        <w:r>
          <w:rPr>
            <w:color w:val="0000FF"/>
          </w:rPr>
          <w:t>пунктом 2</w:t>
        </w:r>
      </w:hyperlink>
      <w:r>
        <w:t xml:space="preserve"> Правил мониторинга цен строительных ресурсов, утвержденных постановлением Правительства Российской Федерации от 23 декабря 2016 г. N 1452 (Собрание законодательства Российской Федерации, 2017, N 1, ст. 184; 2021, N 29, ст. 5664) (далее соответственно - КСР, постановление N 1452, Правила мониторинга).</w:t>
      </w:r>
    </w:p>
    <w:p w:rsidR="00A94AE0" w:rsidRDefault="00A94AE0">
      <w:pPr>
        <w:pStyle w:val="ConsPlusNormal"/>
        <w:spacing w:before="220"/>
        <w:ind w:firstLine="540"/>
        <w:jc w:val="both"/>
      </w:pPr>
      <w:r>
        <w:t>5. Сметные цены материальных ресурсов и оборудования определяются в территориальном разрезе по субъектам Российской Федерации, частям территорий субъектов Российской Федерации (далее - ценовые зоны).</w:t>
      </w:r>
    </w:p>
    <w:p w:rsidR="00A94AE0" w:rsidRDefault="00A94AE0">
      <w:pPr>
        <w:pStyle w:val="ConsPlusNormal"/>
        <w:spacing w:before="220"/>
        <w:ind w:firstLine="540"/>
        <w:jc w:val="both"/>
      </w:pPr>
      <w:r>
        <w:t xml:space="preserve">6. Сметные цены материальных ресурсов и оборудования определяются без учета налога на добавленную стоимость (далее - НДС). Рекомендуемый образец таблицы сметных цен материалов, изделий, конструкций и оборудования, применяемых в строительстве, приведен в </w:t>
      </w:r>
      <w:hyperlink w:anchor="P195">
        <w:r>
          <w:rPr>
            <w:color w:val="0000FF"/>
          </w:rPr>
          <w:t>приложении</w:t>
        </w:r>
      </w:hyperlink>
      <w:r>
        <w:t xml:space="preserve"> к Методике.</w:t>
      </w:r>
    </w:p>
    <w:p w:rsidR="00A94AE0" w:rsidRDefault="00A94AE0">
      <w:pPr>
        <w:pStyle w:val="ConsPlusNormal"/>
        <w:spacing w:before="220"/>
        <w:ind w:firstLine="540"/>
        <w:jc w:val="both"/>
      </w:pPr>
      <w:r>
        <w:t>7. Сметные цены материальных ресурсов и оборудования определяются на основании информации об отпускных ценах материальных ресурсов и оборудования, затрат на перевозку материальных ресурсов и оборудования автомобильным транспортом в пределах соответствующей ценовой зоны, заготовительно-складских расходов (при наличии).</w:t>
      </w:r>
    </w:p>
    <w:p w:rsidR="00A94AE0" w:rsidRDefault="00A94AE0">
      <w:pPr>
        <w:pStyle w:val="ConsPlusNormal"/>
        <w:spacing w:before="220"/>
        <w:ind w:firstLine="540"/>
        <w:jc w:val="both"/>
      </w:pPr>
      <w:r>
        <w:t>8. Отпускные цены материальных ресурсов и оборудования определяются в соответствии с Методикой на основании агрегированных отпускных цен материальных ресурсов и оборудования или сводных (средневзвешенных по объемам) отпускных цен (цен реализации) производителей (импортеров) материальных ресурсов и оборудования, размещенных во ФГИС ЦС.</w:t>
      </w:r>
    </w:p>
    <w:p w:rsidR="00A94AE0" w:rsidRDefault="00A94AE0">
      <w:pPr>
        <w:pStyle w:val="ConsPlusNormal"/>
        <w:spacing w:before="220"/>
        <w:ind w:firstLine="540"/>
        <w:jc w:val="both"/>
      </w:pPr>
      <w:r>
        <w:t xml:space="preserve">9. Агрегированные отпускные цены материальных ресурсов и оборудования рассчитываются в соответствии с </w:t>
      </w:r>
      <w:hyperlink w:anchor="P56">
        <w:r>
          <w:rPr>
            <w:color w:val="0000FF"/>
          </w:rPr>
          <w:t>главой III</w:t>
        </w:r>
      </w:hyperlink>
      <w:r>
        <w:t xml:space="preserve"> Методики на принятую единицу измерения на основании отпускных цен (цен реализации) производителей (импортеров) таких материальных ресурсов и оборудования на территории ценовой зоны, а также цен предложений поставщиков соответствующих материальных ресурсов и оборудования, предлагаемых к реализации на территории соответствующей ценовой зоны.</w:t>
      </w:r>
    </w:p>
    <w:p w:rsidR="00A94AE0" w:rsidRDefault="00A94AE0">
      <w:pPr>
        <w:pStyle w:val="ConsPlusNormal"/>
        <w:spacing w:before="220"/>
        <w:ind w:firstLine="540"/>
        <w:jc w:val="both"/>
      </w:pPr>
      <w:r>
        <w:t xml:space="preserve">10. Сметные цены материальных ресурсов и оборудования, определенные Министерством строительства и жилищно-коммунального хозяйства Российской Федерации в соответствии с </w:t>
      </w:r>
      <w:hyperlink r:id="rId15">
        <w:r>
          <w:rPr>
            <w:color w:val="0000FF"/>
          </w:rPr>
          <w:t>подпунктом "а" пункта 3(1)</w:t>
        </w:r>
      </w:hyperlink>
      <w:r>
        <w:t xml:space="preserve"> постановления N 1452 (Собрание законодательства Российской Федерации, 2017, N 1, ст. 184; 2019, N 21, ст. 2566; 2022, N 16, ст. 2705), размещаются в ФГИС ЦС государственным учреждением, подведомственным Министерству строительства и жилищно-</w:t>
      </w:r>
      <w:r>
        <w:lastRenderedPageBreak/>
        <w:t>коммунального хозяйства Российской Федерации и уполномоченным на создание, развитие и эксплуатацию ФГИС ЦС (далее - Учреждение).</w:t>
      </w:r>
    </w:p>
    <w:p w:rsidR="00A94AE0" w:rsidRDefault="00A94AE0">
      <w:pPr>
        <w:pStyle w:val="ConsPlusNormal"/>
        <w:jc w:val="both"/>
      </w:pPr>
    </w:p>
    <w:p w:rsidR="00A94AE0" w:rsidRDefault="00A94AE0">
      <w:pPr>
        <w:pStyle w:val="ConsPlusTitle"/>
        <w:jc w:val="center"/>
        <w:outlineLvl w:val="1"/>
      </w:pPr>
      <w:r>
        <w:t>II. Определение отпускных цен (цен реализации)</w:t>
      </w:r>
    </w:p>
    <w:p w:rsidR="00A94AE0" w:rsidRDefault="00A94AE0">
      <w:pPr>
        <w:pStyle w:val="ConsPlusTitle"/>
        <w:jc w:val="center"/>
      </w:pPr>
      <w:r>
        <w:t>производителей (импортеров) и цен предложений поставщиков</w:t>
      </w:r>
    </w:p>
    <w:p w:rsidR="00A94AE0" w:rsidRDefault="00A94AE0">
      <w:pPr>
        <w:pStyle w:val="ConsPlusTitle"/>
        <w:jc w:val="center"/>
      </w:pPr>
      <w:r>
        <w:t>материальных ресурсов и оборудования</w:t>
      </w:r>
    </w:p>
    <w:p w:rsidR="00A94AE0" w:rsidRDefault="00A94AE0">
      <w:pPr>
        <w:pStyle w:val="ConsPlusNormal"/>
        <w:jc w:val="both"/>
      </w:pPr>
    </w:p>
    <w:p w:rsidR="00A94AE0" w:rsidRDefault="00A94AE0">
      <w:pPr>
        <w:pStyle w:val="ConsPlusNormal"/>
        <w:ind w:firstLine="540"/>
        <w:jc w:val="both"/>
      </w:pPr>
      <w:r>
        <w:t>11. Отпускные цены (цены реализации) производителей материальных ресурсов и оборудования отечественного производства (произведенных на территории Российской Федерации) включают в себя стоимость тары, упаковки и реквизита (при наличии), стоимость комплекта запасных частей на гарантийный срок эксплуатации (для оборудования) (при наличии), затраты на погрузку материальных ресурсов и оборудования на транспортные средства у склада производителя на территории соответствующей ценовой зоны.</w:t>
      </w:r>
    </w:p>
    <w:p w:rsidR="00A94AE0" w:rsidRDefault="00A94AE0">
      <w:pPr>
        <w:pStyle w:val="ConsPlusNormal"/>
        <w:spacing w:before="220"/>
        <w:ind w:firstLine="540"/>
        <w:jc w:val="both"/>
      </w:pPr>
      <w:r>
        <w:t>12. Цены предложений поставщиков материальных ресурсов и оборудования, представленные в соответствующей ценовой зоне, включают затраты на транспортировку до склада поставщика, необходимые для их реализации на территории такой ценовой зоны, затраты снабженческих организаций, затраты на погрузку материальных ресурсов и оборудования на транспортные средства у склада поставщика на территории соответствующей ценовой зоны.</w:t>
      </w:r>
    </w:p>
    <w:p w:rsidR="00A94AE0" w:rsidRDefault="00A94AE0">
      <w:pPr>
        <w:pStyle w:val="ConsPlusNormal"/>
        <w:spacing w:before="220"/>
        <w:ind w:firstLine="540"/>
        <w:jc w:val="both"/>
      </w:pPr>
      <w:r>
        <w:t>13. Отпускные цены (цены реализации) импортеров материальных ресурсов и оборудования иностранного производства (ввезенных на территорию Российской Федерации) или цены предложений поставщиков материальных ресурсов и оборудования иностранного производства (ввезенных на территорию Российской Федерации) включают в себя стоимость тары, упаковки и реквизита (при наличии), стоимость комплекта запасных частей на гарантийный срок эксплуатации (для оборудования) (при наличии), затраты на погрузочно-разгрузочные работы, доставку материальных ресурсов и оборудования до склада импортера или поставщика и погрузку на транспортные средства на складе импортера или поставщика, находящегося на территории соответствующей ценовой зоны, затраты снабженческих организаций, а также затраты на уплату пошлин, налогов и сборов, другие таможенные расходы.</w:t>
      </w:r>
    </w:p>
    <w:p w:rsidR="00A94AE0" w:rsidRDefault="00A94AE0">
      <w:pPr>
        <w:pStyle w:val="ConsPlusNormal"/>
        <w:spacing w:before="220"/>
        <w:ind w:firstLine="540"/>
        <w:jc w:val="both"/>
      </w:pPr>
      <w:r>
        <w:t xml:space="preserve">14. Отпускные цены (цены реализации) производителей (импортеров) материальных ресурсов и </w:t>
      </w:r>
      <w:proofErr w:type="gramStart"/>
      <w:r>
        <w:t>оборудования</w:t>
      </w:r>
      <w:proofErr w:type="gramEnd"/>
      <w:r>
        <w:t xml:space="preserve"> и цены предложений поставщиков материальных ресурсов и оборудования определяются без учета НДС.</w:t>
      </w:r>
    </w:p>
    <w:p w:rsidR="00A94AE0" w:rsidRDefault="00A94AE0">
      <w:pPr>
        <w:pStyle w:val="ConsPlusNormal"/>
        <w:spacing w:before="220"/>
        <w:ind w:firstLine="540"/>
        <w:jc w:val="both"/>
      </w:pPr>
      <w:r>
        <w:t xml:space="preserve">15. В случае, если в отчетном периоде производителем (импортером) или поставщиком не предоставлена информация об отпускных ценах (ценах реализации) или ценах предложений материальных ресурсов и оборудования, для определения агрегированных отпускных цен и расчета сметных цен материальных ресурсов и оборудования принимаются последние отпускные цены (цены реализации) или цены предложений таких материальных ресурсов и оборудования, представленные этим производителем (импортером) или поставщиком за предыдущие отчетные периоды, но не более года назад, если такие цены удовлетворяют условиям, указанным в </w:t>
      </w:r>
      <w:hyperlink w:anchor="P158">
        <w:r>
          <w:rPr>
            <w:color w:val="0000FF"/>
          </w:rPr>
          <w:t>главе V</w:t>
        </w:r>
      </w:hyperlink>
      <w:r>
        <w:t xml:space="preserve"> Методики. Годовой индекс пересчета, определяемый в соответствии с данными прогноза социально-экономического развития Российской Федерации на среднесрочный период, публикуемый Министерством экономического развития Российской Федерации в информационно-телекоммуникационной сети "Интернет" &lt;1&gt;, по строке "Инвестиции в основной капитал", к такой отпускной цене не применяется.</w:t>
      </w:r>
    </w:p>
    <w:p w:rsidR="00A94AE0" w:rsidRDefault="00A94AE0">
      <w:pPr>
        <w:pStyle w:val="ConsPlusNormal"/>
        <w:spacing w:before="220"/>
        <w:ind w:firstLine="540"/>
        <w:jc w:val="both"/>
      </w:pPr>
      <w:r>
        <w:t>--------------------------------</w:t>
      </w:r>
    </w:p>
    <w:p w:rsidR="00A94AE0" w:rsidRDefault="00A94AE0">
      <w:pPr>
        <w:pStyle w:val="ConsPlusNormal"/>
        <w:spacing w:before="220"/>
        <w:ind w:firstLine="540"/>
        <w:jc w:val="both"/>
      </w:pPr>
      <w:r>
        <w:t xml:space="preserve">&lt;1&gt; </w:t>
      </w:r>
      <w:hyperlink r:id="rId16">
        <w:r>
          <w:rPr>
            <w:color w:val="0000FF"/>
          </w:rPr>
          <w:t>Пункт 54</w:t>
        </w:r>
      </w:hyperlink>
      <w:r>
        <w:t xml:space="preserve"> Правил разработки, корректировки, осуществления мониторинга и контроля реализации прогноза социально-экономического развития Российской Федерации на среднесрочный период, утвержденных постановлением Правительства Российской Федерации от 14 ноября 2015 г. N 1234 (Собрание законодательства Российской Федерации, 2015, N 47, ст. 6598).</w:t>
      </w:r>
    </w:p>
    <w:p w:rsidR="00A94AE0" w:rsidRDefault="00A94AE0">
      <w:pPr>
        <w:pStyle w:val="ConsPlusNormal"/>
        <w:jc w:val="both"/>
      </w:pPr>
    </w:p>
    <w:p w:rsidR="00A94AE0" w:rsidRDefault="00A94AE0">
      <w:pPr>
        <w:pStyle w:val="ConsPlusTitle"/>
        <w:jc w:val="center"/>
        <w:outlineLvl w:val="1"/>
      </w:pPr>
      <w:bookmarkStart w:id="1" w:name="P56"/>
      <w:bookmarkEnd w:id="1"/>
      <w:r>
        <w:lastRenderedPageBreak/>
        <w:t>III. Расчет агрегированных отпускных цен материальных</w:t>
      </w:r>
    </w:p>
    <w:p w:rsidR="00A94AE0" w:rsidRDefault="00A94AE0">
      <w:pPr>
        <w:pStyle w:val="ConsPlusTitle"/>
        <w:jc w:val="center"/>
      </w:pPr>
      <w:r>
        <w:t>ресурсов и оборудования</w:t>
      </w:r>
    </w:p>
    <w:p w:rsidR="00A94AE0" w:rsidRDefault="00A94AE0">
      <w:pPr>
        <w:pStyle w:val="ConsPlusNormal"/>
        <w:jc w:val="both"/>
      </w:pPr>
    </w:p>
    <w:p w:rsidR="00A94AE0" w:rsidRDefault="00A94AE0">
      <w:pPr>
        <w:pStyle w:val="ConsPlusNormal"/>
        <w:ind w:firstLine="540"/>
        <w:jc w:val="both"/>
      </w:pPr>
      <w:r>
        <w:t xml:space="preserve">16. Расчет агрегированных отпускных цен материальных ресурсов и оборудования осуществляется с учетом информации об отпускных ценах (ценах реализации) производителей (импортеров) материальных ресурсов и оборудования и объемах реализации, предоставляемой в Учреждение, в соответствии с </w:t>
      </w:r>
      <w:hyperlink r:id="rId17">
        <w:r>
          <w:rPr>
            <w:color w:val="0000FF"/>
          </w:rPr>
          <w:t>пунктом 3</w:t>
        </w:r>
      </w:hyperlink>
      <w:r>
        <w:t xml:space="preserve"> Правил мониторинга (Собрание законодательства Российской Федерации, 2017, N 1, ст. 184; 2021, N 29, ст. 5664) и размещаемой в ФГИС ЦС производителями (импортерами) таких материальных ресурсов и оборудования или сведениях о ценах предложений, размещаемых в ФГИС ЦС поставщиками соответствующих материальных ресурсов и оборудования, включенными в Перечень юридических лиц и индивидуальных предпринимателей, предоставляющих информацию, необходимую для определения сметных цен строительных ресурсов (далее - перечень юридических лиц) &lt;2&gt;, в соответствии с формами предоставления информации, предусмотренными </w:t>
      </w:r>
      <w:hyperlink r:id="rId18">
        <w:r>
          <w:rPr>
            <w:color w:val="0000FF"/>
          </w:rPr>
          <w:t>пунктом 24</w:t>
        </w:r>
      </w:hyperlink>
      <w:r>
        <w:t xml:space="preserve"> Правил мониторинга (Собрание законодательства Российской Федерации, 2017, N 1, ст. 184; 2018, N 19, ст. 2738), удовлетворяющие условиям, указанным в </w:t>
      </w:r>
      <w:hyperlink w:anchor="P158">
        <w:r>
          <w:rPr>
            <w:color w:val="0000FF"/>
          </w:rPr>
          <w:t>главе V</w:t>
        </w:r>
      </w:hyperlink>
      <w:r>
        <w:t xml:space="preserve"> Методики.</w:t>
      </w:r>
    </w:p>
    <w:p w:rsidR="00A94AE0" w:rsidRDefault="00A94AE0">
      <w:pPr>
        <w:pStyle w:val="ConsPlusNormal"/>
        <w:spacing w:before="220"/>
        <w:ind w:firstLine="540"/>
        <w:jc w:val="both"/>
      </w:pPr>
      <w:r>
        <w:t>--------------------------------</w:t>
      </w:r>
    </w:p>
    <w:p w:rsidR="00A94AE0" w:rsidRDefault="00A94AE0">
      <w:pPr>
        <w:pStyle w:val="ConsPlusNormal"/>
        <w:spacing w:before="220"/>
        <w:ind w:firstLine="540"/>
        <w:jc w:val="both"/>
      </w:pPr>
      <w:r>
        <w:t xml:space="preserve">&lt;2&gt; </w:t>
      </w:r>
      <w:hyperlink r:id="rId19">
        <w:r>
          <w:rPr>
            <w:color w:val="0000FF"/>
          </w:rPr>
          <w:t>Пункт 10</w:t>
        </w:r>
      </w:hyperlink>
      <w:r>
        <w:t xml:space="preserve"> Правил мониторинга (Собрание законодательства Российской Федерации, 2017, N 1, ст. 184; 2021, N 29, ст. 5664).</w:t>
      </w:r>
    </w:p>
    <w:p w:rsidR="00A94AE0" w:rsidRDefault="00A94AE0">
      <w:pPr>
        <w:pStyle w:val="ConsPlusNormal"/>
        <w:jc w:val="both"/>
      </w:pPr>
    </w:p>
    <w:p w:rsidR="00A94AE0" w:rsidRDefault="00A94AE0">
      <w:pPr>
        <w:pStyle w:val="ConsPlusNormal"/>
        <w:ind w:firstLine="540"/>
        <w:jc w:val="both"/>
      </w:pPr>
      <w:r>
        <w:t>Агрегированная отпускная цена материальных ресурсов и оборудования (</w:t>
      </w:r>
      <w:proofErr w:type="spellStart"/>
      <w:r>
        <w:t>ОЦ</w:t>
      </w:r>
      <w:r>
        <w:rPr>
          <w:vertAlign w:val="subscript"/>
        </w:rPr>
        <w:t>а</w:t>
      </w:r>
      <w:proofErr w:type="spellEnd"/>
      <w:r>
        <w:t>) рассчитывается как величина, взвешенная с учетом количества источников информации об отпускных ценах (ценах реализации) производителей (импортеров) и ценах предложений поставщиков материальных ресурсов и оборудования по формуле (1):</w:t>
      </w:r>
    </w:p>
    <w:p w:rsidR="00A94AE0" w:rsidRDefault="00A94AE0">
      <w:pPr>
        <w:pStyle w:val="ConsPlusNormal"/>
        <w:jc w:val="both"/>
      </w:pPr>
    </w:p>
    <w:p w:rsidR="00A94AE0" w:rsidRDefault="00A94AE0">
      <w:pPr>
        <w:pStyle w:val="ConsPlusNormal"/>
        <w:jc w:val="center"/>
      </w:pPr>
      <w:r>
        <w:rPr>
          <w:noProof/>
          <w:position w:val="-25"/>
        </w:rPr>
        <w:drawing>
          <wp:inline distT="0" distB="0" distL="0" distR="0">
            <wp:extent cx="2975610" cy="4610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75610" cy="461010"/>
                    </a:xfrm>
                    <a:prstGeom prst="rect">
                      <a:avLst/>
                    </a:prstGeom>
                    <a:noFill/>
                    <a:ln>
                      <a:noFill/>
                    </a:ln>
                  </pic:spPr>
                </pic:pic>
              </a:graphicData>
            </a:graphic>
          </wp:inline>
        </w:drawing>
      </w:r>
    </w:p>
    <w:p w:rsidR="00A94AE0" w:rsidRDefault="00A94AE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8333"/>
      </w:tblGrid>
      <w:tr w:rsidR="00A94AE0">
        <w:tc>
          <w:tcPr>
            <w:tcW w:w="737" w:type="dxa"/>
            <w:tcBorders>
              <w:top w:val="nil"/>
              <w:left w:val="nil"/>
              <w:bottom w:val="nil"/>
              <w:right w:val="nil"/>
            </w:tcBorders>
          </w:tcPr>
          <w:p w:rsidR="00A94AE0" w:rsidRDefault="00A94AE0">
            <w:pPr>
              <w:pStyle w:val="ConsPlusNormal"/>
              <w:jc w:val="both"/>
            </w:pPr>
            <w:r>
              <w:t>где:</w:t>
            </w:r>
          </w:p>
        </w:tc>
        <w:tc>
          <w:tcPr>
            <w:tcW w:w="8333" w:type="dxa"/>
            <w:tcBorders>
              <w:top w:val="nil"/>
              <w:left w:val="nil"/>
              <w:bottom w:val="nil"/>
              <w:right w:val="nil"/>
            </w:tcBorders>
          </w:tcPr>
          <w:p w:rsidR="00A94AE0" w:rsidRDefault="00A94AE0">
            <w:pPr>
              <w:pStyle w:val="ConsPlusNormal"/>
            </w:pPr>
          </w:p>
        </w:tc>
      </w:tr>
      <w:tr w:rsidR="00A94AE0">
        <w:tc>
          <w:tcPr>
            <w:tcW w:w="737" w:type="dxa"/>
            <w:tcBorders>
              <w:top w:val="nil"/>
              <w:left w:val="nil"/>
              <w:bottom w:val="nil"/>
              <w:right w:val="nil"/>
            </w:tcBorders>
          </w:tcPr>
          <w:p w:rsidR="00A94AE0" w:rsidRDefault="00A94AE0">
            <w:pPr>
              <w:pStyle w:val="ConsPlusNormal"/>
              <w:jc w:val="both"/>
            </w:pPr>
            <w:r>
              <w:t>n</w:t>
            </w:r>
          </w:p>
        </w:tc>
        <w:tc>
          <w:tcPr>
            <w:tcW w:w="8333" w:type="dxa"/>
            <w:tcBorders>
              <w:top w:val="nil"/>
              <w:left w:val="nil"/>
              <w:bottom w:val="nil"/>
              <w:right w:val="nil"/>
            </w:tcBorders>
          </w:tcPr>
          <w:p w:rsidR="00A94AE0" w:rsidRDefault="00A94AE0">
            <w:pPr>
              <w:pStyle w:val="ConsPlusNormal"/>
              <w:jc w:val="both"/>
            </w:pPr>
            <w:r>
              <w:t xml:space="preserve">- количество отпускных цен (цен реализации) производителей (импортеров) материальных ресурсов и оборудования, принятое для расчета, удовлетворяющее условиям, указанным в </w:t>
            </w:r>
            <w:hyperlink w:anchor="P158">
              <w:r>
                <w:rPr>
                  <w:color w:val="0000FF"/>
                </w:rPr>
                <w:t>главе V</w:t>
              </w:r>
            </w:hyperlink>
            <w:r>
              <w:t xml:space="preserve"> Методики;</w:t>
            </w:r>
          </w:p>
        </w:tc>
      </w:tr>
      <w:tr w:rsidR="00A94AE0">
        <w:tc>
          <w:tcPr>
            <w:tcW w:w="737" w:type="dxa"/>
            <w:tcBorders>
              <w:top w:val="nil"/>
              <w:left w:val="nil"/>
              <w:bottom w:val="nil"/>
              <w:right w:val="nil"/>
            </w:tcBorders>
          </w:tcPr>
          <w:p w:rsidR="00A94AE0" w:rsidRDefault="00A94AE0">
            <w:pPr>
              <w:pStyle w:val="ConsPlusNormal"/>
              <w:jc w:val="both"/>
            </w:pPr>
            <w:r>
              <w:t>m</w:t>
            </w:r>
          </w:p>
        </w:tc>
        <w:tc>
          <w:tcPr>
            <w:tcW w:w="8333" w:type="dxa"/>
            <w:tcBorders>
              <w:top w:val="nil"/>
              <w:left w:val="nil"/>
              <w:bottom w:val="nil"/>
              <w:right w:val="nil"/>
            </w:tcBorders>
          </w:tcPr>
          <w:p w:rsidR="00A94AE0" w:rsidRDefault="00A94AE0">
            <w:pPr>
              <w:pStyle w:val="ConsPlusNormal"/>
              <w:jc w:val="both"/>
            </w:pPr>
            <w:r>
              <w:t xml:space="preserve">- количество цен предложений поставщиков материальных ресурсов и оборудования, принятое для расчета, удовлетворяющее условиям, указанным в </w:t>
            </w:r>
            <w:hyperlink w:anchor="P158">
              <w:r>
                <w:rPr>
                  <w:color w:val="0000FF"/>
                </w:rPr>
                <w:t>главе V</w:t>
              </w:r>
            </w:hyperlink>
            <w:r>
              <w:t xml:space="preserve"> Методики;</w:t>
            </w:r>
          </w:p>
        </w:tc>
      </w:tr>
      <w:tr w:rsidR="00A94AE0">
        <w:tc>
          <w:tcPr>
            <w:tcW w:w="737" w:type="dxa"/>
            <w:tcBorders>
              <w:top w:val="nil"/>
              <w:left w:val="nil"/>
              <w:bottom w:val="nil"/>
              <w:right w:val="nil"/>
            </w:tcBorders>
          </w:tcPr>
          <w:p w:rsidR="00A94AE0" w:rsidRDefault="00A94AE0">
            <w:pPr>
              <w:pStyle w:val="ConsPlusNormal"/>
              <w:jc w:val="both"/>
            </w:pPr>
            <w:proofErr w:type="spellStart"/>
            <w:r>
              <w:t>Х</w:t>
            </w:r>
            <w:r>
              <w:rPr>
                <w:vertAlign w:val="subscript"/>
              </w:rPr>
              <w:t>сцпр</w:t>
            </w:r>
            <w:proofErr w:type="spellEnd"/>
          </w:p>
        </w:tc>
        <w:tc>
          <w:tcPr>
            <w:tcW w:w="8333" w:type="dxa"/>
            <w:tcBorders>
              <w:top w:val="nil"/>
              <w:left w:val="nil"/>
              <w:bottom w:val="nil"/>
              <w:right w:val="nil"/>
            </w:tcBorders>
          </w:tcPr>
          <w:p w:rsidR="00A94AE0" w:rsidRDefault="00A94AE0">
            <w:pPr>
              <w:pStyle w:val="ConsPlusNormal"/>
              <w:jc w:val="both"/>
            </w:pPr>
            <w:r>
              <w:t xml:space="preserve">- сводная (средневзвешенная по объемам) отпускная цена (цена реализации) производителей (импортеров) материальных ресурсов и оборудования, рассчитанная по </w:t>
            </w:r>
            <w:hyperlink w:anchor="P107">
              <w:r>
                <w:rPr>
                  <w:color w:val="0000FF"/>
                </w:rPr>
                <w:t>формуле (4)</w:t>
              </w:r>
            </w:hyperlink>
            <w:r>
              <w:t xml:space="preserve"> пункта 17 Методики, рублей;</w:t>
            </w:r>
          </w:p>
        </w:tc>
      </w:tr>
      <w:tr w:rsidR="00A94AE0">
        <w:tc>
          <w:tcPr>
            <w:tcW w:w="737" w:type="dxa"/>
            <w:tcBorders>
              <w:top w:val="nil"/>
              <w:left w:val="nil"/>
              <w:bottom w:val="nil"/>
              <w:right w:val="nil"/>
            </w:tcBorders>
          </w:tcPr>
          <w:p w:rsidR="00A94AE0" w:rsidRDefault="00A94AE0">
            <w:pPr>
              <w:pStyle w:val="ConsPlusNormal"/>
              <w:jc w:val="both"/>
            </w:pPr>
            <w:proofErr w:type="spellStart"/>
            <w:r>
              <w:t>Х</w:t>
            </w:r>
            <w:r>
              <w:rPr>
                <w:vertAlign w:val="subscript"/>
              </w:rPr>
              <w:t>сцп</w:t>
            </w:r>
            <w:proofErr w:type="spellEnd"/>
          </w:p>
        </w:tc>
        <w:tc>
          <w:tcPr>
            <w:tcW w:w="8333" w:type="dxa"/>
            <w:tcBorders>
              <w:top w:val="nil"/>
              <w:left w:val="nil"/>
              <w:bottom w:val="nil"/>
              <w:right w:val="nil"/>
            </w:tcBorders>
          </w:tcPr>
          <w:p w:rsidR="00A94AE0" w:rsidRDefault="00A94AE0">
            <w:pPr>
              <w:pStyle w:val="ConsPlusNormal"/>
              <w:jc w:val="both"/>
            </w:pPr>
            <w:r>
              <w:t xml:space="preserve">- сводная (среднеарифметическая) цена предложений поставщиков материальных ресурсов и оборудования, рассчитанная по </w:t>
            </w:r>
            <w:hyperlink w:anchor="P120">
              <w:r>
                <w:rPr>
                  <w:color w:val="0000FF"/>
                </w:rPr>
                <w:t>формуле (5)</w:t>
              </w:r>
            </w:hyperlink>
            <w:r>
              <w:t xml:space="preserve"> пункта 18 Методики, рублей.</w:t>
            </w:r>
          </w:p>
        </w:tc>
      </w:tr>
    </w:tbl>
    <w:p w:rsidR="00A94AE0" w:rsidRDefault="00A94AE0">
      <w:pPr>
        <w:pStyle w:val="ConsPlusNormal"/>
        <w:jc w:val="both"/>
      </w:pPr>
    </w:p>
    <w:p w:rsidR="00A94AE0" w:rsidRDefault="00A94AE0">
      <w:pPr>
        <w:pStyle w:val="ConsPlusNormal"/>
        <w:ind w:firstLine="540"/>
        <w:jc w:val="both"/>
      </w:pPr>
      <w:r>
        <w:t>При отсутствии в ценовой зоне производителей (импортеров) материальных ресурсов и оборудования, включенных в перечень юридических лиц (n = 0), их агрегированная отпускная цена определяется как среднеарифметическое значение цен предложений, представленных в ФГИС ЦС поставщиками таких материальных ресурсов и оборудования.</w:t>
      </w:r>
    </w:p>
    <w:p w:rsidR="00A94AE0" w:rsidRDefault="00A94AE0">
      <w:pPr>
        <w:pStyle w:val="ConsPlusNormal"/>
        <w:spacing w:before="220"/>
        <w:ind w:firstLine="540"/>
        <w:jc w:val="both"/>
      </w:pPr>
      <w:r>
        <w:t xml:space="preserve">В случае, если количество производителей (импортеров) материальных ресурсов и оборудования, представивших в ФГИС ЦС информацию о таких отпускных ценах (ценах реализации), больше количества поставщиков, представивших в ФГИС ЦС информацию о ценах </w:t>
      </w:r>
      <w:r>
        <w:lastRenderedPageBreak/>
        <w:t>предложений таких материальных ресурсов и оборудования (</w:t>
      </w:r>
      <w:proofErr w:type="gramStart"/>
      <w:r>
        <w:t>n &gt;</w:t>
      </w:r>
      <w:proofErr w:type="gramEnd"/>
      <w:r>
        <w:t xml:space="preserve"> m), агрегированная отпускная цена материальных ресурсов и оборудования (</w:t>
      </w:r>
      <w:proofErr w:type="spellStart"/>
      <w:r>
        <w:t>ОЦ</w:t>
      </w:r>
      <w:r>
        <w:rPr>
          <w:vertAlign w:val="subscript"/>
        </w:rPr>
        <w:t>а</w:t>
      </w:r>
      <w:proofErr w:type="spellEnd"/>
      <w:r>
        <w:t>) определяется по формуле (2):</w:t>
      </w:r>
    </w:p>
    <w:p w:rsidR="00A94AE0" w:rsidRDefault="00A94AE0">
      <w:pPr>
        <w:pStyle w:val="ConsPlusNormal"/>
        <w:jc w:val="both"/>
      </w:pPr>
    </w:p>
    <w:p w:rsidR="00A94AE0" w:rsidRDefault="00A94AE0">
      <w:pPr>
        <w:pStyle w:val="ConsPlusNormal"/>
        <w:jc w:val="center"/>
      </w:pPr>
      <w:r>
        <w:rPr>
          <w:noProof/>
          <w:position w:val="-22"/>
        </w:rPr>
        <w:drawing>
          <wp:inline distT="0" distB="0" distL="0" distR="0">
            <wp:extent cx="254635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6350" cy="429895"/>
                    </a:xfrm>
                    <a:prstGeom prst="rect">
                      <a:avLst/>
                    </a:prstGeom>
                    <a:noFill/>
                    <a:ln>
                      <a:noFill/>
                    </a:ln>
                  </pic:spPr>
                </pic:pic>
              </a:graphicData>
            </a:graphic>
          </wp:inline>
        </w:drawing>
      </w:r>
    </w:p>
    <w:p w:rsidR="00A94AE0" w:rsidRDefault="00A94AE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8333"/>
      </w:tblGrid>
      <w:tr w:rsidR="00A94AE0">
        <w:tc>
          <w:tcPr>
            <w:tcW w:w="737" w:type="dxa"/>
            <w:tcBorders>
              <w:top w:val="nil"/>
              <w:left w:val="nil"/>
              <w:bottom w:val="nil"/>
              <w:right w:val="nil"/>
            </w:tcBorders>
          </w:tcPr>
          <w:p w:rsidR="00A94AE0" w:rsidRDefault="00A94AE0">
            <w:pPr>
              <w:pStyle w:val="ConsPlusNormal"/>
            </w:pPr>
            <w:r>
              <w:t>где:</w:t>
            </w:r>
          </w:p>
        </w:tc>
        <w:tc>
          <w:tcPr>
            <w:tcW w:w="8333" w:type="dxa"/>
            <w:tcBorders>
              <w:top w:val="nil"/>
              <w:left w:val="nil"/>
              <w:bottom w:val="nil"/>
              <w:right w:val="nil"/>
            </w:tcBorders>
          </w:tcPr>
          <w:p w:rsidR="00A94AE0" w:rsidRDefault="00A94AE0">
            <w:pPr>
              <w:pStyle w:val="ConsPlusNormal"/>
            </w:pPr>
          </w:p>
        </w:tc>
      </w:tr>
      <w:tr w:rsidR="00A94AE0">
        <w:tc>
          <w:tcPr>
            <w:tcW w:w="737" w:type="dxa"/>
            <w:tcBorders>
              <w:top w:val="nil"/>
              <w:left w:val="nil"/>
              <w:bottom w:val="nil"/>
              <w:right w:val="nil"/>
            </w:tcBorders>
          </w:tcPr>
          <w:p w:rsidR="00A94AE0" w:rsidRDefault="00A94AE0">
            <w:pPr>
              <w:pStyle w:val="ConsPlusNormal"/>
              <w:jc w:val="both"/>
            </w:pPr>
            <w:r>
              <w:t>n</w:t>
            </w:r>
          </w:p>
        </w:tc>
        <w:tc>
          <w:tcPr>
            <w:tcW w:w="8333" w:type="dxa"/>
            <w:tcBorders>
              <w:top w:val="nil"/>
              <w:left w:val="nil"/>
              <w:bottom w:val="nil"/>
              <w:right w:val="nil"/>
            </w:tcBorders>
          </w:tcPr>
          <w:p w:rsidR="00A94AE0" w:rsidRDefault="00A94AE0">
            <w:pPr>
              <w:pStyle w:val="ConsPlusNormal"/>
              <w:jc w:val="both"/>
            </w:pPr>
            <w:r>
              <w:t xml:space="preserve">- количество отпускных цен (цен реализации) производителей (импортеров) материальных ресурсов и оборудования, принятое для расчета, удовлетворяющее условиям, указанным в </w:t>
            </w:r>
            <w:hyperlink w:anchor="P158">
              <w:r>
                <w:rPr>
                  <w:color w:val="0000FF"/>
                </w:rPr>
                <w:t>главе V</w:t>
              </w:r>
            </w:hyperlink>
            <w:r>
              <w:t xml:space="preserve"> Методики;</w:t>
            </w:r>
          </w:p>
        </w:tc>
      </w:tr>
      <w:tr w:rsidR="00A94AE0">
        <w:tc>
          <w:tcPr>
            <w:tcW w:w="737" w:type="dxa"/>
            <w:tcBorders>
              <w:top w:val="nil"/>
              <w:left w:val="nil"/>
              <w:bottom w:val="nil"/>
              <w:right w:val="nil"/>
            </w:tcBorders>
          </w:tcPr>
          <w:p w:rsidR="00A94AE0" w:rsidRDefault="00A94AE0">
            <w:pPr>
              <w:pStyle w:val="ConsPlusNormal"/>
              <w:jc w:val="both"/>
            </w:pPr>
            <w:r>
              <w:t>m</w:t>
            </w:r>
          </w:p>
        </w:tc>
        <w:tc>
          <w:tcPr>
            <w:tcW w:w="8333" w:type="dxa"/>
            <w:tcBorders>
              <w:top w:val="nil"/>
              <w:left w:val="nil"/>
              <w:bottom w:val="nil"/>
              <w:right w:val="nil"/>
            </w:tcBorders>
          </w:tcPr>
          <w:p w:rsidR="00A94AE0" w:rsidRDefault="00A94AE0">
            <w:pPr>
              <w:pStyle w:val="ConsPlusNormal"/>
              <w:jc w:val="both"/>
            </w:pPr>
            <w:r>
              <w:t xml:space="preserve">- количество цен предложений поставщиков материальных ресурсов и оборудования, принятое для расчета, удовлетворяющее условиям, указанным в </w:t>
            </w:r>
            <w:hyperlink w:anchor="P158">
              <w:r>
                <w:rPr>
                  <w:color w:val="0000FF"/>
                </w:rPr>
                <w:t>главе V</w:t>
              </w:r>
            </w:hyperlink>
            <w:r>
              <w:t xml:space="preserve"> Методики;</w:t>
            </w:r>
          </w:p>
        </w:tc>
      </w:tr>
      <w:tr w:rsidR="00A94AE0">
        <w:tc>
          <w:tcPr>
            <w:tcW w:w="737" w:type="dxa"/>
            <w:tcBorders>
              <w:top w:val="nil"/>
              <w:left w:val="nil"/>
              <w:bottom w:val="nil"/>
              <w:right w:val="nil"/>
            </w:tcBorders>
          </w:tcPr>
          <w:p w:rsidR="00A94AE0" w:rsidRDefault="00A94AE0">
            <w:pPr>
              <w:pStyle w:val="ConsPlusNormal"/>
              <w:jc w:val="both"/>
            </w:pPr>
            <w:proofErr w:type="spellStart"/>
            <w:r>
              <w:t>Х</w:t>
            </w:r>
            <w:r>
              <w:rPr>
                <w:vertAlign w:val="subscript"/>
              </w:rPr>
              <w:t>сцпр</w:t>
            </w:r>
            <w:proofErr w:type="spellEnd"/>
          </w:p>
        </w:tc>
        <w:tc>
          <w:tcPr>
            <w:tcW w:w="8333" w:type="dxa"/>
            <w:tcBorders>
              <w:top w:val="nil"/>
              <w:left w:val="nil"/>
              <w:bottom w:val="nil"/>
              <w:right w:val="nil"/>
            </w:tcBorders>
          </w:tcPr>
          <w:p w:rsidR="00A94AE0" w:rsidRDefault="00A94AE0">
            <w:pPr>
              <w:pStyle w:val="ConsPlusNormal"/>
              <w:jc w:val="both"/>
            </w:pPr>
            <w:r>
              <w:t xml:space="preserve">- сводная (средневзвешенная по объемам) отпускная цена (цена реализации) производителей (импортеров) материальных ресурсов и оборудования, рассчитанная по </w:t>
            </w:r>
            <w:hyperlink w:anchor="P107">
              <w:r>
                <w:rPr>
                  <w:color w:val="0000FF"/>
                </w:rPr>
                <w:t>формуле (4)</w:t>
              </w:r>
            </w:hyperlink>
            <w:r>
              <w:t xml:space="preserve"> пункта 17 Методики, рублей;</w:t>
            </w:r>
          </w:p>
        </w:tc>
      </w:tr>
      <w:tr w:rsidR="00A94AE0">
        <w:tc>
          <w:tcPr>
            <w:tcW w:w="737" w:type="dxa"/>
            <w:tcBorders>
              <w:top w:val="nil"/>
              <w:left w:val="nil"/>
              <w:bottom w:val="nil"/>
              <w:right w:val="nil"/>
            </w:tcBorders>
          </w:tcPr>
          <w:p w:rsidR="00A94AE0" w:rsidRDefault="00A94AE0">
            <w:pPr>
              <w:pStyle w:val="ConsPlusNormal"/>
              <w:jc w:val="both"/>
            </w:pPr>
            <w:proofErr w:type="spellStart"/>
            <w:r>
              <w:t>Х</w:t>
            </w:r>
            <w:r>
              <w:rPr>
                <w:vertAlign w:val="subscript"/>
              </w:rPr>
              <w:t>сцп</w:t>
            </w:r>
            <w:proofErr w:type="spellEnd"/>
          </w:p>
        </w:tc>
        <w:tc>
          <w:tcPr>
            <w:tcW w:w="8333" w:type="dxa"/>
            <w:tcBorders>
              <w:top w:val="nil"/>
              <w:left w:val="nil"/>
              <w:bottom w:val="nil"/>
              <w:right w:val="nil"/>
            </w:tcBorders>
          </w:tcPr>
          <w:p w:rsidR="00A94AE0" w:rsidRDefault="00A94AE0">
            <w:pPr>
              <w:pStyle w:val="ConsPlusNormal"/>
              <w:jc w:val="both"/>
            </w:pPr>
            <w:r>
              <w:t xml:space="preserve">- сводная (среднеарифметическая) цена предложений поставщиков материальных ресурсов и оборудования, рассчитанная по </w:t>
            </w:r>
            <w:hyperlink w:anchor="P120">
              <w:r>
                <w:rPr>
                  <w:color w:val="0000FF"/>
                </w:rPr>
                <w:t>формуле (5)</w:t>
              </w:r>
            </w:hyperlink>
            <w:r>
              <w:t xml:space="preserve"> пункта 18 Методики, рублей.</w:t>
            </w:r>
          </w:p>
        </w:tc>
      </w:tr>
    </w:tbl>
    <w:p w:rsidR="00A94AE0" w:rsidRDefault="00A94AE0">
      <w:pPr>
        <w:pStyle w:val="ConsPlusNormal"/>
        <w:jc w:val="both"/>
      </w:pPr>
    </w:p>
    <w:p w:rsidR="00A94AE0" w:rsidRDefault="00A94AE0">
      <w:pPr>
        <w:pStyle w:val="ConsPlusNormal"/>
        <w:ind w:firstLine="540"/>
        <w:jc w:val="both"/>
      </w:pPr>
      <w:r>
        <w:t>В случае, если количество производителей (импортеров), представивших в ФГИС ЦС информацию об отпускных ценах (ценах реализации) материальных ресурсов и оборудования, меньше либо равно количеству поставщиков, представивших в ФГИС ЦС информацию о ценах предложений таких материальных ресурсов и оборудования (n &lt;= m), агрегированная отпускная цена материальных ресурсов и оборудования (</w:t>
      </w:r>
      <w:proofErr w:type="spellStart"/>
      <w:r>
        <w:t>ОЦ</w:t>
      </w:r>
      <w:r>
        <w:rPr>
          <w:vertAlign w:val="subscript"/>
        </w:rPr>
        <w:t>а</w:t>
      </w:r>
      <w:proofErr w:type="spellEnd"/>
      <w:r>
        <w:t>) рассчитывается по формуле (3):</w:t>
      </w:r>
    </w:p>
    <w:p w:rsidR="00A94AE0" w:rsidRDefault="00A94AE0">
      <w:pPr>
        <w:pStyle w:val="ConsPlusNormal"/>
        <w:jc w:val="both"/>
      </w:pPr>
    </w:p>
    <w:p w:rsidR="00A94AE0" w:rsidRDefault="00A94AE0">
      <w:pPr>
        <w:pStyle w:val="ConsPlusNormal"/>
        <w:jc w:val="center"/>
      </w:pPr>
      <w:r>
        <w:rPr>
          <w:noProof/>
          <w:position w:val="-22"/>
        </w:rPr>
        <w:drawing>
          <wp:inline distT="0" distB="0" distL="0" distR="0">
            <wp:extent cx="2001520" cy="42989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01520" cy="429895"/>
                    </a:xfrm>
                    <a:prstGeom prst="rect">
                      <a:avLst/>
                    </a:prstGeom>
                    <a:noFill/>
                    <a:ln>
                      <a:noFill/>
                    </a:ln>
                  </pic:spPr>
                </pic:pic>
              </a:graphicData>
            </a:graphic>
          </wp:inline>
        </w:drawing>
      </w:r>
    </w:p>
    <w:p w:rsidR="00A94AE0" w:rsidRDefault="00A94AE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8333"/>
      </w:tblGrid>
      <w:tr w:rsidR="00A94AE0">
        <w:tc>
          <w:tcPr>
            <w:tcW w:w="737" w:type="dxa"/>
            <w:tcBorders>
              <w:top w:val="nil"/>
              <w:left w:val="nil"/>
              <w:bottom w:val="nil"/>
              <w:right w:val="nil"/>
            </w:tcBorders>
          </w:tcPr>
          <w:p w:rsidR="00A94AE0" w:rsidRDefault="00A94AE0">
            <w:pPr>
              <w:pStyle w:val="ConsPlusNormal"/>
              <w:jc w:val="both"/>
            </w:pPr>
            <w:r>
              <w:t>где:</w:t>
            </w:r>
          </w:p>
        </w:tc>
        <w:tc>
          <w:tcPr>
            <w:tcW w:w="8333" w:type="dxa"/>
            <w:tcBorders>
              <w:top w:val="nil"/>
              <w:left w:val="nil"/>
              <w:bottom w:val="nil"/>
              <w:right w:val="nil"/>
            </w:tcBorders>
          </w:tcPr>
          <w:p w:rsidR="00A94AE0" w:rsidRDefault="00A94AE0">
            <w:pPr>
              <w:pStyle w:val="ConsPlusNormal"/>
            </w:pPr>
          </w:p>
        </w:tc>
      </w:tr>
      <w:tr w:rsidR="00A94AE0">
        <w:tc>
          <w:tcPr>
            <w:tcW w:w="737" w:type="dxa"/>
            <w:tcBorders>
              <w:top w:val="nil"/>
              <w:left w:val="nil"/>
              <w:bottom w:val="nil"/>
              <w:right w:val="nil"/>
            </w:tcBorders>
          </w:tcPr>
          <w:p w:rsidR="00A94AE0" w:rsidRDefault="00A94AE0">
            <w:pPr>
              <w:pStyle w:val="ConsPlusNormal"/>
              <w:jc w:val="both"/>
            </w:pPr>
            <w:proofErr w:type="spellStart"/>
            <w:r>
              <w:t>Х</w:t>
            </w:r>
            <w:r>
              <w:rPr>
                <w:vertAlign w:val="subscript"/>
              </w:rPr>
              <w:t>сцпр</w:t>
            </w:r>
            <w:proofErr w:type="spellEnd"/>
          </w:p>
        </w:tc>
        <w:tc>
          <w:tcPr>
            <w:tcW w:w="8333" w:type="dxa"/>
            <w:tcBorders>
              <w:top w:val="nil"/>
              <w:left w:val="nil"/>
              <w:bottom w:val="nil"/>
              <w:right w:val="nil"/>
            </w:tcBorders>
          </w:tcPr>
          <w:p w:rsidR="00A94AE0" w:rsidRDefault="00A94AE0">
            <w:pPr>
              <w:pStyle w:val="ConsPlusNormal"/>
              <w:jc w:val="both"/>
            </w:pPr>
            <w:r>
              <w:t xml:space="preserve">- сводная (средневзвешенная по объемам) отпускная цена (цена реализации) производителей (импортеров) материальных ресурсов и оборудования, рассчитанная по </w:t>
            </w:r>
            <w:hyperlink w:anchor="P107">
              <w:r>
                <w:rPr>
                  <w:color w:val="0000FF"/>
                </w:rPr>
                <w:t>формуле (4)</w:t>
              </w:r>
            </w:hyperlink>
            <w:r>
              <w:t xml:space="preserve"> пункта 18 Методики, рублей;</w:t>
            </w:r>
          </w:p>
        </w:tc>
      </w:tr>
      <w:tr w:rsidR="00A94AE0">
        <w:tc>
          <w:tcPr>
            <w:tcW w:w="737" w:type="dxa"/>
            <w:tcBorders>
              <w:top w:val="nil"/>
              <w:left w:val="nil"/>
              <w:bottom w:val="nil"/>
              <w:right w:val="nil"/>
            </w:tcBorders>
          </w:tcPr>
          <w:p w:rsidR="00A94AE0" w:rsidRDefault="00A94AE0">
            <w:pPr>
              <w:pStyle w:val="ConsPlusNormal"/>
              <w:jc w:val="both"/>
            </w:pPr>
            <w:proofErr w:type="spellStart"/>
            <w:r>
              <w:t>Х</w:t>
            </w:r>
            <w:r>
              <w:rPr>
                <w:vertAlign w:val="subscript"/>
              </w:rPr>
              <w:t>сцп</w:t>
            </w:r>
            <w:proofErr w:type="spellEnd"/>
          </w:p>
        </w:tc>
        <w:tc>
          <w:tcPr>
            <w:tcW w:w="8333" w:type="dxa"/>
            <w:tcBorders>
              <w:top w:val="nil"/>
              <w:left w:val="nil"/>
              <w:bottom w:val="nil"/>
              <w:right w:val="nil"/>
            </w:tcBorders>
          </w:tcPr>
          <w:p w:rsidR="00A94AE0" w:rsidRDefault="00A94AE0">
            <w:pPr>
              <w:pStyle w:val="ConsPlusNormal"/>
              <w:jc w:val="both"/>
            </w:pPr>
            <w:r>
              <w:t xml:space="preserve">- сводная (среднеарифметическая) цена предложений поставщиков материальных ресурсов и оборудования, рассчитанная по </w:t>
            </w:r>
            <w:hyperlink w:anchor="P120">
              <w:r>
                <w:rPr>
                  <w:color w:val="0000FF"/>
                </w:rPr>
                <w:t>формуле (5)</w:t>
              </w:r>
            </w:hyperlink>
            <w:r>
              <w:t xml:space="preserve"> пункта 19 Методики, рублей.</w:t>
            </w:r>
          </w:p>
        </w:tc>
      </w:tr>
    </w:tbl>
    <w:p w:rsidR="00A94AE0" w:rsidRDefault="00A94AE0">
      <w:pPr>
        <w:pStyle w:val="ConsPlusNormal"/>
        <w:jc w:val="both"/>
      </w:pPr>
    </w:p>
    <w:p w:rsidR="00A94AE0" w:rsidRDefault="00A94AE0">
      <w:pPr>
        <w:pStyle w:val="ConsPlusNormal"/>
        <w:ind w:firstLine="540"/>
        <w:jc w:val="both"/>
      </w:pPr>
      <w:r>
        <w:t>17. Сводные (средневзвешенные по объемам) отпускные цены (цены реализации) производителей (импортеров) материальных ресурсов и оборудования рассчитываются как средневзвешенные по объему реализации показатели отпускных цен (цен реализации), представленных в ФГИС ЦС производителями (импортерами) таких материальных ресурсов и оборудования, по формуле (4):</w:t>
      </w:r>
    </w:p>
    <w:p w:rsidR="00A94AE0" w:rsidRDefault="00A94AE0">
      <w:pPr>
        <w:pStyle w:val="ConsPlusNormal"/>
        <w:jc w:val="both"/>
      </w:pPr>
    </w:p>
    <w:p w:rsidR="00A94AE0" w:rsidRDefault="00A94AE0">
      <w:pPr>
        <w:pStyle w:val="ConsPlusNormal"/>
        <w:jc w:val="center"/>
      </w:pPr>
      <w:bookmarkStart w:id="2" w:name="P107"/>
      <w:bookmarkEnd w:id="2"/>
      <w:r>
        <w:rPr>
          <w:noProof/>
          <w:position w:val="-26"/>
        </w:rPr>
        <w:drawing>
          <wp:inline distT="0" distB="0" distL="0" distR="0">
            <wp:extent cx="3175000" cy="471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75000" cy="471805"/>
                    </a:xfrm>
                    <a:prstGeom prst="rect">
                      <a:avLst/>
                    </a:prstGeom>
                    <a:noFill/>
                    <a:ln>
                      <a:noFill/>
                    </a:ln>
                  </pic:spPr>
                </pic:pic>
              </a:graphicData>
            </a:graphic>
          </wp:inline>
        </w:drawing>
      </w:r>
    </w:p>
    <w:p w:rsidR="00A94AE0" w:rsidRDefault="00A94AE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8333"/>
      </w:tblGrid>
      <w:tr w:rsidR="00A94AE0">
        <w:tc>
          <w:tcPr>
            <w:tcW w:w="737" w:type="dxa"/>
            <w:tcBorders>
              <w:top w:val="nil"/>
              <w:left w:val="nil"/>
              <w:bottom w:val="nil"/>
              <w:right w:val="nil"/>
            </w:tcBorders>
          </w:tcPr>
          <w:p w:rsidR="00A94AE0" w:rsidRDefault="00A94AE0">
            <w:pPr>
              <w:pStyle w:val="ConsPlusNormal"/>
              <w:jc w:val="both"/>
            </w:pPr>
            <w:r>
              <w:t>где:</w:t>
            </w:r>
          </w:p>
        </w:tc>
        <w:tc>
          <w:tcPr>
            <w:tcW w:w="8333" w:type="dxa"/>
            <w:tcBorders>
              <w:top w:val="nil"/>
              <w:left w:val="nil"/>
              <w:bottom w:val="nil"/>
              <w:right w:val="nil"/>
            </w:tcBorders>
          </w:tcPr>
          <w:p w:rsidR="00A94AE0" w:rsidRDefault="00A94AE0">
            <w:pPr>
              <w:pStyle w:val="ConsPlusNormal"/>
            </w:pPr>
          </w:p>
        </w:tc>
      </w:tr>
      <w:tr w:rsidR="00A94AE0">
        <w:tc>
          <w:tcPr>
            <w:tcW w:w="737" w:type="dxa"/>
            <w:tcBorders>
              <w:top w:val="nil"/>
              <w:left w:val="nil"/>
              <w:bottom w:val="nil"/>
              <w:right w:val="nil"/>
            </w:tcBorders>
          </w:tcPr>
          <w:p w:rsidR="00A94AE0" w:rsidRDefault="00A94AE0">
            <w:pPr>
              <w:pStyle w:val="ConsPlusNormal"/>
              <w:jc w:val="both"/>
            </w:pPr>
            <w:proofErr w:type="spellStart"/>
            <w:r>
              <w:lastRenderedPageBreak/>
              <w:t>Х</w:t>
            </w:r>
            <w:r>
              <w:rPr>
                <w:vertAlign w:val="subscript"/>
              </w:rPr>
              <w:t>сцпр</w:t>
            </w:r>
            <w:proofErr w:type="spellEnd"/>
          </w:p>
        </w:tc>
        <w:tc>
          <w:tcPr>
            <w:tcW w:w="8333" w:type="dxa"/>
            <w:tcBorders>
              <w:top w:val="nil"/>
              <w:left w:val="nil"/>
              <w:bottom w:val="nil"/>
              <w:right w:val="nil"/>
            </w:tcBorders>
          </w:tcPr>
          <w:p w:rsidR="00A94AE0" w:rsidRDefault="00A94AE0">
            <w:pPr>
              <w:pStyle w:val="ConsPlusNormal"/>
              <w:jc w:val="both"/>
            </w:pPr>
            <w:r>
              <w:t>- сводная (средневзвешенная по объемам) отпускная цена (цена реализации) производителей (импортеров) материального ресурса и оборудования, рублей;</w:t>
            </w:r>
          </w:p>
        </w:tc>
      </w:tr>
      <w:tr w:rsidR="00A94AE0">
        <w:tc>
          <w:tcPr>
            <w:tcW w:w="737" w:type="dxa"/>
            <w:tcBorders>
              <w:top w:val="nil"/>
              <w:left w:val="nil"/>
              <w:bottom w:val="nil"/>
              <w:right w:val="nil"/>
            </w:tcBorders>
          </w:tcPr>
          <w:p w:rsidR="00A94AE0" w:rsidRDefault="00A94AE0">
            <w:pPr>
              <w:pStyle w:val="ConsPlusNormal"/>
              <w:jc w:val="both"/>
            </w:pPr>
            <w:r>
              <w:t>x</w:t>
            </w:r>
            <w:r>
              <w:rPr>
                <w:vertAlign w:val="subscript"/>
              </w:rPr>
              <w:t>1</w:t>
            </w:r>
            <w:r>
              <w:t>; x</w:t>
            </w:r>
            <w:r>
              <w:rPr>
                <w:vertAlign w:val="subscript"/>
              </w:rPr>
              <w:t>2</w:t>
            </w:r>
            <w:r>
              <w:t xml:space="preserve">; </w:t>
            </w:r>
            <w:proofErr w:type="spellStart"/>
            <w:r>
              <w:t>x</w:t>
            </w:r>
            <w:r>
              <w:rPr>
                <w:vertAlign w:val="subscript"/>
              </w:rPr>
              <w:t>n</w:t>
            </w:r>
            <w:proofErr w:type="spellEnd"/>
          </w:p>
        </w:tc>
        <w:tc>
          <w:tcPr>
            <w:tcW w:w="8333" w:type="dxa"/>
            <w:tcBorders>
              <w:top w:val="nil"/>
              <w:left w:val="nil"/>
              <w:bottom w:val="nil"/>
              <w:right w:val="nil"/>
            </w:tcBorders>
          </w:tcPr>
          <w:p w:rsidR="00A94AE0" w:rsidRDefault="00A94AE0">
            <w:pPr>
              <w:pStyle w:val="ConsPlusNormal"/>
              <w:jc w:val="both"/>
            </w:pPr>
            <w:r>
              <w:t xml:space="preserve">- отпускные цены (цены реализации), представленные 1, 2 ... n производителями (импортерами) материальных ресурсов и оборудования за отчетный период (предоставление информации осуществляется по окончании отчетного периода), удовлетворяющие условиям, указанным в </w:t>
            </w:r>
            <w:hyperlink w:anchor="P158">
              <w:r>
                <w:rPr>
                  <w:color w:val="0000FF"/>
                </w:rPr>
                <w:t>главе V</w:t>
              </w:r>
            </w:hyperlink>
            <w:r>
              <w:t xml:space="preserve"> Методики, рублей;</w:t>
            </w:r>
          </w:p>
        </w:tc>
      </w:tr>
      <w:tr w:rsidR="00A94AE0">
        <w:tc>
          <w:tcPr>
            <w:tcW w:w="737" w:type="dxa"/>
            <w:tcBorders>
              <w:top w:val="nil"/>
              <w:left w:val="nil"/>
              <w:bottom w:val="nil"/>
              <w:right w:val="nil"/>
            </w:tcBorders>
          </w:tcPr>
          <w:p w:rsidR="00A94AE0" w:rsidRDefault="00A94AE0">
            <w:pPr>
              <w:pStyle w:val="ConsPlusNormal"/>
              <w:jc w:val="both"/>
            </w:pPr>
            <w:r>
              <w:t>v</w:t>
            </w:r>
            <w:r>
              <w:rPr>
                <w:vertAlign w:val="subscript"/>
              </w:rPr>
              <w:t>1</w:t>
            </w:r>
            <w:r>
              <w:t>; v</w:t>
            </w:r>
            <w:r>
              <w:rPr>
                <w:vertAlign w:val="subscript"/>
              </w:rPr>
              <w:t>2</w:t>
            </w:r>
            <w:r>
              <w:t xml:space="preserve">; </w:t>
            </w:r>
            <w:proofErr w:type="spellStart"/>
            <w:r>
              <w:t>v</w:t>
            </w:r>
            <w:r>
              <w:rPr>
                <w:vertAlign w:val="subscript"/>
              </w:rPr>
              <w:t>n</w:t>
            </w:r>
            <w:proofErr w:type="spellEnd"/>
          </w:p>
        </w:tc>
        <w:tc>
          <w:tcPr>
            <w:tcW w:w="8333" w:type="dxa"/>
            <w:tcBorders>
              <w:top w:val="nil"/>
              <w:left w:val="nil"/>
              <w:bottom w:val="nil"/>
              <w:right w:val="nil"/>
            </w:tcBorders>
          </w:tcPr>
          <w:p w:rsidR="00A94AE0" w:rsidRDefault="00A94AE0">
            <w:pPr>
              <w:pStyle w:val="ConsPlusNormal"/>
              <w:jc w:val="both"/>
            </w:pPr>
            <w:r>
              <w:t>- объем реализации производителей (импортеров) материальных ресурсов и оборудования за отчетный период (предоставление информации осуществляется по окончании отчетного периода) в натуральном выражении, единиц.</w:t>
            </w:r>
          </w:p>
        </w:tc>
      </w:tr>
    </w:tbl>
    <w:p w:rsidR="00A94AE0" w:rsidRDefault="00A94AE0">
      <w:pPr>
        <w:pStyle w:val="ConsPlusNormal"/>
        <w:jc w:val="both"/>
      </w:pPr>
    </w:p>
    <w:p w:rsidR="00A94AE0" w:rsidRDefault="00A94AE0">
      <w:pPr>
        <w:pStyle w:val="ConsPlusNormal"/>
        <w:ind w:firstLine="540"/>
        <w:jc w:val="both"/>
      </w:pPr>
      <w:r>
        <w:t>18. Сводные (среднеарифметические) цены предложений поставщиков материальных ресурсов и оборудования рассчитываются как среднее арифметическое значение показателей цен предложений, представленных в ФГИС ЦС поставщиками таких материальных ресурсов и оборудования, и определяются по формуле (5):</w:t>
      </w:r>
    </w:p>
    <w:p w:rsidR="00A94AE0" w:rsidRDefault="00A94AE0">
      <w:pPr>
        <w:pStyle w:val="ConsPlusNormal"/>
        <w:jc w:val="both"/>
      </w:pPr>
    </w:p>
    <w:p w:rsidR="00A94AE0" w:rsidRDefault="00A94AE0">
      <w:pPr>
        <w:pStyle w:val="ConsPlusNormal"/>
        <w:jc w:val="center"/>
      </w:pPr>
      <w:bookmarkStart w:id="3" w:name="P120"/>
      <w:bookmarkEnd w:id="3"/>
      <w:r>
        <w:rPr>
          <w:noProof/>
          <w:position w:val="-22"/>
        </w:rPr>
        <w:drawing>
          <wp:inline distT="0" distB="0" distL="0" distR="0">
            <wp:extent cx="1885950" cy="42989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85950" cy="429895"/>
                    </a:xfrm>
                    <a:prstGeom prst="rect">
                      <a:avLst/>
                    </a:prstGeom>
                    <a:noFill/>
                    <a:ln>
                      <a:noFill/>
                    </a:ln>
                  </pic:spPr>
                </pic:pic>
              </a:graphicData>
            </a:graphic>
          </wp:inline>
        </w:drawing>
      </w:r>
    </w:p>
    <w:p w:rsidR="00A94AE0" w:rsidRDefault="00A94AE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8333"/>
      </w:tblGrid>
      <w:tr w:rsidR="00A94AE0">
        <w:tc>
          <w:tcPr>
            <w:tcW w:w="737" w:type="dxa"/>
            <w:tcBorders>
              <w:top w:val="nil"/>
              <w:left w:val="nil"/>
              <w:bottom w:val="nil"/>
              <w:right w:val="nil"/>
            </w:tcBorders>
          </w:tcPr>
          <w:p w:rsidR="00A94AE0" w:rsidRDefault="00A94AE0">
            <w:pPr>
              <w:pStyle w:val="ConsPlusNormal"/>
              <w:jc w:val="both"/>
            </w:pPr>
            <w:r>
              <w:t>где:</w:t>
            </w:r>
          </w:p>
        </w:tc>
        <w:tc>
          <w:tcPr>
            <w:tcW w:w="8333" w:type="dxa"/>
            <w:tcBorders>
              <w:top w:val="nil"/>
              <w:left w:val="nil"/>
              <w:bottom w:val="nil"/>
              <w:right w:val="nil"/>
            </w:tcBorders>
          </w:tcPr>
          <w:p w:rsidR="00A94AE0" w:rsidRDefault="00A94AE0">
            <w:pPr>
              <w:pStyle w:val="ConsPlusNormal"/>
            </w:pPr>
          </w:p>
        </w:tc>
      </w:tr>
      <w:tr w:rsidR="00A94AE0">
        <w:tc>
          <w:tcPr>
            <w:tcW w:w="737" w:type="dxa"/>
            <w:tcBorders>
              <w:top w:val="nil"/>
              <w:left w:val="nil"/>
              <w:bottom w:val="nil"/>
              <w:right w:val="nil"/>
            </w:tcBorders>
          </w:tcPr>
          <w:p w:rsidR="00A94AE0" w:rsidRDefault="00A94AE0">
            <w:pPr>
              <w:pStyle w:val="ConsPlusNormal"/>
              <w:jc w:val="both"/>
            </w:pPr>
            <w:proofErr w:type="spellStart"/>
            <w:r>
              <w:t>Х</w:t>
            </w:r>
            <w:r>
              <w:rPr>
                <w:vertAlign w:val="subscript"/>
              </w:rPr>
              <w:t>сцп</w:t>
            </w:r>
            <w:proofErr w:type="spellEnd"/>
          </w:p>
        </w:tc>
        <w:tc>
          <w:tcPr>
            <w:tcW w:w="8333" w:type="dxa"/>
            <w:tcBorders>
              <w:top w:val="nil"/>
              <w:left w:val="nil"/>
              <w:bottom w:val="nil"/>
              <w:right w:val="nil"/>
            </w:tcBorders>
          </w:tcPr>
          <w:p w:rsidR="00A94AE0" w:rsidRDefault="00A94AE0">
            <w:pPr>
              <w:pStyle w:val="ConsPlusNormal"/>
              <w:jc w:val="both"/>
            </w:pPr>
            <w:r>
              <w:t>- сводная (среднеарифметическая) цена предложений поставщиков материальных ресурсов и оборудования, рублей;</w:t>
            </w:r>
          </w:p>
        </w:tc>
      </w:tr>
      <w:tr w:rsidR="00A94AE0">
        <w:tc>
          <w:tcPr>
            <w:tcW w:w="737" w:type="dxa"/>
            <w:tcBorders>
              <w:top w:val="nil"/>
              <w:left w:val="nil"/>
              <w:bottom w:val="nil"/>
              <w:right w:val="nil"/>
            </w:tcBorders>
          </w:tcPr>
          <w:p w:rsidR="00A94AE0" w:rsidRDefault="00A94AE0">
            <w:pPr>
              <w:pStyle w:val="ConsPlusNormal"/>
              <w:jc w:val="both"/>
            </w:pPr>
            <w:r>
              <w:t>x</w:t>
            </w:r>
            <w:r>
              <w:rPr>
                <w:vertAlign w:val="subscript"/>
              </w:rPr>
              <w:t>1</w:t>
            </w:r>
            <w:r>
              <w:t>; x</w:t>
            </w:r>
            <w:r>
              <w:rPr>
                <w:vertAlign w:val="subscript"/>
              </w:rPr>
              <w:t>2</w:t>
            </w:r>
            <w:r>
              <w:t xml:space="preserve">; </w:t>
            </w:r>
            <w:proofErr w:type="spellStart"/>
            <w:r>
              <w:t>x</w:t>
            </w:r>
            <w:r>
              <w:rPr>
                <w:vertAlign w:val="subscript"/>
              </w:rPr>
              <w:t>m</w:t>
            </w:r>
            <w:proofErr w:type="spellEnd"/>
          </w:p>
        </w:tc>
        <w:tc>
          <w:tcPr>
            <w:tcW w:w="8333" w:type="dxa"/>
            <w:tcBorders>
              <w:top w:val="nil"/>
              <w:left w:val="nil"/>
              <w:bottom w:val="nil"/>
              <w:right w:val="nil"/>
            </w:tcBorders>
          </w:tcPr>
          <w:p w:rsidR="00A94AE0" w:rsidRDefault="00A94AE0">
            <w:pPr>
              <w:pStyle w:val="ConsPlusNormal"/>
              <w:jc w:val="both"/>
            </w:pPr>
            <w:r>
              <w:t xml:space="preserve">- цены предложений материального ресурса и оборудования, представленные поставщиками 1, 2 ... m за отчетный период, удовлетворяющие условиям, указанным в </w:t>
            </w:r>
            <w:hyperlink w:anchor="P158">
              <w:r>
                <w:rPr>
                  <w:color w:val="0000FF"/>
                </w:rPr>
                <w:t>главе V</w:t>
              </w:r>
            </w:hyperlink>
            <w:r>
              <w:t xml:space="preserve"> Методики, рублей.</w:t>
            </w:r>
          </w:p>
        </w:tc>
      </w:tr>
    </w:tbl>
    <w:p w:rsidR="00A94AE0" w:rsidRDefault="00A94AE0">
      <w:pPr>
        <w:pStyle w:val="ConsPlusNormal"/>
        <w:jc w:val="both"/>
      </w:pPr>
    </w:p>
    <w:p w:rsidR="00A94AE0" w:rsidRDefault="00A94AE0">
      <w:pPr>
        <w:pStyle w:val="ConsPlusNormal"/>
        <w:ind w:firstLine="540"/>
        <w:jc w:val="both"/>
      </w:pPr>
      <w:r>
        <w:t xml:space="preserve">В случае, если поставщиком в течение отчетного периода представлены данные о ценах предложений нескольких материальных ресурсов и </w:t>
      </w:r>
      <w:proofErr w:type="gramStart"/>
      <w:r>
        <w:t>оборудования</w:t>
      </w:r>
      <w:proofErr w:type="gramEnd"/>
      <w:r>
        <w:t xml:space="preserve"> соответствующих одной позиции КСР, то x1; x2; </w:t>
      </w:r>
      <w:proofErr w:type="spellStart"/>
      <w:r>
        <w:t>xm</w:t>
      </w:r>
      <w:proofErr w:type="spellEnd"/>
      <w:r>
        <w:t xml:space="preserve"> принимаются как среднеарифметические значения таких цен предложений поставщика, удовлетворяющих условиям, указанным в </w:t>
      </w:r>
      <w:hyperlink w:anchor="P158">
        <w:r>
          <w:rPr>
            <w:color w:val="0000FF"/>
          </w:rPr>
          <w:t>главе V</w:t>
        </w:r>
      </w:hyperlink>
      <w:r>
        <w:t xml:space="preserve"> Методики, рублей.</w:t>
      </w:r>
    </w:p>
    <w:p w:rsidR="00A94AE0" w:rsidRDefault="00A94AE0">
      <w:pPr>
        <w:pStyle w:val="ConsPlusNormal"/>
        <w:jc w:val="both"/>
      </w:pPr>
    </w:p>
    <w:p w:rsidR="00A94AE0" w:rsidRDefault="00A94AE0">
      <w:pPr>
        <w:pStyle w:val="ConsPlusTitle"/>
        <w:jc w:val="center"/>
        <w:outlineLvl w:val="1"/>
      </w:pPr>
      <w:bookmarkStart w:id="4" w:name="P131"/>
      <w:bookmarkEnd w:id="4"/>
      <w:r>
        <w:t>IV. Определение сметных цен материальных</w:t>
      </w:r>
    </w:p>
    <w:p w:rsidR="00A94AE0" w:rsidRDefault="00A94AE0">
      <w:pPr>
        <w:pStyle w:val="ConsPlusTitle"/>
        <w:jc w:val="center"/>
      </w:pPr>
      <w:r>
        <w:t>ресурсов и оборудования</w:t>
      </w:r>
    </w:p>
    <w:p w:rsidR="00A94AE0" w:rsidRDefault="00A94AE0">
      <w:pPr>
        <w:pStyle w:val="ConsPlusNormal"/>
        <w:jc w:val="both"/>
      </w:pPr>
    </w:p>
    <w:p w:rsidR="00A94AE0" w:rsidRDefault="00A94AE0">
      <w:pPr>
        <w:pStyle w:val="ConsPlusNormal"/>
        <w:ind w:firstLine="540"/>
        <w:jc w:val="both"/>
      </w:pPr>
      <w:r>
        <w:t xml:space="preserve">19. Сметная цена материальных ресурсов и оборудования учитывает агрегированные отпускные цены материальных ресурсов и оборудования или сводные (средневзвешенные по объемам) отпускные цены (цены реализации) производителей (импортеров) материальных ресурсов на основании выполнения условий, определенных в </w:t>
      </w:r>
      <w:hyperlink w:anchor="P158">
        <w:r>
          <w:rPr>
            <w:color w:val="0000FF"/>
          </w:rPr>
          <w:t>главы V</w:t>
        </w:r>
      </w:hyperlink>
      <w:r>
        <w:t xml:space="preserve"> Методики, затраты на перевозку до </w:t>
      </w:r>
      <w:proofErr w:type="spellStart"/>
      <w:r>
        <w:t>приобъектного</w:t>
      </w:r>
      <w:proofErr w:type="spellEnd"/>
      <w:r>
        <w:t xml:space="preserve"> склада, заготовительно-складские расходы (при наличии) и определяется по формуле (6):</w:t>
      </w:r>
    </w:p>
    <w:p w:rsidR="00A94AE0" w:rsidRDefault="00A94AE0">
      <w:pPr>
        <w:pStyle w:val="ConsPlusNormal"/>
        <w:jc w:val="both"/>
      </w:pPr>
    </w:p>
    <w:p w:rsidR="00A94AE0" w:rsidRDefault="00A94AE0">
      <w:pPr>
        <w:pStyle w:val="ConsPlusNormal"/>
        <w:jc w:val="center"/>
      </w:pPr>
      <w:r>
        <w:t>СЦ = (</w:t>
      </w:r>
      <w:proofErr w:type="spellStart"/>
      <w:r>
        <w:t>ОЦ</w:t>
      </w:r>
      <w:r>
        <w:rPr>
          <w:vertAlign w:val="subscript"/>
        </w:rPr>
        <w:t>а</w:t>
      </w:r>
      <w:proofErr w:type="spellEnd"/>
      <w:r>
        <w:t xml:space="preserve"> + Т) * (1 + 1 * ЗСР) (6),</w:t>
      </w:r>
    </w:p>
    <w:p w:rsidR="00A94AE0" w:rsidRDefault="00A94AE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8333"/>
      </w:tblGrid>
      <w:tr w:rsidR="00A94AE0">
        <w:tc>
          <w:tcPr>
            <w:tcW w:w="737" w:type="dxa"/>
            <w:tcBorders>
              <w:top w:val="nil"/>
              <w:left w:val="nil"/>
              <w:bottom w:val="nil"/>
              <w:right w:val="nil"/>
            </w:tcBorders>
          </w:tcPr>
          <w:p w:rsidR="00A94AE0" w:rsidRDefault="00A94AE0">
            <w:pPr>
              <w:pStyle w:val="ConsPlusNormal"/>
              <w:jc w:val="both"/>
            </w:pPr>
            <w:r>
              <w:t>где:</w:t>
            </w:r>
          </w:p>
        </w:tc>
        <w:tc>
          <w:tcPr>
            <w:tcW w:w="8333" w:type="dxa"/>
            <w:tcBorders>
              <w:top w:val="nil"/>
              <w:left w:val="nil"/>
              <w:bottom w:val="nil"/>
              <w:right w:val="nil"/>
            </w:tcBorders>
          </w:tcPr>
          <w:p w:rsidR="00A94AE0" w:rsidRDefault="00A94AE0">
            <w:pPr>
              <w:pStyle w:val="ConsPlusNormal"/>
            </w:pPr>
          </w:p>
        </w:tc>
      </w:tr>
      <w:tr w:rsidR="00A94AE0">
        <w:tc>
          <w:tcPr>
            <w:tcW w:w="737" w:type="dxa"/>
            <w:tcBorders>
              <w:top w:val="nil"/>
              <w:left w:val="nil"/>
              <w:bottom w:val="nil"/>
              <w:right w:val="nil"/>
            </w:tcBorders>
          </w:tcPr>
          <w:p w:rsidR="00A94AE0" w:rsidRDefault="00A94AE0">
            <w:pPr>
              <w:pStyle w:val="ConsPlusNormal"/>
              <w:jc w:val="both"/>
            </w:pPr>
            <w:r>
              <w:t>СЦ</w:t>
            </w:r>
          </w:p>
        </w:tc>
        <w:tc>
          <w:tcPr>
            <w:tcW w:w="8333" w:type="dxa"/>
            <w:tcBorders>
              <w:top w:val="nil"/>
              <w:left w:val="nil"/>
              <w:bottom w:val="nil"/>
              <w:right w:val="nil"/>
            </w:tcBorders>
          </w:tcPr>
          <w:p w:rsidR="00A94AE0" w:rsidRDefault="00A94AE0">
            <w:pPr>
              <w:pStyle w:val="ConsPlusNormal"/>
              <w:jc w:val="both"/>
            </w:pPr>
            <w:r>
              <w:t>- сметная цена материального ресурса и оборудования, рублей/единицу измерения;</w:t>
            </w:r>
          </w:p>
        </w:tc>
      </w:tr>
      <w:tr w:rsidR="00A94AE0">
        <w:tc>
          <w:tcPr>
            <w:tcW w:w="737" w:type="dxa"/>
            <w:tcBorders>
              <w:top w:val="nil"/>
              <w:left w:val="nil"/>
              <w:bottom w:val="nil"/>
              <w:right w:val="nil"/>
            </w:tcBorders>
          </w:tcPr>
          <w:p w:rsidR="00A94AE0" w:rsidRDefault="00A94AE0">
            <w:pPr>
              <w:pStyle w:val="ConsPlusNormal"/>
              <w:jc w:val="both"/>
            </w:pPr>
            <w:proofErr w:type="spellStart"/>
            <w:r>
              <w:t>ОЦ</w:t>
            </w:r>
            <w:r>
              <w:rPr>
                <w:vertAlign w:val="subscript"/>
              </w:rPr>
              <w:t>а</w:t>
            </w:r>
            <w:proofErr w:type="spellEnd"/>
          </w:p>
        </w:tc>
        <w:tc>
          <w:tcPr>
            <w:tcW w:w="8333" w:type="dxa"/>
            <w:tcBorders>
              <w:top w:val="nil"/>
              <w:left w:val="nil"/>
              <w:bottom w:val="nil"/>
              <w:right w:val="nil"/>
            </w:tcBorders>
          </w:tcPr>
          <w:p w:rsidR="00A94AE0" w:rsidRDefault="00A94AE0">
            <w:pPr>
              <w:pStyle w:val="ConsPlusNormal"/>
              <w:jc w:val="both"/>
            </w:pPr>
            <w:r>
              <w:t xml:space="preserve">- агрегированная отпускная цена материального ресурса и оборудования или сводная (средневзвешенная по объемам) отпускная цена (цена реализации) производителей </w:t>
            </w:r>
            <w:r>
              <w:lastRenderedPageBreak/>
              <w:t>(импортеров) материальных ресурсов и оборудования, для рассматриваемой ценовой зоны, рублей/единицу измерения;</w:t>
            </w:r>
          </w:p>
        </w:tc>
      </w:tr>
      <w:tr w:rsidR="00A94AE0">
        <w:tc>
          <w:tcPr>
            <w:tcW w:w="737" w:type="dxa"/>
            <w:tcBorders>
              <w:top w:val="nil"/>
              <w:left w:val="nil"/>
              <w:bottom w:val="nil"/>
              <w:right w:val="nil"/>
            </w:tcBorders>
          </w:tcPr>
          <w:p w:rsidR="00A94AE0" w:rsidRDefault="00A94AE0">
            <w:pPr>
              <w:pStyle w:val="ConsPlusNormal"/>
              <w:jc w:val="both"/>
            </w:pPr>
            <w:r>
              <w:lastRenderedPageBreak/>
              <w:t>ЗСР</w:t>
            </w:r>
          </w:p>
        </w:tc>
        <w:tc>
          <w:tcPr>
            <w:tcW w:w="8333" w:type="dxa"/>
            <w:tcBorders>
              <w:top w:val="nil"/>
              <w:left w:val="nil"/>
              <w:bottom w:val="nil"/>
              <w:right w:val="nil"/>
            </w:tcBorders>
          </w:tcPr>
          <w:p w:rsidR="00A94AE0" w:rsidRDefault="00A94AE0">
            <w:pPr>
              <w:pStyle w:val="ConsPlusNormal"/>
              <w:jc w:val="both"/>
            </w:pPr>
            <w:r>
              <w:t>- заготовительно-складские расходы (при наличии), процентов;</w:t>
            </w:r>
          </w:p>
        </w:tc>
      </w:tr>
      <w:tr w:rsidR="00A94AE0">
        <w:tc>
          <w:tcPr>
            <w:tcW w:w="737" w:type="dxa"/>
            <w:tcBorders>
              <w:top w:val="nil"/>
              <w:left w:val="nil"/>
              <w:bottom w:val="nil"/>
              <w:right w:val="nil"/>
            </w:tcBorders>
          </w:tcPr>
          <w:p w:rsidR="00A94AE0" w:rsidRDefault="00A94AE0">
            <w:pPr>
              <w:pStyle w:val="ConsPlusNormal"/>
              <w:jc w:val="both"/>
            </w:pPr>
            <w:r>
              <w:t>Т</w:t>
            </w:r>
          </w:p>
        </w:tc>
        <w:tc>
          <w:tcPr>
            <w:tcW w:w="8333" w:type="dxa"/>
            <w:tcBorders>
              <w:top w:val="nil"/>
              <w:left w:val="nil"/>
              <w:bottom w:val="nil"/>
              <w:right w:val="nil"/>
            </w:tcBorders>
          </w:tcPr>
          <w:p w:rsidR="00A94AE0" w:rsidRDefault="00A94AE0">
            <w:pPr>
              <w:pStyle w:val="ConsPlusNormal"/>
              <w:jc w:val="both"/>
            </w:pPr>
            <w:r>
              <w:t xml:space="preserve">- затраты на перевозку материального ресурса и оборудования автомобильным транспортом на расстояние 30 километров (за исключением отдельных групп ресурсов, отмеченных в ФГИС ЦС, таких как материалы, применяемые при строительстве линейных объектов железнодорожной инфраструктуры, сметными ценами которых перевозка автомобильным транспортом до </w:t>
            </w:r>
            <w:proofErr w:type="spellStart"/>
            <w:r>
              <w:t>приобъектного</w:t>
            </w:r>
            <w:proofErr w:type="spellEnd"/>
            <w:r>
              <w:t xml:space="preserve"> склада не предусмотрена), за единицу измерения с учетом массы брутто в пределах соответствующей ценовой зоны за предыдущий отчетный период, сформированные в соответствии со сметными нормативами, сведения о которых включены в ФРСН, рублей/единицу измерения.</w:t>
            </w:r>
          </w:p>
        </w:tc>
      </w:tr>
    </w:tbl>
    <w:p w:rsidR="00A94AE0" w:rsidRDefault="00A94AE0">
      <w:pPr>
        <w:pStyle w:val="ConsPlusNormal"/>
        <w:jc w:val="both"/>
      </w:pPr>
    </w:p>
    <w:p w:rsidR="00A94AE0" w:rsidRDefault="00A94AE0">
      <w:pPr>
        <w:pStyle w:val="ConsPlusNormal"/>
        <w:ind w:firstLine="540"/>
        <w:jc w:val="both"/>
      </w:pPr>
      <w:r>
        <w:t>Заготовительно-складские расходы (при наличии), учитываемые в сметной стоимости материальных ресурсов и оборудования, включают затраты, связанные с:</w:t>
      </w:r>
    </w:p>
    <w:p w:rsidR="00A94AE0" w:rsidRDefault="00A94AE0">
      <w:pPr>
        <w:pStyle w:val="ConsPlusNormal"/>
        <w:spacing w:before="220"/>
        <w:ind w:firstLine="540"/>
        <w:jc w:val="both"/>
      </w:pPr>
      <w:r>
        <w:t xml:space="preserve">- содержанием работников, осуществляющих материально-техническое снабжение, в том числе подготовкой и размещением заказов на поставку материальных ресурсов и оборудования, приемом на склад материальных ресурсов и оборудования, их взвешиванием, учетом, хранением на складе, ревизией, подготовкой к выдаче и выдачей со склада (в том числе расходы на оплату труда работников складов (с учетом сумм страховых платежей (взносов) по обязательному страхованию в соответствии со </w:t>
      </w:r>
      <w:hyperlink r:id="rId25">
        <w:r>
          <w:rPr>
            <w:color w:val="0000FF"/>
          </w:rPr>
          <w:t>статьей 425</w:t>
        </w:r>
      </w:hyperlink>
      <w:r>
        <w:t xml:space="preserve"> Налогового кодекса Российской Федерации (Собрание законодательства Российской Федерации, 2000, N 32, ст. 3340; 2016, N 27, ст. 4176; 2018, N 32, ст. 5096);</w:t>
      </w:r>
    </w:p>
    <w:p w:rsidR="00A94AE0" w:rsidRDefault="00A94AE0">
      <w:pPr>
        <w:pStyle w:val="ConsPlusNormal"/>
        <w:spacing w:before="220"/>
        <w:ind w:firstLine="540"/>
        <w:jc w:val="both"/>
      </w:pPr>
      <w:r>
        <w:t>- сопровождением и охраной грузов при их перевозке;</w:t>
      </w:r>
    </w:p>
    <w:p w:rsidR="00A94AE0" w:rsidRDefault="00A94AE0">
      <w:pPr>
        <w:pStyle w:val="ConsPlusNormal"/>
        <w:spacing w:before="220"/>
        <w:ind w:firstLine="540"/>
        <w:jc w:val="both"/>
      </w:pPr>
      <w:r>
        <w:t xml:space="preserve">- содержанием и эксплуатацией </w:t>
      </w:r>
      <w:proofErr w:type="spellStart"/>
      <w:r>
        <w:t>приобъектных</w:t>
      </w:r>
      <w:proofErr w:type="spellEnd"/>
      <w:r>
        <w:t xml:space="preserve"> складов, в том числе расходы на отопление (теплоснабжение), энергоснабжение, водоснабжение, водоотведение, другие коммунальные услуги, расходы на оплату труда (с учетом сумм страховых платежей (взносов) по обязательному страхованию работников) уборщиц, дежурных слесарей, электриков и другого обслуживающего персонала.</w:t>
      </w:r>
    </w:p>
    <w:p w:rsidR="00A94AE0" w:rsidRDefault="00A94AE0">
      <w:pPr>
        <w:pStyle w:val="ConsPlusNormal"/>
        <w:spacing w:before="220"/>
        <w:ind w:firstLine="540"/>
        <w:jc w:val="both"/>
      </w:pPr>
      <w:r>
        <w:t>Размер заготовительно-складских расходов (при наличии) дифференцируются по видам материальных ресурсов и оборудования и принимается в соответствии со сметными нормативами, сведения о которых включены в ФРСН.</w:t>
      </w:r>
    </w:p>
    <w:p w:rsidR="00A94AE0" w:rsidRDefault="00A94AE0">
      <w:pPr>
        <w:pStyle w:val="ConsPlusNormal"/>
        <w:spacing w:before="220"/>
        <w:ind w:firstLine="540"/>
        <w:jc w:val="both"/>
      </w:pPr>
      <w:r>
        <w:t xml:space="preserve">20. Затраты на перевозку материальных ресурсов и оборудования до </w:t>
      </w:r>
      <w:proofErr w:type="spellStart"/>
      <w:r>
        <w:t>приобъектного</w:t>
      </w:r>
      <w:proofErr w:type="spellEnd"/>
      <w:r>
        <w:t xml:space="preserve"> склада определяются исходя из схемы транспортировки материальных ресурсов и оборудования, являющихся строительными грузами, включающей автомобильные перевозки таких грузов на расстояние 30 километров с учетом массы брутто в пределах соответствующей ценовой зоны, времени простоя автотранспортного средства при их выгрузке на </w:t>
      </w:r>
      <w:proofErr w:type="spellStart"/>
      <w:r>
        <w:t>приобъектном</w:t>
      </w:r>
      <w:proofErr w:type="spellEnd"/>
      <w:r>
        <w:t xml:space="preserve"> складе, а также исходя из сметных цен услуг на перевозку грузов для строительства автомобильным транспортом в соответствии со сметными нормативами, сведения о которых включены в ФРСН и размещенных в ФГИС ЦС в текущем отчетном периоде (квартале).</w:t>
      </w:r>
    </w:p>
    <w:p w:rsidR="00A94AE0" w:rsidRDefault="00A94AE0">
      <w:pPr>
        <w:pStyle w:val="ConsPlusNormal"/>
        <w:spacing w:before="220"/>
        <w:ind w:firstLine="540"/>
        <w:jc w:val="both"/>
      </w:pPr>
      <w:r>
        <w:t xml:space="preserve">21. Сметные цены на электроэнергию, расходуемую в период производства работ, а также на электроэнергию и горюче-смазочные материалы, необходимые для определения сметных цен на эксплуатацию машин и механизмов, принимаются по результатам мониторинга отпускных цен в соответствии с </w:t>
      </w:r>
      <w:hyperlink r:id="rId26">
        <w:r>
          <w:rPr>
            <w:color w:val="0000FF"/>
          </w:rPr>
          <w:t>пунктом 3</w:t>
        </w:r>
      </w:hyperlink>
      <w:r>
        <w:t xml:space="preserve"> Правил мониторинга, осуществляемого в отчетном периоде Учреждением. В качестве источников информации об отпускных ценах на электроэнергию используются тарифы (для юридических лиц) </w:t>
      </w:r>
      <w:proofErr w:type="spellStart"/>
      <w:r>
        <w:t>энергосбытовых</w:t>
      </w:r>
      <w:proofErr w:type="spellEnd"/>
      <w:r>
        <w:t xml:space="preserve"> компаний на территориях соответствующих ценовых зон.</w:t>
      </w:r>
    </w:p>
    <w:p w:rsidR="00A94AE0" w:rsidRDefault="00A94AE0">
      <w:pPr>
        <w:pStyle w:val="ConsPlusNormal"/>
        <w:spacing w:before="220"/>
        <w:ind w:firstLine="540"/>
        <w:jc w:val="both"/>
      </w:pPr>
      <w:r>
        <w:lastRenderedPageBreak/>
        <w:t>22. Сметные цены на воду определяются по тарифам (для юридических лиц) организаций, осуществляющих водоснабжение и водоотведение на территориях соответствующих ценовых зон.</w:t>
      </w:r>
    </w:p>
    <w:p w:rsidR="00A94AE0" w:rsidRDefault="00A94AE0">
      <w:pPr>
        <w:pStyle w:val="ConsPlusNormal"/>
        <w:jc w:val="both"/>
      </w:pPr>
    </w:p>
    <w:p w:rsidR="00A94AE0" w:rsidRDefault="00A94AE0">
      <w:pPr>
        <w:pStyle w:val="ConsPlusTitle"/>
        <w:jc w:val="center"/>
        <w:outlineLvl w:val="1"/>
      </w:pPr>
      <w:bookmarkStart w:id="5" w:name="P158"/>
      <w:bookmarkEnd w:id="5"/>
      <w:r>
        <w:t>V. Анализ и учет данных об отпускных ценах (ценах</w:t>
      </w:r>
    </w:p>
    <w:p w:rsidR="00A94AE0" w:rsidRDefault="00A94AE0">
      <w:pPr>
        <w:pStyle w:val="ConsPlusTitle"/>
        <w:jc w:val="center"/>
      </w:pPr>
      <w:r>
        <w:t>реализации) производителей (импортеров) и ценах предложений</w:t>
      </w:r>
    </w:p>
    <w:p w:rsidR="00A94AE0" w:rsidRDefault="00A94AE0">
      <w:pPr>
        <w:pStyle w:val="ConsPlusTitle"/>
        <w:jc w:val="center"/>
      </w:pPr>
      <w:r>
        <w:t>поставщиков материальных ресурсов и оборудования</w:t>
      </w:r>
    </w:p>
    <w:p w:rsidR="00A94AE0" w:rsidRDefault="00A94AE0">
      <w:pPr>
        <w:pStyle w:val="ConsPlusNormal"/>
        <w:jc w:val="both"/>
      </w:pPr>
    </w:p>
    <w:p w:rsidR="00A94AE0" w:rsidRDefault="00A94AE0">
      <w:pPr>
        <w:pStyle w:val="ConsPlusNormal"/>
        <w:ind w:firstLine="540"/>
        <w:jc w:val="both"/>
      </w:pPr>
      <w:r>
        <w:t>23. При расчете агрегированной отпускной цены материальных ресурсов и оборудования используются отпускные цены (цены реализации) производителей (импортеров) или цены предложений поставщиков таких материальных ресурсов или оборудования стандартное отклонение ряда которых менее 25 процентов от среднеарифметического значения отпускных цен (цен реализации) производителей (импортеров) или цен предложений поставщиков материальных ресурсов или оборудования в рассматриваемой ценовой зоне.</w:t>
      </w:r>
    </w:p>
    <w:p w:rsidR="00A94AE0" w:rsidRDefault="00A94AE0">
      <w:pPr>
        <w:pStyle w:val="ConsPlusNormal"/>
        <w:spacing w:before="220"/>
        <w:ind w:firstLine="540"/>
        <w:jc w:val="both"/>
      </w:pPr>
      <w:r>
        <w:t>В случае, если стандартное отклонение всех отпускных цен (цен реализации) производителей (импортеров) или цен предложений поставщиков на единицу измерения соответствующего материального ресурса или оборудования в ценовой зоне составляет более 25 процентов от среднеарифметического значения отпускных цен (цен реализации) производителей (импортеров) или цен предложений поставщиков такого материального ресурса или оборудования в рассматриваемой ценовой зоне, отпускная цена (цена реализации) производителей (импортеров) или цена предложений поставщиков соответствующего материального ресурса или оборудования, имеющая наибольшее отклонение от среднеарифметического значения (в обе стороны), исключается из расчета его агрегированной отпускной цены и такая процедура повторяется до тех пор, пока стандартное отклонение ряда отпускных цен (цен реализации) производителей (импортеров) или цен предложений поставщиков указанного материального ресурса или оборудования в рассматриваемой ценовой зоне не будет составлять менее 25 процентов от их среднеарифметического значения (7):</w:t>
      </w:r>
    </w:p>
    <w:p w:rsidR="00A94AE0" w:rsidRDefault="00A94AE0">
      <w:pPr>
        <w:pStyle w:val="ConsPlusNormal"/>
        <w:jc w:val="both"/>
      </w:pPr>
    </w:p>
    <w:p w:rsidR="00A94AE0" w:rsidRDefault="00A94AE0">
      <w:pPr>
        <w:pStyle w:val="ConsPlusNormal"/>
        <w:jc w:val="center"/>
      </w:pPr>
      <w:bookmarkStart w:id="6" w:name="P165"/>
      <w:bookmarkEnd w:id="6"/>
      <w:r>
        <w:rPr>
          <w:noProof/>
          <w:position w:val="-9"/>
        </w:rPr>
        <w:drawing>
          <wp:inline distT="0" distB="0" distL="0" distR="0">
            <wp:extent cx="1550670" cy="26225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50670" cy="262255"/>
                    </a:xfrm>
                    <a:prstGeom prst="rect">
                      <a:avLst/>
                    </a:prstGeom>
                    <a:noFill/>
                    <a:ln>
                      <a:noFill/>
                    </a:ln>
                  </pic:spPr>
                </pic:pic>
              </a:graphicData>
            </a:graphic>
          </wp:inline>
        </w:drawing>
      </w:r>
    </w:p>
    <w:p w:rsidR="00A94AE0" w:rsidRDefault="00A94AE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8333"/>
      </w:tblGrid>
      <w:tr w:rsidR="00A94AE0">
        <w:tc>
          <w:tcPr>
            <w:tcW w:w="737" w:type="dxa"/>
            <w:tcBorders>
              <w:top w:val="nil"/>
              <w:left w:val="nil"/>
              <w:bottom w:val="nil"/>
              <w:right w:val="nil"/>
            </w:tcBorders>
          </w:tcPr>
          <w:p w:rsidR="00A94AE0" w:rsidRDefault="00A94AE0">
            <w:pPr>
              <w:pStyle w:val="ConsPlusNormal"/>
              <w:jc w:val="both"/>
            </w:pPr>
            <w:r>
              <w:t>где:</w:t>
            </w:r>
          </w:p>
        </w:tc>
        <w:tc>
          <w:tcPr>
            <w:tcW w:w="8333" w:type="dxa"/>
            <w:tcBorders>
              <w:top w:val="nil"/>
              <w:left w:val="nil"/>
              <w:bottom w:val="nil"/>
              <w:right w:val="nil"/>
            </w:tcBorders>
          </w:tcPr>
          <w:p w:rsidR="00A94AE0" w:rsidRDefault="00A94AE0">
            <w:pPr>
              <w:pStyle w:val="ConsPlusNormal"/>
            </w:pPr>
          </w:p>
        </w:tc>
      </w:tr>
      <w:tr w:rsidR="00A94AE0">
        <w:tc>
          <w:tcPr>
            <w:tcW w:w="737" w:type="dxa"/>
            <w:tcBorders>
              <w:top w:val="nil"/>
              <w:left w:val="nil"/>
              <w:bottom w:val="nil"/>
              <w:right w:val="nil"/>
            </w:tcBorders>
          </w:tcPr>
          <w:p w:rsidR="00A94AE0" w:rsidRDefault="00A94AE0">
            <w:pPr>
              <w:pStyle w:val="ConsPlusNormal"/>
              <w:jc w:val="both"/>
            </w:pPr>
            <w:r>
              <w:rPr>
                <w:noProof/>
                <w:position w:val="-1"/>
              </w:rPr>
              <w:drawing>
                <wp:inline distT="0" distB="0" distL="0" distR="0">
                  <wp:extent cx="167640" cy="15748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7640" cy="157480"/>
                          </a:xfrm>
                          <a:prstGeom prst="rect">
                            <a:avLst/>
                          </a:prstGeom>
                          <a:noFill/>
                          <a:ln>
                            <a:noFill/>
                          </a:ln>
                        </pic:spPr>
                      </pic:pic>
                    </a:graphicData>
                  </a:graphic>
                </wp:inline>
              </w:drawing>
            </w:r>
          </w:p>
        </w:tc>
        <w:tc>
          <w:tcPr>
            <w:tcW w:w="8333" w:type="dxa"/>
            <w:tcBorders>
              <w:top w:val="nil"/>
              <w:left w:val="nil"/>
              <w:bottom w:val="nil"/>
              <w:right w:val="nil"/>
            </w:tcBorders>
          </w:tcPr>
          <w:p w:rsidR="00A94AE0" w:rsidRDefault="00A94AE0">
            <w:pPr>
              <w:pStyle w:val="ConsPlusNormal"/>
              <w:jc w:val="both"/>
            </w:pPr>
            <w:r>
              <w:t>- ценовая зона;</w:t>
            </w:r>
          </w:p>
        </w:tc>
      </w:tr>
      <w:tr w:rsidR="00A94AE0">
        <w:tc>
          <w:tcPr>
            <w:tcW w:w="737" w:type="dxa"/>
            <w:tcBorders>
              <w:top w:val="nil"/>
              <w:left w:val="nil"/>
              <w:bottom w:val="nil"/>
              <w:right w:val="nil"/>
            </w:tcBorders>
          </w:tcPr>
          <w:p w:rsidR="00A94AE0" w:rsidRDefault="00A94AE0">
            <w:pPr>
              <w:pStyle w:val="ConsPlusNormal"/>
              <w:jc w:val="both"/>
            </w:pPr>
            <w:proofErr w:type="spellStart"/>
            <w:r>
              <w:t>Х</w:t>
            </w:r>
            <w:r>
              <w:rPr>
                <w:vertAlign w:val="subscript"/>
              </w:rPr>
              <w:t>ср</w:t>
            </w:r>
            <w:proofErr w:type="spellEnd"/>
          </w:p>
        </w:tc>
        <w:tc>
          <w:tcPr>
            <w:tcW w:w="8333" w:type="dxa"/>
            <w:tcBorders>
              <w:top w:val="nil"/>
              <w:left w:val="nil"/>
              <w:bottom w:val="nil"/>
              <w:right w:val="nil"/>
            </w:tcBorders>
          </w:tcPr>
          <w:p w:rsidR="00A94AE0" w:rsidRDefault="00A94AE0">
            <w:pPr>
              <w:pStyle w:val="ConsPlusNormal"/>
              <w:jc w:val="both"/>
            </w:pPr>
            <w:r>
              <w:t>- среднеарифметическое отпускных цен (цен реализации) производителей (импортеров) или цен предложений поставщиков материальных ресурсов и оборудования, рублей.</w:t>
            </w:r>
          </w:p>
        </w:tc>
      </w:tr>
    </w:tbl>
    <w:p w:rsidR="00A94AE0" w:rsidRDefault="00A94AE0">
      <w:pPr>
        <w:pStyle w:val="ConsPlusNormal"/>
        <w:jc w:val="both"/>
      </w:pPr>
    </w:p>
    <w:p w:rsidR="00A94AE0" w:rsidRDefault="00A94AE0">
      <w:pPr>
        <w:pStyle w:val="ConsPlusNormal"/>
        <w:ind w:firstLine="540"/>
        <w:jc w:val="both"/>
      </w:pPr>
      <w:r>
        <w:t xml:space="preserve">Отпускные цены (цены реализации) производителей (импортеров) или цены предложений поставщиков материальных ресурсов и оборудования, не соответствующие </w:t>
      </w:r>
      <w:hyperlink w:anchor="P165">
        <w:r>
          <w:rPr>
            <w:color w:val="0000FF"/>
          </w:rPr>
          <w:t>формуле (7)</w:t>
        </w:r>
      </w:hyperlink>
      <w:r>
        <w:t xml:space="preserve"> Методики, не принимаются для расчета агрегированных отпускных цен материальных ресурсов или оборудования.</w:t>
      </w:r>
    </w:p>
    <w:p w:rsidR="00A94AE0" w:rsidRDefault="00A94AE0">
      <w:pPr>
        <w:pStyle w:val="ConsPlusNormal"/>
        <w:spacing w:before="220"/>
        <w:ind w:firstLine="540"/>
        <w:jc w:val="both"/>
      </w:pPr>
      <w:r>
        <w:t xml:space="preserve">24. В случае, если отпускная цена (цена реализации) производителей (импортеров) или цена предложения поставщиков материального ресурса или оборудования представленная в ФГИС ЦС, отличная от единицы измерения соответствующего материального ресурса или оборудования, включенного в КСР, то такая отпускная цена (цена реализации) производителей (импортеров) или цена предложений поставщиков материальных ресурсов и оборудования пересчитывается на единицу измерения соответствующего материального ресурса или оборудования в составе КСР с учетом соотношения кратных единиц измерения (например, килограммы в тонны, штуки в десятки штук), или если в технической документации, регламентирующей производство и использование указанных материальных ресурсов и оборудования, приведены данные, с использованием которых возможно выполнить пересчет отпускной цены (цены реализации) производителей (импортеров) </w:t>
      </w:r>
      <w:r>
        <w:lastRenderedPageBreak/>
        <w:t>или цены предложений поставщиков материальных ресурсов и оборудования в требуемую единицу измерения.</w:t>
      </w:r>
    </w:p>
    <w:p w:rsidR="00A94AE0" w:rsidRDefault="00A94AE0">
      <w:pPr>
        <w:pStyle w:val="ConsPlusNormal"/>
        <w:spacing w:before="220"/>
        <w:ind w:firstLine="540"/>
        <w:jc w:val="both"/>
      </w:pPr>
      <w:bookmarkStart w:id="7" w:name="P176"/>
      <w:bookmarkEnd w:id="7"/>
      <w:r>
        <w:t xml:space="preserve">25. В случае, если индекс изменения сметной цены материального ресурса или оборудования, определенный как отношение сметной цены такого материального ресурса или оборудования, сформированной на основании агрегированной отпускной цены такого материального ресурса или оборудования в соответствии с </w:t>
      </w:r>
      <w:hyperlink w:anchor="P131">
        <w:r>
          <w:rPr>
            <w:color w:val="0000FF"/>
          </w:rPr>
          <w:t>главой IV</w:t>
        </w:r>
      </w:hyperlink>
      <w:r>
        <w:t xml:space="preserve"> Методики в текущем отчетном периоде, к сметной цене такого материального ресурса или оборудования в базисном уровне цен (уровне цен, сложившемся на определенную дату), действующем на момент расчета, отличается от индекса изменения сметной стоимости к группе однородных материальных ресурсов и оборудования, определенного в соответствии со сметными нормативами, сведения о которых включены в ФРСН, более чем на 20 процентов в большую или меньшую сторону, сметная цена такого ресурса или оборудования, сформированная на основании агрегированной отпускной цены такого материального ресурса или оборудования, не подлежит публикации в ФГИС ЦС.</w:t>
      </w:r>
    </w:p>
    <w:p w:rsidR="00A94AE0" w:rsidRDefault="00A94AE0">
      <w:pPr>
        <w:pStyle w:val="ConsPlusNormal"/>
        <w:spacing w:before="220"/>
        <w:ind w:firstLine="540"/>
        <w:jc w:val="both"/>
      </w:pPr>
      <w:r>
        <w:t xml:space="preserve">В случае, если для такого материального ресурса или оборудования индекс изменения сметной цены материального ресурса или оборудования, определенный как отношение сметной цены такого материального ресурса или оборудования, сформированной на основании сводной (средневзвешенной по объемам) цены реализации такого материального ресурса или оборудования, в соответствии с </w:t>
      </w:r>
      <w:hyperlink w:anchor="P131">
        <w:r>
          <w:rPr>
            <w:color w:val="0000FF"/>
          </w:rPr>
          <w:t>главой IV</w:t>
        </w:r>
      </w:hyperlink>
      <w:r>
        <w:t xml:space="preserve"> Методики в текущем отчетном периоде, к сметной цене такого материального ресурса или оборудования в базисном уровне цен (уровне цен, сложившемся на определенную дату), действующем на момент расчета, отличается от индекса изменения сметной стоимости к группе однородных материальных ресурсов и оборудования, определенного в соответствии со сметными нормативами, сведения о которых включены в ФРСН, менее чем на 20 процентов в большую или меньшую сторону, или в случае, если сводная (средневзвешенная по объемам) цена реализации такого ресурса или оборудования сформирована на основании отпускных цен (цен реализации) двух или более производителей такого материального ресурса или оборудования, сметная цена материального ресурса и оборудования, сформированная на основании сводной (средневзвешенной по объемам) отпускной цены (цены реализации) такого материального ресурса или оборудования, подлежит публикации в ФГИС ЦС.</w:t>
      </w:r>
    </w:p>
    <w:p w:rsidR="00A94AE0" w:rsidRDefault="00A94AE0">
      <w:pPr>
        <w:pStyle w:val="ConsPlusNormal"/>
        <w:spacing w:before="220"/>
        <w:ind w:firstLine="540"/>
        <w:jc w:val="both"/>
      </w:pPr>
      <w:r>
        <w:t xml:space="preserve">26. В случае, если сводная (средневзвешенная по объемам) отпускная цена (цена реализации) производителей (импортеров) материальных ресурсов и оборудования, являющегося ресурсом - представителем группы однородных строительных ресурсов, определенным в соответствии с положениями сметных нормативов, сведения о которых включены в ФРСН, сформирована на основании одной отпускной цены (цены реализации) производителей (импортеров) такого материального ресурса или оборудования и если в соответствии с </w:t>
      </w:r>
      <w:hyperlink w:anchor="P176">
        <w:r>
          <w:rPr>
            <w:color w:val="0000FF"/>
          </w:rPr>
          <w:t>пунктом 25</w:t>
        </w:r>
      </w:hyperlink>
      <w:r>
        <w:t xml:space="preserve"> Методики сметная цена такого материального ресурса или оборудования не подлежит публикации в ФГИС ЦС, Учреждением в течение 7 рабочих дней направляется письменный запрос подтверждения отпускной цены (цены реализации) лицу, представившему сведения о такой отпускной цене (цене реализации).</w:t>
      </w:r>
    </w:p>
    <w:p w:rsidR="00A94AE0" w:rsidRDefault="00A94AE0">
      <w:pPr>
        <w:pStyle w:val="ConsPlusNormal"/>
        <w:spacing w:before="220"/>
        <w:ind w:firstLine="540"/>
        <w:jc w:val="both"/>
      </w:pPr>
      <w:r>
        <w:t>По результатам письменного подтверждения лицом корректности и достоверности такой отпускной цены (цены реализации), сметная цена материального ресурса и оборудования, сформированная на основании сводной (средневзвешенной по объемам) отпускной цены (цены реализации) производителей (импортеров) такого материального ресурса или оборудования, подлежит публикации в ФГИС ЦС в следующем отчетном периоде.</w:t>
      </w:r>
    </w:p>
    <w:p w:rsidR="00A94AE0" w:rsidRDefault="00A94AE0">
      <w:pPr>
        <w:pStyle w:val="ConsPlusNormal"/>
        <w:jc w:val="both"/>
      </w:pPr>
    </w:p>
    <w:p w:rsidR="00A94AE0" w:rsidRDefault="00A94AE0">
      <w:pPr>
        <w:pStyle w:val="ConsPlusNormal"/>
        <w:jc w:val="both"/>
      </w:pPr>
    </w:p>
    <w:p w:rsidR="00A94AE0" w:rsidRDefault="00A94AE0">
      <w:pPr>
        <w:pStyle w:val="ConsPlusNormal"/>
        <w:jc w:val="both"/>
      </w:pPr>
    </w:p>
    <w:p w:rsidR="00A94AE0" w:rsidRDefault="00A94AE0">
      <w:pPr>
        <w:pStyle w:val="ConsPlusNormal"/>
        <w:jc w:val="both"/>
      </w:pPr>
    </w:p>
    <w:p w:rsidR="00A94AE0" w:rsidRDefault="00A94AE0">
      <w:pPr>
        <w:pStyle w:val="ConsPlusNormal"/>
        <w:jc w:val="both"/>
      </w:pPr>
    </w:p>
    <w:p w:rsidR="00A94AE0" w:rsidRDefault="00A94AE0">
      <w:pPr>
        <w:pStyle w:val="ConsPlusNormal"/>
        <w:jc w:val="right"/>
        <w:outlineLvl w:val="1"/>
      </w:pPr>
      <w:r>
        <w:t>Приложение</w:t>
      </w:r>
    </w:p>
    <w:p w:rsidR="00A94AE0" w:rsidRDefault="00A94AE0">
      <w:pPr>
        <w:pStyle w:val="ConsPlusNormal"/>
        <w:jc w:val="right"/>
      </w:pPr>
      <w:r>
        <w:t>к Методике определения сметных цен</w:t>
      </w:r>
    </w:p>
    <w:p w:rsidR="00A94AE0" w:rsidRDefault="00A94AE0">
      <w:pPr>
        <w:pStyle w:val="ConsPlusNormal"/>
        <w:jc w:val="right"/>
      </w:pPr>
      <w:r>
        <w:lastRenderedPageBreak/>
        <w:t>строительных ресурсов, утвержденной</w:t>
      </w:r>
    </w:p>
    <w:p w:rsidR="00A94AE0" w:rsidRDefault="00A94AE0">
      <w:pPr>
        <w:pStyle w:val="ConsPlusNormal"/>
        <w:jc w:val="right"/>
      </w:pPr>
      <w:r>
        <w:t>приказом Министерства строительства</w:t>
      </w:r>
    </w:p>
    <w:p w:rsidR="00A94AE0" w:rsidRDefault="00A94AE0">
      <w:pPr>
        <w:pStyle w:val="ConsPlusNormal"/>
        <w:jc w:val="right"/>
      </w:pPr>
      <w:r>
        <w:t>и жилищно-коммунального хозяйства</w:t>
      </w:r>
    </w:p>
    <w:p w:rsidR="00A94AE0" w:rsidRDefault="00A94AE0">
      <w:pPr>
        <w:pStyle w:val="ConsPlusNormal"/>
        <w:jc w:val="right"/>
      </w:pPr>
      <w:r>
        <w:t>Российской Федерации</w:t>
      </w:r>
    </w:p>
    <w:p w:rsidR="00A94AE0" w:rsidRDefault="00A94AE0">
      <w:pPr>
        <w:pStyle w:val="ConsPlusNormal"/>
        <w:jc w:val="right"/>
      </w:pPr>
      <w:r>
        <w:t>от 26 октября 2022 г. N 904/</w:t>
      </w:r>
      <w:proofErr w:type="spellStart"/>
      <w:r>
        <w:t>пр</w:t>
      </w:r>
      <w:proofErr w:type="spellEnd"/>
    </w:p>
    <w:p w:rsidR="00A94AE0" w:rsidRDefault="00A94AE0">
      <w:pPr>
        <w:pStyle w:val="ConsPlusNormal"/>
        <w:jc w:val="both"/>
      </w:pPr>
    </w:p>
    <w:p w:rsidR="00A94AE0" w:rsidRDefault="00A94AE0">
      <w:pPr>
        <w:pStyle w:val="ConsPlusNormal"/>
        <w:jc w:val="right"/>
      </w:pPr>
      <w:r>
        <w:t>Рекомендуемый образец</w:t>
      </w:r>
    </w:p>
    <w:p w:rsidR="00A94AE0" w:rsidRDefault="00A94AE0">
      <w:pPr>
        <w:pStyle w:val="ConsPlusNormal"/>
        <w:jc w:val="both"/>
      </w:pPr>
    </w:p>
    <w:p w:rsidR="00A94AE0" w:rsidRDefault="00A94AE0">
      <w:pPr>
        <w:pStyle w:val="ConsPlusNonformat"/>
        <w:jc w:val="both"/>
      </w:pPr>
      <w:bookmarkStart w:id="8" w:name="P195"/>
      <w:bookmarkEnd w:id="8"/>
      <w:r>
        <w:t xml:space="preserve">               СМЕТНЫЕ ЦЕНЫ МАТЕРИАЛОВ, ИЗДЕЛИЙ, КОНСТРУКЦИЙ</w:t>
      </w:r>
    </w:p>
    <w:p w:rsidR="00A94AE0" w:rsidRDefault="00A94AE0">
      <w:pPr>
        <w:pStyle w:val="ConsPlusNonformat"/>
        <w:jc w:val="both"/>
      </w:pPr>
      <w:r>
        <w:t xml:space="preserve">                И ОБОРУДОВАНИЯ, ПРИМЕНЯЕМЫХ В СТРОИТЕЛЬСТВЕ</w:t>
      </w:r>
    </w:p>
    <w:p w:rsidR="00A94AE0" w:rsidRDefault="00A94AE0">
      <w:pPr>
        <w:pStyle w:val="ConsPlusNonformat"/>
        <w:jc w:val="both"/>
      </w:pPr>
    </w:p>
    <w:p w:rsidR="00A94AE0" w:rsidRDefault="00A94AE0">
      <w:pPr>
        <w:pStyle w:val="ConsPlusNonformat"/>
        <w:jc w:val="both"/>
      </w:pPr>
      <w:r>
        <w:t xml:space="preserve">               для _________________________________________</w:t>
      </w:r>
    </w:p>
    <w:p w:rsidR="00A94AE0" w:rsidRDefault="00A94AE0">
      <w:pPr>
        <w:pStyle w:val="ConsPlusNonformat"/>
        <w:jc w:val="both"/>
      </w:pPr>
      <w:r>
        <w:t xml:space="preserve">    (</w:t>
      </w:r>
      <w:proofErr w:type="gramStart"/>
      <w:r>
        <w:t>наименование  субъекта</w:t>
      </w:r>
      <w:proofErr w:type="gramEnd"/>
      <w:r>
        <w:t xml:space="preserve">  Российской  Федерации,  номер  ценовой  зоны и</w:t>
      </w:r>
    </w:p>
    <w:p w:rsidR="00A94AE0" w:rsidRDefault="00A94AE0">
      <w:pPr>
        <w:pStyle w:val="ConsPlusNonformat"/>
        <w:jc w:val="both"/>
      </w:pPr>
      <w:r>
        <w:t xml:space="preserve">            наименование населенного пункта - центра ценовой зоны)</w:t>
      </w:r>
    </w:p>
    <w:p w:rsidR="00A94AE0" w:rsidRDefault="00A94AE0">
      <w:pPr>
        <w:pStyle w:val="ConsPlusNonformat"/>
        <w:jc w:val="both"/>
      </w:pPr>
    </w:p>
    <w:p w:rsidR="00A94AE0" w:rsidRDefault="00A94AE0">
      <w:pPr>
        <w:pStyle w:val="ConsPlusNonformat"/>
        <w:jc w:val="both"/>
      </w:pPr>
      <w:r>
        <w:t>Отчетный период: __________________</w:t>
      </w:r>
    </w:p>
    <w:p w:rsidR="00A94AE0" w:rsidRDefault="00A94AE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494"/>
        <w:gridCol w:w="1303"/>
        <w:gridCol w:w="1984"/>
        <w:gridCol w:w="1474"/>
      </w:tblGrid>
      <w:tr w:rsidR="00A94AE0">
        <w:tc>
          <w:tcPr>
            <w:tcW w:w="1814" w:type="dxa"/>
          </w:tcPr>
          <w:p w:rsidR="00A94AE0" w:rsidRDefault="00A94AE0">
            <w:pPr>
              <w:pStyle w:val="ConsPlusNormal"/>
              <w:jc w:val="center"/>
            </w:pPr>
            <w:r>
              <w:t>Код строительного ресурса (материального ресурса или оборудования)</w:t>
            </w:r>
          </w:p>
        </w:tc>
        <w:tc>
          <w:tcPr>
            <w:tcW w:w="2494" w:type="dxa"/>
          </w:tcPr>
          <w:p w:rsidR="00A94AE0" w:rsidRDefault="00A94AE0">
            <w:pPr>
              <w:pStyle w:val="ConsPlusNormal"/>
              <w:jc w:val="center"/>
            </w:pPr>
            <w:r>
              <w:t>Наименование</w:t>
            </w:r>
          </w:p>
        </w:tc>
        <w:tc>
          <w:tcPr>
            <w:tcW w:w="1303" w:type="dxa"/>
          </w:tcPr>
          <w:p w:rsidR="00A94AE0" w:rsidRDefault="00A94AE0">
            <w:pPr>
              <w:pStyle w:val="ConsPlusNormal"/>
              <w:jc w:val="center"/>
            </w:pPr>
            <w:r>
              <w:t>Единица измерения</w:t>
            </w:r>
          </w:p>
        </w:tc>
        <w:tc>
          <w:tcPr>
            <w:tcW w:w="1984" w:type="dxa"/>
          </w:tcPr>
          <w:p w:rsidR="00A94AE0" w:rsidRDefault="00A94AE0">
            <w:pPr>
              <w:pStyle w:val="ConsPlusNormal"/>
              <w:jc w:val="center"/>
            </w:pPr>
            <w:r>
              <w:t>Отпускная цена</w:t>
            </w:r>
          </w:p>
          <w:p w:rsidR="00A94AE0" w:rsidRDefault="00A94AE0">
            <w:pPr>
              <w:pStyle w:val="ConsPlusNormal"/>
              <w:jc w:val="center"/>
            </w:pPr>
            <w:r>
              <w:t>(цена реализации) производителей (импортеров), рублей за единицу измерения, без НДС</w:t>
            </w:r>
          </w:p>
        </w:tc>
        <w:tc>
          <w:tcPr>
            <w:tcW w:w="1474" w:type="dxa"/>
          </w:tcPr>
          <w:p w:rsidR="00A94AE0" w:rsidRDefault="00A94AE0">
            <w:pPr>
              <w:pStyle w:val="ConsPlusNormal"/>
              <w:jc w:val="center"/>
            </w:pPr>
            <w:r>
              <w:t>Сметная цена, рублей за единицу измерения, без НДС</w:t>
            </w:r>
          </w:p>
        </w:tc>
      </w:tr>
      <w:tr w:rsidR="00A94AE0">
        <w:tc>
          <w:tcPr>
            <w:tcW w:w="1814" w:type="dxa"/>
          </w:tcPr>
          <w:p w:rsidR="00A94AE0" w:rsidRDefault="00A94AE0">
            <w:pPr>
              <w:pStyle w:val="ConsPlusNormal"/>
              <w:jc w:val="center"/>
            </w:pPr>
            <w:r>
              <w:t>1</w:t>
            </w:r>
          </w:p>
        </w:tc>
        <w:tc>
          <w:tcPr>
            <w:tcW w:w="2494" w:type="dxa"/>
          </w:tcPr>
          <w:p w:rsidR="00A94AE0" w:rsidRDefault="00A94AE0">
            <w:pPr>
              <w:pStyle w:val="ConsPlusNormal"/>
              <w:jc w:val="center"/>
            </w:pPr>
            <w:r>
              <w:t>2</w:t>
            </w:r>
          </w:p>
        </w:tc>
        <w:tc>
          <w:tcPr>
            <w:tcW w:w="1303" w:type="dxa"/>
          </w:tcPr>
          <w:p w:rsidR="00A94AE0" w:rsidRDefault="00A94AE0">
            <w:pPr>
              <w:pStyle w:val="ConsPlusNormal"/>
              <w:jc w:val="center"/>
            </w:pPr>
            <w:r>
              <w:t>3</w:t>
            </w:r>
          </w:p>
        </w:tc>
        <w:tc>
          <w:tcPr>
            <w:tcW w:w="1984" w:type="dxa"/>
          </w:tcPr>
          <w:p w:rsidR="00A94AE0" w:rsidRDefault="00A94AE0">
            <w:pPr>
              <w:pStyle w:val="ConsPlusNormal"/>
              <w:jc w:val="center"/>
            </w:pPr>
            <w:r>
              <w:t>4</w:t>
            </w:r>
          </w:p>
        </w:tc>
        <w:tc>
          <w:tcPr>
            <w:tcW w:w="1474" w:type="dxa"/>
          </w:tcPr>
          <w:p w:rsidR="00A94AE0" w:rsidRDefault="00A94AE0">
            <w:pPr>
              <w:pStyle w:val="ConsPlusNormal"/>
              <w:jc w:val="center"/>
            </w:pPr>
            <w:r>
              <w:t>5</w:t>
            </w:r>
          </w:p>
        </w:tc>
      </w:tr>
      <w:tr w:rsidR="00A94AE0">
        <w:tc>
          <w:tcPr>
            <w:tcW w:w="1814" w:type="dxa"/>
          </w:tcPr>
          <w:p w:rsidR="00A94AE0" w:rsidRDefault="00A94AE0">
            <w:pPr>
              <w:pStyle w:val="ConsPlusNormal"/>
            </w:pPr>
          </w:p>
        </w:tc>
        <w:tc>
          <w:tcPr>
            <w:tcW w:w="2494" w:type="dxa"/>
          </w:tcPr>
          <w:p w:rsidR="00A94AE0" w:rsidRDefault="00A94AE0">
            <w:pPr>
              <w:pStyle w:val="ConsPlusNormal"/>
            </w:pPr>
          </w:p>
        </w:tc>
        <w:tc>
          <w:tcPr>
            <w:tcW w:w="1303" w:type="dxa"/>
          </w:tcPr>
          <w:p w:rsidR="00A94AE0" w:rsidRDefault="00A94AE0">
            <w:pPr>
              <w:pStyle w:val="ConsPlusNormal"/>
            </w:pPr>
          </w:p>
        </w:tc>
        <w:tc>
          <w:tcPr>
            <w:tcW w:w="1984" w:type="dxa"/>
          </w:tcPr>
          <w:p w:rsidR="00A94AE0" w:rsidRDefault="00A94AE0">
            <w:pPr>
              <w:pStyle w:val="ConsPlusNormal"/>
            </w:pPr>
          </w:p>
        </w:tc>
        <w:tc>
          <w:tcPr>
            <w:tcW w:w="1474" w:type="dxa"/>
          </w:tcPr>
          <w:p w:rsidR="00A94AE0" w:rsidRDefault="00A94AE0">
            <w:pPr>
              <w:pStyle w:val="ConsPlusNormal"/>
            </w:pPr>
          </w:p>
        </w:tc>
      </w:tr>
      <w:tr w:rsidR="00A94AE0">
        <w:tc>
          <w:tcPr>
            <w:tcW w:w="1814" w:type="dxa"/>
          </w:tcPr>
          <w:p w:rsidR="00A94AE0" w:rsidRDefault="00A94AE0">
            <w:pPr>
              <w:pStyle w:val="ConsPlusNormal"/>
            </w:pPr>
          </w:p>
        </w:tc>
        <w:tc>
          <w:tcPr>
            <w:tcW w:w="2494" w:type="dxa"/>
          </w:tcPr>
          <w:p w:rsidR="00A94AE0" w:rsidRDefault="00A94AE0">
            <w:pPr>
              <w:pStyle w:val="ConsPlusNormal"/>
            </w:pPr>
          </w:p>
        </w:tc>
        <w:tc>
          <w:tcPr>
            <w:tcW w:w="1303" w:type="dxa"/>
          </w:tcPr>
          <w:p w:rsidR="00A94AE0" w:rsidRDefault="00A94AE0">
            <w:pPr>
              <w:pStyle w:val="ConsPlusNormal"/>
            </w:pPr>
          </w:p>
        </w:tc>
        <w:tc>
          <w:tcPr>
            <w:tcW w:w="1984" w:type="dxa"/>
          </w:tcPr>
          <w:p w:rsidR="00A94AE0" w:rsidRDefault="00A94AE0">
            <w:pPr>
              <w:pStyle w:val="ConsPlusNormal"/>
            </w:pPr>
          </w:p>
        </w:tc>
        <w:tc>
          <w:tcPr>
            <w:tcW w:w="1474" w:type="dxa"/>
          </w:tcPr>
          <w:p w:rsidR="00A94AE0" w:rsidRDefault="00A94AE0">
            <w:pPr>
              <w:pStyle w:val="ConsPlusNormal"/>
            </w:pPr>
          </w:p>
        </w:tc>
      </w:tr>
      <w:tr w:rsidR="00A94AE0">
        <w:tc>
          <w:tcPr>
            <w:tcW w:w="1814" w:type="dxa"/>
          </w:tcPr>
          <w:p w:rsidR="00A94AE0" w:rsidRDefault="00A94AE0">
            <w:pPr>
              <w:pStyle w:val="ConsPlusNormal"/>
            </w:pPr>
          </w:p>
        </w:tc>
        <w:tc>
          <w:tcPr>
            <w:tcW w:w="2494" w:type="dxa"/>
          </w:tcPr>
          <w:p w:rsidR="00A94AE0" w:rsidRDefault="00A94AE0">
            <w:pPr>
              <w:pStyle w:val="ConsPlusNormal"/>
            </w:pPr>
          </w:p>
        </w:tc>
        <w:tc>
          <w:tcPr>
            <w:tcW w:w="1303" w:type="dxa"/>
          </w:tcPr>
          <w:p w:rsidR="00A94AE0" w:rsidRDefault="00A94AE0">
            <w:pPr>
              <w:pStyle w:val="ConsPlusNormal"/>
            </w:pPr>
          </w:p>
        </w:tc>
        <w:tc>
          <w:tcPr>
            <w:tcW w:w="1984" w:type="dxa"/>
          </w:tcPr>
          <w:p w:rsidR="00A94AE0" w:rsidRDefault="00A94AE0">
            <w:pPr>
              <w:pStyle w:val="ConsPlusNormal"/>
            </w:pPr>
          </w:p>
        </w:tc>
        <w:tc>
          <w:tcPr>
            <w:tcW w:w="1474" w:type="dxa"/>
          </w:tcPr>
          <w:p w:rsidR="00A94AE0" w:rsidRDefault="00A94AE0">
            <w:pPr>
              <w:pStyle w:val="ConsPlusNormal"/>
            </w:pPr>
          </w:p>
        </w:tc>
      </w:tr>
      <w:tr w:rsidR="00A94AE0">
        <w:tc>
          <w:tcPr>
            <w:tcW w:w="1814" w:type="dxa"/>
          </w:tcPr>
          <w:p w:rsidR="00A94AE0" w:rsidRDefault="00A94AE0">
            <w:pPr>
              <w:pStyle w:val="ConsPlusNormal"/>
            </w:pPr>
          </w:p>
        </w:tc>
        <w:tc>
          <w:tcPr>
            <w:tcW w:w="2494" w:type="dxa"/>
          </w:tcPr>
          <w:p w:rsidR="00A94AE0" w:rsidRDefault="00A94AE0">
            <w:pPr>
              <w:pStyle w:val="ConsPlusNormal"/>
            </w:pPr>
          </w:p>
        </w:tc>
        <w:tc>
          <w:tcPr>
            <w:tcW w:w="1303" w:type="dxa"/>
          </w:tcPr>
          <w:p w:rsidR="00A94AE0" w:rsidRDefault="00A94AE0">
            <w:pPr>
              <w:pStyle w:val="ConsPlusNormal"/>
            </w:pPr>
          </w:p>
        </w:tc>
        <w:tc>
          <w:tcPr>
            <w:tcW w:w="1984" w:type="dxa"/>
          </w:tcPr>
          <w:p w:rsidR="00A94AE0" w:rsidRDefault="00A94AE0">
            <w:pPr>
              <w:pStyle w:val="ConsPlusNormal"/>
            </w:pPr>
          </w:p>
        </w:tc>
        <w:tc>
          <w:tcPr>
            <w:tcW w:w="1474" w:type="dxa"/>
          </w:tcPr>
          <w:p w:rsidR="00A94AE0" w:rsidRDefault="00A94AE0">
            <w:pPr>
              <w:pStyle w:val="ConsPlusNormal"/>
            </w:pPr>
          </w:p>
        </w:tc>
      </w:tr>
    </w:tbl>
    <w:p w:rsidR="00A94AE0" w:rsidRDefault="00A94AE0">
      <w:pPr>
        <w:pStyle w:val="ConsPlusNormal"/>
        <w:jc w:val="both"/>
      </w:pPr>
    </w:p>
    <w:p w:rsidR="00A94AE0" w:rsidRDefault="00A94AE0">
      <w:pPr>
        <w:pStyle w:val="ConsPlusNormal"/>
        <w:jc w:val="both"/>
      </w:pPr>
    </w:p>
    <w:p w:rsidR="00A94AE0" w:rsidRDefault="00A94AE0">
      <w:pPr>
        <w:pStyle w:val="ConsPlusNormal"/>
        <w:pBdr>
          <w:bottom w:val="single" w:sz="6" w:space="0" w:color="auto"/>
        </w:pBdr>
        <w:spacing w:before="100" w:after="100"/>
        <w:jc w:val="both"/>
        <w:rPr>
          <w:sz w:val="2"/>
          <w:szCs w:val="2"/>
        </w:rPr>
      </w:pPr>
    </w:p>
    <w:p w:rsidR="009B5F04" w:rsidRDefault="009B5F04">
      <w:bookmarkStart w:id="9" w:name="_GoBack"/>
      <w:bookmarkEnd w:id="9"/>
    </w:p>
    <w:sectPr w:rsidR="009B5F04" w:rsidSect="007020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AE0"/>
    <w:rsid w:val="009B5F04"/>
    <w:rsid w:val="00A94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E27C68-EC50-4566-ADAC-8A6A51090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4AE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94AE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94AE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94AE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974D83D928FF090907635146AC1CE840681A6190B1A372D0B2115C844EEE09C220D31035A5771594846A40E2E26629D2B2F09A4AD0J0k5J" TargetMode="External"/><Relationship Id="rId13" Type="http://schemas.openxmlformats.org/officeDocument/2006/relationships/hyperlink" Target="consultantplus://offline/ref=68974D83D928FF090907635146AC1CE840681A6190B1A372D0B2115C844EEE09C220D3113CA1721594846A40E2E26629D2B2F09A4AD0J0k5J" TargetMode="External"/><Relationship Id="rId18" Type="http://schemas.openxmlformats.org/officeDocument/2006/relationships/hyperlink" Target="consultantplus://offline/ref=68974D83D928FF090907635146AC1CE84068196090B2A372D0B2115C844EEE09C220D31031AF214F84802314EBFD6335CDB2EE9AJ4k8J" TargetMode="External"/><Relationship Id="rId26" Type="http://schemas.openxmlformats.org/officeDocument/2006/relationships/hyperlink" Target="consultantplus://offline/ref=68974D83D928FF090907635146AC1CE84068196090B2A372D0B2115C844EEE09C220D31B32AF214F84802314EBFD6335CDB2EE9AJ4k8J" TargetMode="External"/><Relationship Id="rId3" Type="http://schemas.openxmlformats.org/officeDocument/2006/relationships/webSettings" Target="webSettings.xml"/><Relationship Id="rId21" Type="http://schemas.openxmlformats.org/officeDocument/2006/relationships/image" Target="media/image2.wmf"/><Relationship Id="rId7" Type="http://schemas.openxmlformats.org/officeDocument/2006/relationships/hyperlink" Target="consultantplus://offline/ref=68974D83D928FF090907635146AC1CE840681A6190B1A372D0B2115C844EEE09C220D31335A57D16C0DE7A44ABB66F36D7AEEF9A54D0075AJCk3J" TargetMode="External"/><Relationship Id="rId12" Type="http://schemas.openxmlformats.org/officeDocument/2006/relationships/hyperlink" Target="consultantplus://offline/ref=68974D83D928FF090907635146AC1CE846601A6194B6A372D0B2115C844EEE09C220D31335A4751FC2DE7A44ABB66F36D7AEEF9A54D0075AJCk3J" TargetMode="External"/><Relationship Id="rId17" Type="http://schemas.openxmlformats.org/officeDocument/2006/relationships/hyperlink" Target="consultantplus://offline/ref=68974D83D928FF090907635146AC1CE84068196090B2A372D0B2115C844EEE09C220D31B32AF214F84802314EBFD6335CDB2EE9AJ4k8J" TargetMode="External"/><Relationship Id="rId25" Type="http://schemas.openxmlformats.org/officeDocument/2006/relationships/hyperlink" Target="consultantplus://offline/ref=68974D83D928FF090907635146AC1CE8406A1D6E9CB9A372D0B2115C844EEE09C220D31336A0721ECB817F51BAEE6333CDB1EC8648D205J5kAJ" TargetMode="External"/><Relationship Id="rId2" Type="http://schemas.openxmlformats.org/officeDocument/2006/relationships/settings" Target="settings.xml"/><Relationship Id="rId16" Type="http://schemas.openxmlformats.org/officeDocument/2006/relationships/hyperlink" Target="consultantplus://offline/ref=68974D83D928FF090907635146AC1CE84069196F96B5A372D0B2115C844EEE09C220D31335A4771EC2DE7A44ABB66F36D7AEEF9A54D0075AJCk3J" TargetMode="External"/><Relationship Id="rId20" Type="http://schemas.openxmlformats.org/officeDocument/2006/relationships/image" Target="media/image1.w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8974D83D928FF090907635146AC1CE840681A6190B1A372D0B2115C844EEE09C220D3133CAC761594846A40E2E26629D2B2F09A4AD0J0k5J" TargetMode="External"/><Relationship Id="rId11" Type="http://schemas.openxmlformats.org/officeDocument/2006/relationships/hyperlink" Target="consultantplus://offline/ref=68974D83D928FF090907635146AC1CE8476F146A94B9A372D0B2115C844EEE09C220D31335A4751FC2DE7A44ABB66F36D7AEEF9A54D0075AJCk3J" TargetMode="External"/><Relationship Id="rId24" Type="http://schemas.openxmlformats.org/officeDocument/2006/relationships/image" Target="media/image5.wmf"/><Relationship Id="rId5" Type="http://schemas.openxmlformats.org/officeDocument/2006/relationships/hyperlink" Target="consultantplus://offline/ref=68974D83D928FF090907635146AC1CE840681A6190B1A372D0B2115C844EEE09C220D31335A57D19C6DE7A44ABB66F36D7AEEF9A54D0075AJCk3J" TargetMode="External"/><Relationship Id="rId15" Type="http://schemas.openxmlformats.org/officeDocument/2006/relationships/hyperlink" Target="consultantplus://offline/ref=68974D83D928FF090907635146AC1CE84068196090B2A372D0B2115C844EEE09C220D31335A4751CC3DE7A44ABB66F36D7AEEF9A54D0075AJCk3J" TargetMode="External"/><Relationship Id="rId23" Type="http://schemas.openxmlformats.org/officeDocument/2006/relationships/image" Target="media/image4.wmf"/><Relationship Id="rId28" Type="http://schemas.openxmlformats.org/officeDocument/2006/relationships/image" Target="media/image7.wmf"/><Relationship Id="rId10" Type="http://schemas.openxmlformats.org/officeDocument/2006/relationships/hyperlink" Target="consultantplus://offline/ref=68974D83D928FF090907635146AC1CE8406B156193B0A372D0B2115C844EEE09C220D31335A47717C3DE7A44ABB66F36D7AEEF9A54D0075AJCk3J" TargetMode="External"/><Relationship Id="rId19" Type="http://schemas.openxmlformats.org/officeDocument/2006/relationships/hyperlink" Target="consultantplus://offline/ref=68974D83D928FF090907635146AC1CE84068196090B2A372D0B2115C844EEE09C220D31334A47E4A91917B18EEE77C36D1AEEC9848JDk0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8974D83D928FF090907635146AC1CE8406B156193B0A372D0B2115C844EEE09C220D31335A47717C2DE7A44ABB66F36D7AEEF9A54D0075AJCk3J" TargetMode="External"/><Relationship Id="rId14" Type="http://schemas.openxmlformats.org/officeDocument/2006/relationships/hyperlink" Target="consultantplus://offline/ref=68974D83D928FF090907635146AC1CE84068196090B2A372D0B2115C844EEE09C220D31335A4751FC9DE7A44ABB66F36D7AEEF9A54D0075AJCk3J" TargetMode="External"/><Relationship Id="rId22" Type="http://schemas.openxmlformats.org/officeDocument/2006/relationships/image" Target="media/image3.wmf"/><Relationship Id="rId27" Type="http://schemas.openxmlformats.org/officeDocument/2006/relationships/image" Target="media/image6.wmf"/><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4678</Words>
  <Characters>26668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2022-12-14T09:36:00Z</dcterms:created>
  <dcterms:modified xsi:type="dcterms:W3CDTF">2022-12-14T09:37:00Z</dcterms:modified>
</cp:coreProperties>
</file>