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A6F" w:rsidRDefault="00D26A6F">
      <w:pPr>
        <w:pStyle w:val="ConsPlusNormal"/>
        <w:jc w:val="right"/>
      </w:pPr>
      <w:r>
        <w:t>Приложение N 15</w:t>
      </w:r>
    </w:p>
    <w:p w:rsidR="00D26A6F" w:rsidRDefault="00D26A6F">
      <w:pPr>
        <w:pStyle w:val="ConsPlusNormal"/>
        <w:jc w:val="right"/>
      </w:pPr>
      <w:r>
        <w:t xml:space="preserve">к </w:t>
      </w:r>
      <w:hyperlink r:id="rId7" w:history="1">
        <w:r>
          <w:rPr>
            <w:color w:val="0000FF"/>
          </w:rPr>
          <w:t>приказу</w:t>
        </w:r>
      </w:hyperlink>
      <w:r>
        <w:t xml:space="preserve"> Министерства финансов</w:t>
      </w:r>
    </w:p>
    <w:p w:rsidR="00D26A6F" w:rsidRDefault="00D26A6F">
      <w:pPr>
        <w:pStyle w:val="ConsPlusNormal"/>
        <w:jc w:val="right"/>
      </w:pPr>
      <w:r>
        <w:t>Российской Федерации</w:t>
      </w:r>
    </w:p>
    <w:p w:rsidR="00D26A6F" w:rsidRDefault="00D26A6F">
      <w:pPr>
        <w:pStyle w:val="ConsPlusNormal"/>
        <w:jc w:val="right"/>
      </w:pPr>
      <w:r>
        <w:t>от 24.10.2016 N 192н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Title"/>
        <w:jc w:val="center"/>
      </w:pPr>
      <w:r>
        <w:t>МЕЖДУНАРОДНЫЙ СТАНДАРТ АУДИТА 520 "АНАЛИТИЧЕСКИЕ ПРОЦЕДУРЫ"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r>
        <w:t xml:space="preserve">Международный стандарт аудита (МСА) 520 "Аналитические процедуры" следует рассматривать вместе с </w:t>
      </w:r>
      <w:hyperlink r:id="rId8" w:history="1">
        <w:r>
          <w:rPr>
            <w:color w:val="0000FF"/>
          </w:rPr>
          <w:t>МСА 200</w:t>
        </w:r>
      </w:hyperlink>
      <w:r>
        <w:t xml:space="preserve"> "Основные цели независимого аудитора и проведение аудита в соответствии с Международными стандартами аудита".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0"/>
      </w:pPr>
      <w:r>
        <w:t>Введение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1"/>
      </w:pPr>
      <w:r>
        <w:t>Сфера применения настоящего стандарта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r>
        <w:t xml:space="preserve">1. Настоящий Международный стандарт аудита (МСА) устанавливает обязанности аудитора в отношении аналитических процедур в качестве процедур проверки по существу ("аналитические процедуры проверки по существу"). Кроме того, данный стандарт регламентирует обязанность аудитора по проведению аналитических процедур ближе к окончанию аудита, что будет способствовать формированию у аудитора общего вывода относительно финансовой отчетности. </w:t>
      </w:r>
      <w:hyperlink r:id="rId9" w:history="1">
        <w:r>
          <w:rPr>
            <w:color w:val="0000FF"/>
          </w:rPr>
          <w:t>МСА 315</w:t>
        </w:r>
      </w:hyperlink>
      <w:r>
        <w:t xml:space="preserve"> (</w:t>
      </w:r>
      <w:proofErr w:type="gramStart"/>
      <w:r>
        <w:t>пересмотренный</w:t>
      </w:r>
      <w:proofErr w:type="gramEnd"/>
      <w:r>
        <w:t xml:space="preserve">) &lt;1&gt; посвящен проведению аналитических процедур в качестве процедур оценки рисков. </w:t>
      </w:r>
      <w:hyperlink r:id="rId10" w:history="1">
        <w:r>
          <w:rPr>
            <w:color w:val="0000FF"/>
          </w:rPr>
          <w:t>МСА 330</w:t>
        </w:r>
      </w:hyperlink>
      <w:r>
        <w:t xml:space="preserve"> содержит требования и указания относительно характера, сроков и объема аудиторских процедур, проводимых в отношении оцененных рисков; к числу таких аудиторских процедур могут относиться аналитические процедуры проверки по существу. &lt;2&gt;</w:t>
      </w:r>
    </w:p>
    <w:p w:rsidR="00D26A6F" w:rsidRDefault="00D26A6F">
      <w:pPr>
        <w:pStyle w:val="ConsPlusNormal"/>
        <w:ind w:firstLine="540"/>
        <w:jc w:val="both"/>
      </w:pPr>
      <w:r>
        <w:t>--------------------------------</w:t>
      </w:r>
    </w:p>
    <w:p w:rsidR="00D26A6F" w:rsidRDefault="00D26A6F">
      <w:pPr>
        <w:pStyle w:val="ConsPlusNormal"/>
        <w:ind w:firstLine="540"/>
        <w:jc w:val="both"/>
      </w:pPr>
      <w:r>
        <w:t>&lt;1&gt; МСА 315 (пересмотренный) "Выявление и оценка рисков существенного искажения посредством изучения организац</w:t>
      </w:r>
      <w:proofErr w:type="gramStart"/>
      <w:r>
        <w:t>ии и ее</w:t>
      </w:r>
      <w:proofErr w:type="gramEnd"/>
      <w:r>
        <w:t xml:space="preserve"> окружения", </w:t>
      </w:r>
      <w:hyperlink r:id="rId11" w:history="1">
        <w:r>
          <w:rPr>
            <w:color w:val="0000FF"/>
          </w:rPr>
          <w:t>пункт 6</w:t>
        </w:r>
      </w:hyperlink>
      <w:r>
        <w:t>.</w:t>
      </w:r>
    </w:p>
    <w:p w:rsidR="00D26A6F" w:rsidRDefault="00D26A6F">
      <w:pPr>
        <w:pStyle w:val="ConsPlusNormal"/>
        <w:ind w:firstLine="540"/>
        <w:jc w:val="both"/>
      </w:pPr>
      <w:r>
        <w:t xml:space="preserve">&lt;2&gt; МСА 330 "Аудиторские процедуры в ответ на оцененные риски", </w:t>
      </w:r>
      <w:hyperlink r:id="rId12" w:history="1">
        <w:r>
          <w:rPr>
            <w:color w:val="0000FF"/>
          </w:rPr>
          <w:t>пункты 6</w:t>
        </w:r>
      </w:hyperlink>
      <w:r>
        <w:t xml:space="preserve"> и </w:t>
      </w:r>
      <w:hyperlink r:id="rId13" w:history="1">
        <w:r>
          <w:rPr>
            <w:color w:val="0000FF"/>
          </w:rPr>
          <w:t>18</w:t>
        </w:r>
      </w:hyperlink>
      <w:r>
        <w:t>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0"/>
      </w:pPr>
      <w:r>
        <w:t>Дата вступления в силу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r>
        <w:t>2. Настоящий станда</w:t>
      </w:r>
      <w:proofErr w:type="gramStart"/>
      <w:r>
        <w:t>рт вст</w:t>
      </w:r>
      <w:proofErr w:type="gramEnd"/>
      <w:r>
        <w:t>упает в силу в отношении аудита финансовой отчетности за периоды, начинающиеся 15 декабря 2009 года или после этой даты.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0"/>
      </w:pPr>
      <w:r>
        <w:t>Цели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r>
        <w:t>3. Цель аудитора состоит в том, чтобы:</w:t>
      </w:r>
    </w:p>
    <w:p w:rsidR="00D26A6F" w:rsidRDefault="00D26A6F">
      <w:pPr>
        <w:pStyle w:val="ConsPlusNormal"/>
        <w:ind w:firstLine="540"/>
        <w:jc w:val="both"/>
      </w:pPr>
      <w:r>
        <w:t>(a) получить уместные и надежные аудиторские доказательства при проведении аналитических процедур проверки по существу;</w:t>
      </w:r>
    </w:p>
    <w:p w:rsidR="00D26A6F" w:rsidRDefault="00D26A6F">
      <w:pPr>
        <w:pStyle w:val="ConsPlusNormal"/>
        <w:ind w:firstLine="540"/>
        <w:jc w:val="both"/>
      </w:pPr>
      <w:r>
        <w:t>(b) разработать и провести аналитические процедуры ближе к окончанию аудита, что будет способствовать формированию у аудитора общего вывода относительно соответствия финансовой отчетности пониманию аудитора организации.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0"/>
      </w:pPr>
      <w:r>
        <w:t>Определение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0" w:name="P31"/>
      <w:bookmarkEnd w:id="0"/>
      <w:r>
        <w:t xml:space="preserve">4. Для целей Международных стандартов аудита термин "аналитические процедуры" означает оценку финансовой информации посредством анализа вероятных взаимосвязей между финансовыми и нефинансовыми данными. Аналитические процедуры также предусматривают исследование выявленных отклонений или соотношений, которые противоречат прочей имеющейся информации или существенно расходятся с ожидаемыми показателями (см. </w:t>
      </w:r>
      <w:hyperlink w:anchor="P62" w:history="1">
        <w:r>
          <w:rPr>
            <w:color w:val="0000FF"/>
          </w:rPr>
          <w:t>пункты A1</w:t>
        </w:r>
      </w:hyperlink>
      <w:r>
        <w:t xml:space="preserve"> - </w:t>
      </w:r>
      <w:hyperlink w:anchor="P69" w:history="1">
        <w:r>
          <w:rPr>
            <w:color w:val="0000FF"/>
          </w:rPr>
          <w:t>A3</w:t>
        </w:r>
      </w:hyperlink>
      <w:r>
        <w:t>).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0"/>
      </w:pPr>
      <w:r>
        <w:t>Требования</w:t>
      </w:r>
      <w:bookmarkStart w:id="1" w:name="_GoBack"/>
      <w:bookmarkEnd w:id="1"/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1"/>
      </w:pPr>
      <w:r>
        <w:t>Аналитические процедуры проверки по существу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2" w:name="P37"/>
      <w:bookmarkEnd w:id="2"/>
      <w:r>
        <w:t xml:space="preserve">5. При разработке и проведении аналитических процедур проверки по существу (отдельно или в совокупности с детальными тестами) в качестве процедур проверки по существу в соответствии с </w:t>
      </w:r>
      <w:hyperlink r:id="rId14" w:history="1">
        <w:r>
          <w:rPr>
            <w:color w:val="0000FF"/>
          </w:rPr>
          <w:t>МСА 330</w:t>
        </w:r>
      </w:hyperlink>
      <w:r>
        <w:t xml:space="preserve"> &lt;1&gt; аудитор обязан (см. </w:t>
      </w:r>
      <w:hyperlink w:anchor="P73" w:history="1">
        <w:r>
          <w:rPr>
            <w:color w:val="0000FF"/>
          </w:rPr>
          <w:t>пункты A4</w:t>
        </w:r>
      </w:hyperlink>
      <w:r>
        <w:t xml:space="preserve"> - </w:t>
      </w:r>
      <w:hyperlink w:anchor="P74" w:history="1">
        <w:r>
          <w:rPr>
            <w:color w:val="0000FF"/>
          </w:rPr>
          <w:t>A5</w:t>
        </w:r>
      </w:hyperlink>
      <w:r>
        <w:t>):</w:t>
      </w:r>
    </w:p>
    <w:p w:rsidR="00D26A6F" w:rsidRDefault="00D26A6F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D26A6F" w:rsidRDefault="00D26A6F">
      <w:pPr>
        <w:pStyle w:val="ConsPlusNormal"/>
        <w:ind w:firstLine="540"/>
        <w:jc w:val="both"/>
      </w:pPr>
      <w:r>
        <w:t xml:space="preserve">&lt;1&gt; МСА 330, </w:t>
      </w:r>
      <w:hyperlink r:id="rId15" w:history="1">
        <w:r>
          <w:rPr>
            <w:color w:val="0000FF"/>
          </w:rPr>
          <w:t>пункт 18</w:t>
        </w:r>
      </w:hyperlink>
      <w:r>
        <w:t>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3" w:name="P41"/>
      <w:bookmarkEnd w:id="3"/>
      <w:r>
        <w:t xml:space="preserve">(a) определить пригодность тех или иных аналитических процедур проверки по существу для определенных предпосылок с учетом оцененных рисков существенного искажения и детальных тестов, при их наличии, в отношении данных предпосылок (см. </w:t>
      </w:r>
      <w:hyperlink w:anchor="P78" w:history="1">
        <w:r>
          <w:rPr>
            <w:color w:val="0000FF"/>
          </w:rPr>
          <w:t>пункты A6</w:t>
        </w:r>
      </w:hyperlink>
      <w:r>
        <w:t xml:space="preserve"> - </w:t>
      </w:r>
      <w:hyperlink w:anchor="P86" w:history="1">
        <w:r>
          <w:rPr>
            <w:color w:val="0000FF"/>
          </w:rPr>
          <w:t>A11</w:t>
        </w:r>
      </w:hyperlink>
      <w:r>
        <w:t>);</w:t>
      </w:r>
    </w:p>
    <w:p w:rsidR="00D26A6F" w:rsidRDefault="00D26A6F">
      <w:pPr>
        <w:pStyle w:val="ConsPlusNormal"/>
        <w:ind w:firstLine="540"/>
        <w:jc w:val="both"/>
      </w:pPr>
      <w:r>
        <w:t xml:space="preserve">(b) оценить надежность данных, на которых основано ожидание аудитора по суммам, отраженным в учете, или коэффициентам, с учетом источника, сопоставимости, характера и применимости имеющейся информации, а также средств </w:t>
      </w:r>
      <w:proofErr w:type="gramStart"/>
      <w:r>
        <w:t>контроля за</w:t>
      </w:r>
      <w:proofErr w:type="gramEnd"/>
      <w:r>
        <w:t xml:space="preserve"> ее подготовкой (см. </w:t>
      </w:r>
      <w:hyperlink w:anchor="P90" w:history="1">
        <w:r>
          <w:rPr>
            <w:color w:val="0000FF"/>
          </w:rPr>
          <w:t>пункты A12</w:t>
        </w:r>
      </w:hyperlink>
      <w:r>
        <w:t xml:space="preserve"> - </w:t>
      </w:r>
      <w:hyperlink w:anchor="P102" w:history="1">
        <w:r>
          <w:rPr>
            <w:color w:val="0000FF"/>
          </w:rPr>
          <w:t>A14</w:t>
        </w:r>
      </w:hyperlink>
      <w:r>
        <w:t>);</w:t>
      </w:r>
    </w:p>
    <w:p w:rsidR="00D26A6F" w:rsidRDefault="00D26A6F">
      <w:pPr>
        <w:pStyle w:val="ConsPlusNormal"/>
        <w:ind w:firstLine="540"/>
        <w:jc w:val="both"/>
      </w:pPr>
      <w:bookmarkStart w:id="4" w:name="P43"/>
      <w:bookmarkEnd w:id="4"/>
      <w:r>
        <w:t xml:space="preserve">(c) сформировать ожидание по суммам, отраженным в учете, или коэффициентам и оценить, достаточно ли точно и однозначно сформировано ожидание, чтобы выявить искажение, которое само по себе или в совокупности с другими искажениями может привести к существенному искажению финансовой отчетности (см. </w:t>
      </w:r>
      <w:hyperlink w:anchor="P108" w:history="1">
        <w:r>
          <w:rPr>
            <w:color w:val="0000FF"/>
          </w:rPr>
          <w:t>пункт A15</w:t>
        </w:r>
      </w:hyperlink>
      <w:r>
        <w:t>);</w:t>
      </w:r>
    </w:p>
    <w:p w:rsidR="00D26A6F" w:rsidRDefault="00D26A6F">
      <w:pPr>
        <w:pStyle w:val="ConsPlusNormal"/>
        <w:ind w:firstLine="540"/>
        <w:jc w:val="both"/>
      </w:pPr>
      <w:bookmarkStart w:id="5" w:name="P44"/>
      <w:bookmarkEnd w:id="5"/>
      <w:proofErr w:type="gramStart"/>
      <w:r>
        <w:t xml:space="preserve">(d) определить расхождение между суммами, отраженным в учете, и ожидаемыми показателями, которое является приемлемым без проведения дальнейшего исследования, предусматриваемого </w:t>
      </w:r>
      <w:hyperlink w:anchor="P52" w:history="1">
        <w:r>
          <w:rPr>
            <w:color w:val="0000FF"/>
          </w:rPr>
          <w:t>пунктом 7</w:t>
        </w:r>
      </w:hyperlink>
      <w:r>
        <w:t xml:space="preserve"> (см. </w:t>
      </w:r>
      <w:hyperlink w:anchor="P115" w:history="1">
        <w:r>
          <w:rPr>
            <w:color w:val="0000FF"/>
          </w:rPr>
          <w:t>пункт A16</w:t>
        </w:r>
      </w:hyperlink>
      <w:r>
        <w:t>).</w:t>
      </w:r>
      <w:proofErr w:type="gramEnd"/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1"/>
      </w:pPr>
      <w:r>
        <w:t>Аналитические процедуры, способствующие формированию общего вывода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6" w:name="P48"/>
      <w:bookmarkEnd w:id="6"/>
      <w:r>
        <w:t xml:space="preserve">6. Аудитор обязан разработать и провести аналитические процедуры ближе к окончанию аудита, которые будут способствовать формированию у аудитора общего вывода относительно соответствия финансовой отчетности организации пониманию аудитора (см. </w:t>
      </w:r>
      <w:hyperlink w:anchor="P123" w:history="1">
        <w:r>
          <w:rPr>
            <w:color w:val="0000FF"/>
          </w:rPr>
          <w:t>пункты A17</w:t>
        </w:r>
      </w:hyperlink>
      <w:r>
        <w:t xml:space="preserve"> - </w:t>
      </w:r>
      <w:hyperlink w:anchor="P128" w:history="1">
        <w:r>
          <w:rPr>
            <w:color w:val="0000FF"/>
          </w:rPr>
          <w:t>A19</w:t>
        </w:r>
      </w:hyperlink>
      <w:r>
        <w:t>).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1"/>
      </w:pPr>
      <w:r>
        <w:t>Исследование результатов проведения аналитических процедур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7" w:name="P52"/>
      <w:bookmarkEnd w:id="7"/>
      <w:r>
        <w:t>7. Если в результате проведения аналитических процедур на основании настоящего МСА выявлены отклонения или соотношения, которые противоречат прочей имеющейся информации или существенно расходятся с ожидаемыми показателями, то аудитор обязан исследовать такие расхождения посредством совершения следующих действий:</w:t>
      </w:r>
    </w:p>
    <w:p w:rsidR="00D26A6F" w:rsidRDefault="00D26A6F">
      <w:pPr>
        <w:pStyle w:val="ConsPlusNormal"/>
        <w:ind w:firstLine="540"/>
        <w:jc w:val="both"/>
      </w:pPr>
      <w:r>
        <w:t>(a) направление руководству запросов и получение соответствующих аудиторских доказательств, имеющих отношение к полученным от руководства ответам;</w:t>
      </w:r>
    </w:p>
    <w:p w:rsidR="00D26A6F" w:rsidRDefault="00D26A6F">
      <w:pPr>
        <w:pStyle w:val="ConsPlusNormal"/>
        <w:ind w:firstLine="540"/>
        <w:jc w:val="both"/>
      </w:pPr>
      <w:r>
        <w:t xml:space="preserve">(b) проведение иных аудиторских процедур, которые требуются в данных обстоятельствах (см. </w:t>
      </w:r>
      <w:hyperlink w:anchor="P132" w:history="1">
        <w:r>
          <w:rPr>
            <w:color w:val="0000FF"/>
          </w:rPr>
          <w:t>пункты A20</w:t>
        </w:r>
      </w:hyperlink>
      <w:r>
        <w:t xml:space="preserve"> - </w:t>
      </w:r>
      <w:hyperlink w:anchor="P133" w:history="1">
        <w:r>
          <w:rPr>
            <w:color w:val="0000FF"/>
          </w:rPr>
          <w:t>A21</w:t>
        </w:r>
      </w:hyperlink>
      <w:r>
        <w:t>).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jc w:val="center"/>
      </w:pPr>
      <w:r>
        <w:t>* * *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0"/>
      </w:pPr>
      <w:r>
        <w:t>Руководство по применению и прочие пояснительные материалы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1"/>
      </w:pPr>
      <w:r>
        <w:t xml:space="preserve">Определение аналитических процедур (см. </w:t>
      </w:r>
      <w:hyperlink w:anchor="P31" w:history="1">
        <w:r>
          <w:rPr>
            <w:color w:val="0000FF"/>
          </w:rPr>
          <w:t>пункт 4</w:t>
        </w:r>
      </w:hyperlink>
      <w:r>
        <w:t>)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8" w:name="P62"/>
      <w:bookmarkEnd w:id="8"/>
      <w:r>
        <w:t>A1. Аналитические процедуры предполагают сопоставление финансовой информации организации:</w:t>
      </w:r>
    </w:p>
    <w:p w:rsidR="00D26A6F" w:rsidRDefault="00D26A6F">
      <w:pPr>
        <w:pStyle w:val="ConsPlusNormal"/>
        <w:ind w:firstLine="540"/>
        <w:jc w:val="both"/>
      </w:pPr>
      <w:r>
        <w:t>- со сравнительной информацией за предыдущие периоды;</w:t>
      </w:r>
    </w:p>
    <w:p w:rsidR="00D26A6F" w:rsidRDefault="00D26A6F">
      <w:pPr>
        <w:pStyle w:val="ConsPlusNormal"/>
        <w:ind w:firstLine="540"/>
        <w:jc w:val="both"/>
      </w:pPr>
      <w:r>
        <w:t>- с ожидаемыми результатами деятельности организации, например, бюджетами или прогнозами, или с ожиданиями аудитора, например, относительно амортизации;</w:t>
      </w:r>
    </w:p>
    <w:p w:rsidR="00D26A6F" w:rsidRDefault="00D26A6F">
      <w:pPr>
        <w:pStyle w:val="ConsPlusNormal"/>
        <w:ind w:firstLine="540"/>
        <w:jc w:val="both"/>
      </w:pPr>
      <w:r>
        <w:t>- с аналогичной отраслевой информацией, например, сопоставление коэффициента продаж к дебиторской задолженности организации с усредненными отраслевыми показателями или показателями других аналогичных по размерам организаций в той же отрасли.</w:t>
      </w:r>
    </w:p>
    <w:p w:rsidR="00D26A6F" w:rsidRDefault="00D26A6F">
      <w:pPr>
        <w:pStyle w:val="ConsPlusNormal"/>
        <w:ind w:firstLine="540"/>
        <w:jc w:val="both"/>
      </w:pPr>
      <w:r>
        <w:t>A2. Аналитические процедуры также предусматривают изучение, среди прочего, следующих соотношений:</w:t>
      </w:r>
    </w:p>
    <w:p w:rsidR="00D26A6F" w:rsidRDefault="00D26A6F">
      <w:pPr>
        <w:pStyle w:val="ConsPlusNormal"/>
        <w:ind w:firstLine="540"/>
        <w:jc w:val="both"/>
      </w:pPr>
      <w:r>
        <w:t>- между элементами финансовой информации, которые, как ожидается, будут соответствовать прогнозируемой структуре на основе опыта деятельности организации, например, процентные показатели валовой прибыли;</w:t>
      </w:r>
    </w:p>
    <w:p w:rsidR="00D26A6F" w:rsidRDefault="00D26A6F">
      <w:pPr>
        <w:pStyle w:val="ConsPlusNormal"/>
        <w:ind w:firstLine="540"/>
        <w:jc w:val="both"/>
      </w:pPr>
      <w:r>
        <w:t>- между финансовой информацией и соответствующей нефинансовой информацией, например, соотношение расходов по фонду заработной платы и количества сотрудников.</w:t>
      </w:r>
    </w:p>
    <w:p w:rsidR="00D26A6F" w:rsidRDefault="00D26A6F">
      <w:pPr>
        <w:pStyle w:val="ConsPlusNormal"/>
        <w:ind w:firstLine="540"/>
        <w:jc w:val="both"/>
      </w:pPr>
      <w:bookmarkStart w:id="9" w:name="P69"/>
      <w:bookmarkEnd w:id="9"/>
      <w:r>
        <w:t xml:space="preserve">A3. Для проведения аналитических процедур могут использоваться различные методы - от простого </w:t>
      </w:r>
      <w:r>
        <w:lastRenderedPageBreak/>
        <w:t>сопоставления до комплексного анализа с применением передовых статистических методик. Аналитические процедуры могут быть проведены в отношении консолидированной финансовой отчетности, ее компонентов и отдельных элементов информации.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1"/>
      </w:pPr>
      <w:r>
        <w:t xml:space="preserve">Аналитические процедуры проверки по существу (см. </w:t>
      </w:r>
      <w:hyperlink w:anchor="P37" w:history="1">
        <w:r>
          <w:rPr>
            <w:color w:val="0000FF"/>
          </w:rPr>
          <w:t>пункт 5</w:t>
        </w:r>
      </w:hyperlink>
      <w:r>
        <w:t>)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10" w:name="P73"/>
      <w:bookmarkEnd w:id="10"/>
      <w:r>
        <w:t>A4. Проводимыми аудитором процедурами проверки по существу на уровне предпосылок могут быть детальные тесты, аналитические процедуры проверки по существу или их сочетание. Решение о выборе конкретных аудиторских процедур, в том числе о целесообразности проведения аналитических процедур проверки по существу, должно быть основано на сужден</w:t>
      </w:r>
      <w:proofErr w:type="gramStart"/>
      <w:r>
        <w:t>ии ау</w:t>
      </w:r>
      <w:proofErr w:type="gramEnd"/>
      <w:r>
        <w:t>дитора о предполагаемой результативности и эффективности доступных аудиторских процедур, направленных на снижение аудиторского риска на уровне предпосылок до приемлемо низкого уровня.</w:t>
      </w:r>
    </w:p>
    <w:p w:rsidR="00D26A6F" w:rsidRDefault="00D26A6F">
      <w:pPr>
        <w:pStyle w:val="ConsPlusNormal"/>
        <w:ind w:firstLine="540"/>
        <w:jc w:val="both"/>
      </w:pPr>
      <w:bookmarkStart w:id="11" w:name="P74"/>
      <w:bookmarkEnd w:id="11"/>
      <w:r>
        <w:t>A5. Аудитор может направить в адрес руководства запрос относительно доступности и надежности информации, необходимой для проведения аналитических процедур проверки по существу, и результатов проведения организацией таких аналитических процедур. Использование аналитических данных, подготовленных руководством, может оказаться целесообразно при условии, что аудитор удовлетворен надлежащей подготовкой этих данных.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2"/>
      </w:pPr>
      <w:r>
        <w:t xml:space="preserve">Соответствие тех или иных аналитических процедур определенным предпосылкам (см. </w:t>
      </w:r>
      <w:hyperlink w:anchor="P41" w:history="1">
        <w:r>
          <w:rPr>
            <w:color w:val="0000FF"/>
          </w:rPr>
          <w:t>пункт 5(a)</w:t>
        </w:r>
      </w:hyperlink>
      <w:r>
        <w:t>)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12" w:name="P78"/>
      <w:bookmarkEnd w:id="12"/>
      <w:r>
        <w:t xml:space="preserve">A6. В целом аналитические процедуры проверки по существу чаще всего проводятся применительно к большим объемам операций, поддающихся перспективному прогнозированию. Применимость планируемых аналитических процедур основана на том ожидании, что взаимосвязь между данными </w:t>
      </w:r>
      <w:proofErr w:type="gramStart"/>
      <w:r>
        <w:t>существует</w:t>
      </w:r>
      <w:proofErr w:type="gramEnd"/>
      <w:r>
        <w:t xml:space="preserve"> и будет существовать при отсутствии условий, свидетельствующих об обратном. Вместе с тем целесообразность проведения той или иной аналитической процедуры будет зависеть от оценки аудитором эффективности выявления им искажения, которое само по себе или в совокупности с другими искажениями может привести к существенному искажению финансовой отчетности.</w:t>
      </w:r>
    </w:p>
    <w:p w:rsidR="00D26A6F" w:rsidRDefault="00D26A6F">
      <w:pPr>
        <w:pStyle w:val="ConsPlusNormal"/>
        <w:ind w:firstLine="540"/>
        <w:jc w:val="both"/>
      </w:pPr>
      <w:r>
        <w:t xml:space="preserve">A7. В ряде случаев эффективной аналитической процедурой может стать даже несложная прогнозная модель. </w:t>
      </w:r>
      <w:proofErr w:type="gramStart"/>
      <w:r>
        <w:t>Например, если в организации работает известное количество сотрудников с фиксированными ставками оплаты труда в течение всего отчетного периода, то аудитор может использовать эти данные для оценки - с высокой степенью точности - совокупных расходов по заработной плате за данный период и тем самым предоставить аудиторские доказательства по существенной статье финансовой отчетности и снизить необходимость выполнения детальных тестов по заработной плате.</w:t>
      </w:r>
      <w:proofErr w:type="gramEnd"/>
      <w:r>
        <w:t xml:space="preserve"> Довольно высока эффективность использования в рамках аналитических процедур проверки по существу широко распространенных коэффициентов торговых операций (например, показателя рентабельности по различным видам розничных организаций), которые доказывают обоснованность сумм, отраженных в учете.</w:t>
      </w:r>
    </w:p>
    <w:p w:rsidR="00D26A6F" w:rsidRDefault="00D26A6F">
      <w:pPr>
        <w:pStyle w:val="ConsPlusNormal"/>
        <w:ind w:firstLine="540"/>
        <w:jc w:val="both"/>
      </w:pPr>
      <w:r>
        <w:t>A8. Степень уверенности варьируется в зависимости от вида проводимых аналитических процедур. Например, аналитические процедуры путем прогноза совокупного дохода от аренды многоквартирного здания с учетом ставок аренды, количества квартир и вакантных площадей могут обеспечить получение убедительных доказательств и устранить необходимость проведения дополнительных проверок с использованием детальных тестов при условии достаточного подтверждения надежности используемых при построении такого прогноза данных. Процедура расчета и сопоставления процентных показателей валовой прибыли для целей подтверждения показателей выручки характеризуется меньшей убедительностью доказательств, но может стать полезным дополнением к другим аудиторским процедурам.</w:t>
      </w:r>
    </w:p>
    <w:p w:rsidR="00D26A6F" w:rsidRDefault="00D26A6F">
      <w:pPr>
        <w:pStyle w:val="ConsPlusNormal"/>
        <w:ind w:firstLine="540"/>
        <w:jc w:val="both"/>
      </w:pPr>
      <w:r>
        <w:t xml:space="preserve">A9. Решение о целесообразности тех или иных аналитических процедур проверки по существу обусловлено характером предпосылки и оценкой аудитором риска существенного искажения. Например, если средства </w:t>
      </w:r>
      <w:proofErr w:type="gramStart"/>
      <w:r>
        <w:t>контроля за</w:t>
      </w:r>
      <w:proofErr w:type="gramEnd"/>
      <w:r>
        <w:t xml:space="preserve"> процессами обработки заказов на продукцию являются недостаточно эффективными, то в отношении предпосылок, связанных с дебиторской задолженностью, аудитор может в большей степени полагаться на детальные тесты, чем на аналитические процедуры проверки по существу.</w:t>
      </w:r>
    </w:p>
    <w:p w:rsidR="00D26A6F" w:rsidRDefault="00D26A6F">
      <w:pPr>
        <w:pStyle w:val="ConsPlusNormal"/>
        <w:ind w:firstLine="540"/>
        <w:jc w:val="both"/>
      </w:pPr>
      <w:r>
        <w:t>A10. Те или иные аналитические процедуры проверки по существу могут быть также целесообразны, когда такие процедуры проводятся по той же предпосылке, что и детальные тесты. Например, при получен</w:t>
      </w:r>
      <w:proofErr w:type="gramStart"/>
      <w:r>
        <w:t>ии ау</w:t>
      </w:r>
      <w:proofErr w:type="gramEnd"/>
      <w:r>
        <w:t>диторских доказательств относительно предпосылки оценки остатков дебиторской задолженности аудитор может провести аналитические процедуры в отношении классификации счетов заказчиков по срокам их оплаты в дополнение к детальным тестам последующих поступлений денежных средств для установления вероятности погашения дебиторской задолженности.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2"/>
      </w:pPr>
      <w:r>
        <w:t>Особенности организаций государственного сектора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13" w:name="P86"/>
      <w:bookmarkEnd w:id="13"/>
      <w:r>
        <w:t>A11. Соотношения между отдельными статьями финансовой отчетности, традиционно учитываемые при аудите коммерческих организаций, не всегда применимы при аудите государственных учреждений или иных некоммерческих организаций государственного сектора; например, во многих государственных учреждениях прямая взаимосвязь между выручкой и расходами практически отсутствует. Поскольку расходы на приобретение активов могут не капитализироваться, может отсутствовать зависимость между расходами на приобретение запасов и основных средств, с одной стороны, и суммой активов, отраженной в финансовой отчетности, с другой стороны. Также в государственном секторе могут отсутствовать отраслевые данные или статистика для целей сравнения. Вместе с тем могут быть полезны данные по другим соотношениям, например, расхождения в стоимости строительства дорог из расчета за один километр или расхождения между количеством приобретенных и списанных транспортных средств.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2"/>
      </w:pPr>
      <w:r>
        <w:t xml:space="preserve">Надежность данных (см. </w:t>
      </w:r>
      <w:hyperlink w:anchor="P44" w:history="1">
        <w:r>
          <w:rPr>
            <w:color w:val="0000FF"/>
          </w:rPr>
          <w:t>пункт 5(b)</w:t>
        </w:r>
      </w:hyperlink>
      <w:r>
        <w:t>)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14" w:name="P90"/>
      <w:bookmarkEnd w:id="14"/>
      <w:r>
        <w:t>A12. На степень надежности данных оказывают влияние источник и характер таких данных, а также обстоятельства их получения. Следовательно, при решении вопроса о надежности данных для целей разработки аналитических процедур проверки по существу необходимо учитывать следующие факторы:</w:t>
      </w:r>
    </w:p>
    <w:p w:rsidR="00D26A6F" w:rsidRDefault="00D26A6F">
      <w:pPr>
        <w:pStyle w:val="ConsPlusNormal"/>
        <w:ind w:firstLine="540"/>
        <w:jc w:val="both"/>
      </w:pPr>
      <w:bookmarkStart w:id="15" w:name="P91"/>
      <w:bookmarkEnd w:id="15"/>
      <w:r>
        <w:t>(a) источник имеющейся информации - например, информация может оказаться более надежной, если она получена из независимых источников за пределами организации &lt;1&gt;;</w:t>
      </w:r>
    </w:p>
    <w:p w:rsidR="00D26A6F" w:rsidRDefault="00D26A6F">
      <w:pPr>
        <w:pStyle w:val="ConsPlusNormal"/>
        <w:ind w:firstLine="540"/>
        <w:jc w:val="both"/>
      </w:pPr>
      <w:r>
        <w:t>--------------------------------</w:t>
      </w:r>
    </w:p>
    <w:p w:rsidR="00D26A6F" w:rsidRDefault="00D26A6F">
      <w:pPr>
        <w:pStyle w:val="ConsPlusNormal"/>
        <w:ind w:firstLine="540"/>
        <w:jc w:val="both"/>
      </w:pPr>
      <w:r>
        <w:t xml:space="preserve">&lt;1&gt; </w:t>
      </w:r>
      <w:hyperlink r:id="rId16" w:history="1">
        <w:r>
          <w:rPr>
            <w:color w:val="0000FF"/>
          </w:rPr>
          <w:t>МСА 500</w:t>
        </w:r>
      </w:hyperlink>
      <w:r>
        <w:t xml:space="preserve"> "Аудиторские доказательства", </w:t>
      </w:r>
      <w:hyperlink r:id="rId17" w:history="1">
        <w:r>
          <w:rPr>
            <w:color w:val="0000FF"/>
          </w:rPr>
          <w:t>пункт A31</w:t>
        </w:r>
      </w:hyperlink>
      <w:r>
        <w:t>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r>
        <w:t>(b) сопоставимость имеющейся информации - например, данные об организации, которая производит и реализует специализированную продукцию, необходимо дополнить всесторонними отраслевыми данными в целях сопоставления этих двух категорий информации;</w:t>
      </w:r>
    </w:p>
    <w:p w:rsidR="00D26A6F" w:rsidRDefault="00D26A6F">
      <w:pPr>
        <w:pStyle w:val="ConsPlusNormal"/>
        <w:ind w:firstLine="540"/>
        <w:jc w:val="both"/>
      </w:pPr>
      <w:r>
        <w:t>(c) характер и уместность имеющейся информации - например, необходимо определить, разрабатывались ли бюджеты с ориентиром на ожидаемые результаты или на поставленные цели;</w:t>
      </w:r>
    </w:p>
    <w:p w:rsidR="00D26A6F" w:rsidRDefault="00D26A6F">
      <w:pPr>
        <w:pStyle w:val="ConsPlusNormal"/>
        <w:ind w:firstLine="540"/>
        <w:jc w:val="both"/>
      </w:pPr>
      <w:bookmarkStart w:id="16" w:name="P97"/>
      <w:bookmarkEnd w:id="16"/>
      <w:r>
        <w:t xml:space="preserve">(d) средства </w:t>
      </w:r>
      <w:proofErr w:type="gramStart"/>
      <w:r>
        <w:t>контроля за</w:t>
      </w:r>
      <w:proofErr w:type="gramEnd"/>
      <w:r>
        <w:t xml:space="preserve"> подготовкой информации, которые предназначены для обеспечения ее полноты, точности и действительности - например, контроль за подготовкой, проверкой состояния и ведением бюджетов.</w:t>
      </w:r>
    </w:p>
    <w:p w:rsidR="00D26A6F" w:rsidRDefault="00D26A6F">
      <w:pPr>
        <w:pStyle w:val="ConsPlusNormal"/>
        <w:ind w:firstLine="540"/>
        <w:jc w:val="both"/>
      </w:pPr>
      <w:bookmarkStart w:id="17" w:name="P98"/>
      <w:bookmarkEnd w:id="17"/>
      <w:r>
        <w:t xml:space="preserve">A13. Аудитор может рассмотреть возможность тестирования операционной эффективности средств контроля, если такие имеются, за подготовкой информации организации, используемой аудитором при проведении аналитических процедур проверки по существу в ответ на оцененные риски. Если такие средства контроля эффективны, то, как правило, возрастает уверенность аудитора в надежности информации и, следовательно, в результатах проведения аналитических процедур по существу. Часто операционная эффективность средств </w:t>
      </w:r>
      <w:proofErr w:type="gramStart"/>
      <w:r>
        <w:t>контроля за</w:t>
      </w:r>
      <w:proofErr w:type="gramEnd"/>
      <w:r>
        <w:t xml:space="preserve"> нефинансовой информацией может быть протестирована в сочетании с другими видами тестов средств контроля. Например, при внедрении средств </w:t>
      </w:r>
      <w:proofErr w:type="gramStart"/>
      <w:r>
        <w:t>контроля за</w:t>
      </w:r>
      <w:proofErr w:type="gramEnd"/>
      <w:r>
        <w:t xml:space="preserve"> обработкой счетов на продажу организация может использовать средства контроля за учетом единиц реализуемой продукции. В таких обстоятельствах аудитор может использовать операционную эффективность средств контроля </w:t>
      </w:r>
      <w:proofErr w:type="gramStart"/>
      <w:r>
        <w:t>за учетом натуральных единиц продаж в сочетании с тестами операционной эффективности средств контроля за обработкой счетов на реализуемую продукцию</w:t>
      </w:r>
      <w:proofErr w:type="gramEnd"/>
      <w:r>
        <w:t xml:space="preserve">. В качестве альтернативного варианта аудитор может учесть, проходила ли данная информация аудиторские тесты. </w:t>
      </w:r>
      <w:hyperlink r:id="rId18" w:history="1">
        <w:r>
          <w:rPr>
            <w:color w:val="0000FF"/>
          </w:rPr>
          <w:t>МСА 500</w:t>
        </w:r>
      </w:hyperlink>
      <w:r>
        <w:t xml:space="preserve"> устанавливает требования и содержит указания по определению аудиторских процедур, проводимых в отношении информации, используемой для аналитических процедур проверки по существу &lt;1&gt;.</w:t>
      </w:r>
    </w:p>
    <w:p w:rsidR="00D26A6F" w:rsidRDefault="00D26A6F">
      <w:pPr>
        <w:pStyle w:val="ConsPlusNormal"/>
        <w:ind w:firstLine="540"/>
        <w:jc w:val="both"/>
      </w:pPr>
      <w:r>
        <w:t>--------------------------------</w:t>
      </w:r>
    </w:p>
    <w:p w:rsidR="00D26A6F" w:rsidRDefault="00D26A6F">
      <w:pPr>
        <w:pStyle w:val="ConsPlusNormal"/>
        <w:ind w:firstLine="540"/>
        <w:jc w:val="both"/>
      </w:pPr>
      <w:r>
        <w:t xml:space="preserve">&lt;1&gt; МСА 500, </w:t>
      </w:r>
      <w:hyperlink r:id="rId19" w:history="1">
        <w:r>
          <w:rPr>
            <w:color w:val="0000FF"/>
          </w:rPr>
          <w:t>пункт 10</w:t>
        </w:r>
      </w:hyperlink>
      <w:r>
        <w:t>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18" w:name="P102"/>
      <w:bookmarkEnd w:id="18"/>
      <w:r>
        <w:t xml:space="preserve">A14. Вопросы, изложенные в </w:t>
      </w:r>
      <w:hyperlink w:anchor="P91" w:history="1">
        <w:r>
          <w:rPr>
            <w:color w:val="0000FF"/>
          </w:rPr>
          <w:t>пунктах A12(a)</w:t>
        </w:r>
      </w:hyperlink>
      <w:r>
        <w:t xml:space="preserve"> - </w:t>
      </w:r>
      <w:hyperlink w:anchor="P97" w:history="1">
        <w:r>
          <w:rPr>
            <w:color w:val="0000FF"/>
          </w:rPr>
          <w:t>A12(d)</w:t>
        </w:r>
      </w:hyperlink>
      <w:r>
        <w:t xml:space="preserve">, являются уместными независимо от того, проводит ли аудитор аналитические процедуры проверки по существу в отношении финансовой отчетности организации по состоянию на конец периода или на промежуточную дату и планирует ли он проводить аналитические процедуры проверки по существу за оставшийся период. </w:t>
      </w:r>
      <w:hyperlink r:id="rId20" w:history="1">
        <w:r>
          <w:rPr>
            <w:color w:val="0000FF"/>
          </w:rPr>
          <w:t>МСА 330</w:t>
        </w:r>
      </w:hyperlink>
      <w:r>
        <w:t xml:space="preserve"> устанавливает требования и содержит указания по проведению процедур проверки по существу по состоянию на промежуточную дату &lt;1&gt;.</w:t>
      </w:r>
    </w:p>
    <w:p w:rsidR="00D26A6F" w:rsidRDefault="00D26A6F">
      <w:pPr>
        <w:pStyle w:val="ConsPlusNormal"/>
        <w:ind w:firstLine="540"/>
        <w:jc w:val="both"/>
      </w:pPr>
      <w:r>
        <w:t>--------------------------------</w:t>
      </w:r>
    </w:p>
    <w:p w:rsidR="00D26A6F" w:rsidRDefault="00D26A6F">
      <w:pPr>
        <w:pStyle w:val="ConsPlusNormal"/>
        <w:ind w:firstLine="540"/>
        <w:jc w:val="both"/>
      </w:pPr>
      <w:r>
        <w:lastRenderedPageBreak/>
        <w:t xml:space="preserve">&lt;1&gt; МСА 330, </w:t>
      </w:r>
      <w:hyperlink r:id="rId21" w:history="1">
        <w:r>
          <w:rPr>
            <w:color w:val="0000FF"/>
          </w:rPr>
          <w:t>пункты 22</w:t>
        </w:r>
      </w:hyperlink>
      <w:r>
        <w:t xml:space="preserve"> - </w:t>
      </w:r>
      <w:hyperlink r:id="rId22" w:history="1">
        <w:r>
          <w:rPr>
            <w:color w:val="0000FF"/>
          </w:rPr>
          <w:t>23</w:t>
        </w:r>
      </w:hyperlink>
      <w:r>
        <w:t>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2"/>
      </w:pPr>
      <w:r>
        <w:t xml:space="preserve">Оценка того, достаточно ли точно сформировано ожидание (см. </w:t>
      </w:r>
      <w:hyperlink w:anchor="P43" w:history="1">
        <w:r>
          <w:rPr>
            <w:color w:val="0000FF"/>
          </w:rPr>
          <w:t>пункт 5(c)</w:t>
        </w:r>
      </w:hyperlink>
      <w:r>
        <w:t>)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19" w:name="P108"/>
      <w:bookmarkEnd w:id="19"/>
      <w:r>
        <w:t>A15. К числу вопросов, имеющих отношение к оценке аудитором того, может ли быть сформировано ожидание, которое было бы достаточно точным для выявления искажения, которое само по себе или в совокупности с другими искажениями может привести к существенному искажению финансовой отчетности, относятся следующие:</w:t>
      </w:r>
    </w:p>
    <w:p w:rsidR="00D26A6F" w:rsidRDefault="00D26A6F">
      <w:pPr>
        <w:pStyle w:val="ConsPlusNormal"/>
        <w:ind w:firstLine="540"/>
        <w:jc w:val="both"/>
      </w:pPr>
      <w:r>
        <w:t xml:space="preserve">- степень </w:t>
      </w:r>
      <w:proofErr w:type="gramStart"/>
      <w:r>
        <w:t>точности прогнозирования ожидаемых результатов проведения аналитических процедур проверки</w:t>
      </w:r>
      <w:proofErr w:type="gramEnd"/>
      <w:r>
        <w:t xml:space="preserve"> по существу - например, аудитор может предполагать более высокую степень непротиворечивости при сопоставлении данных по валовой прибыли за разные периоды по сравнению с такими необязательными расходами, как расходы на НИОКР или рекламу;</w:t>
      </w:r>
    </w:p>
    <w:p w:rsidR="00D26A6F" w:rsidRDefault="00D26A6F">
      <w:pPr>
        <w:pStyle w:val="ConsPlusNormal"/>
        <w:ind w:firstLine="540"/>
        <w:jc w:val="both"/>
      </w:pPr>
      <w:r>
        <w:t xml:space="preserve">- возможность </w:t>
      </w:r>
      <w:proofErr w:type="spellStart"/>
      <w:r>
        <w:t>дезагрегирования</w:t>
      </w:r>
      <w:proofErr w:type="spellEnd"/>
      <w:r>
        <w:t xml:space="preserve"> информации - например, аналитические процедуры проверки по существу могут быть более эффективными в случае их применения к финансовой информации по отдельным составляющим операций или к финансовой отчетности, составленной по компонентам деятельности диверсифицированной организации, нежели при применении таких процедур к финансовой отчетности организации в целом;</w:t>
      </w:r>
    </w:p>
    <w:p w:rsidR="00D26A6F" w:rsidRDefault="00D26A6F">
      <w:pPr>
        <w:pStyle w:val="ConsPlusNormal"/>
        <w:ind w:firstLine="540"/>
        <w:jc w:val="both"/>
      </w:pPr>
      <w:r>
        <w:t xml:space="preserve">- доступность информации, как финансовой, так и нефинансовой, - например, при разработке аналитических процедур проверки по существу аудитор может рассмотреть доступность финансовой информации (такой как бюджеты и прогнозы) и нефинансовой информации (такой как количество единиц произведенной или реализованной продукции). Если такая информация доступна, то аудитор также может оценить степень ее надежности (см. </w:t>
      </w:r>
      <w:hyperlink w:anchor="P90" w:history="1">
        <w:r>
          <w:rPr>
            <w:color w:val="0000FF"/>
          </w:rPr>
          <w:t>пункты A12</w:t>
        </w:r>
      </w:hyperlink>
      <w:r>
        <w:t xml:space="preserve"> - </w:t>
      </w:r>
      <w:hyperlink w:anchor="P98" w:history="1">
        <w:r>
          <w:rPr>
            <w:color w:val="0000FF"/>
          </w:rPr>
          <w:t>A13</w:t>
        </w:r>
      </w:hyperlink>
      <w:r>
        <w:t xml:space="preserve"> выше).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2"/>
      </w:pPr>
      <w:r>
        <w:t xml:space="preserve">Приемлемое расхождение между суммами, отраженными в учете, и ожидаемыми показателями (см. </w:t>
      </w:r>
      <w:hyperlink w:anchor="P44" w:history="1">
        <w:r>
          <w:rPr>
            <w:color w:val="0000FF"/>
          </w:rPr>
          <w:t>пункт 5(d)</w:t>
        </w:r>
      </w:hyperlink>
      <w:r>
        <w:t>)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20" w:name="P115"/>
      <w:bookmarkEnd w:id="20"/>
      <w:r>
        <w:t xml:space="preserve">A16. Решение аудитора в отношении приемлемого отклонения от ожидаемых показателей без проведения дополнительного исследования зависит от существенности &lt;1&gt; и соответствия требуемому уровню уверенности с учетом возможности того, что искажение само по себе или в совокупности с другими искажениями может привести к существенному искажению финансовой отчетности. Согласно </w:t>
      </w:r>
      <w:hyperlink r:id="rId23" w:history="1">
        <w:r>
          <w:rPr>
            <w:color w:val="0000FF"/>
          </w:rPr>
          <w:t>МСА 330</w:t>
        </w:r>
      </w:hyperlink>
      <w:r>
        <w:t>, чем выше аудитор оценивает риск, тем более убедительные аудиторские доказательства он должен получить &lt;2&gt;. Следовательно, по мере увеличения оцененного риска уменьшается приемлемое расхождение без проведения дополнительного исследования, что позволяет обеспечить требуемый уровень убедительности доказательств &lt;3&gt;.</w:t>
      </w:r>
    </w:p>
    <w:p w:rsidR="00D26A6F" w:rsidRDefault="00D26A6F">
      <w:pPr>
        <w:pStyle w:val="ConsPlusNormal"/>
        <w:ind w:firstLine="540"/>
        <w:jc w:val="both"/>
      </w:pPr>
      <w:r>
        <w:t>--------------------------------</w:t>
      </w:r>
    </w:p>
    <w:p w:rsidR="00D26A6F" w:rsidRDefault="00D26A6F">
      <w:pPr>
        <w:pStyle w:val="ConsPlusNormal"/>
        <w:ind w:firstLine="540"/>
        <w:jc w:val="both"/>
      </w:pPr>
      <w:r>
        <w:t xml:space="preserve">&lt;1&gt; </w:t>
      </w:r>
      <w:hyperlink r:id="rId24" w:history="1">
        <w:r>
          <w:rPr>
            <w:color w:val="0000FF"/>
          </w:rPr>
          <w:t>МСА 320</w:t>
        </w:r>
      </w:hyperlink>
      <w:r>
        <w:t xml:space="preserve"> "Существенность при планировании и проведен</w:t>
      </w:r>
      <w:proofErr w:type="gramStart"/>
      <w:r>
        <w:t>ии ау</w:t>
      </w:r>
      <w:proofErr w:type="gramEnd"/>
      <w:r>
        <w:t xml:space="preserve">дита", </w:t>
      </w:r>
      <w:hyperlink r:id="rId25" w:history="1">
        <w:r>
          <w:rPr>
            <w:color w:val="0000FF"/>
          </w:rPr>
          <w:t>пункт A13</w:t>
        </w:r>
      </w:hyperlink>
      <w:r>
        <w:t>.</w:t>
      </w:r>
    </w:p>
    <w:p w:rsidR="00D26A6F" w:rsidRDefault="00D26A6F">
      <w:pPr>
        <w:pStyle w:val="ConsPlusNormal"/>
        <w:ind w:firstLine="540"/>
        <w:jc w:val="both"/>
      </w:pPr>
      <w:r>
        <w:t xml:space="preserve">&lt;2&gt; МСА 330, </w:t>
      </w:r>
      <w:hyperlink r:id="rId26" w:history="1">
        <w:r>
          <w:rPr>
            <w:color w:val="0000FF"/>
          </w:rPr>
          <w:t>пункт 7(b)</w:t>
        </w:r>
      </w:hyperlink>
      <w:r>
        <w:t>.</w:t>
      </w:r>
    </w:p>
    <w:p w:rsidR="00D26A6F" w:rsidRDefault="00D26A6F">
      <w:pPr>
        <w:pStyle w:val="ConsPlusNormal"/>
        <w:ind w:firstLine="540"/>
        <w:jc w:val="both"/>
      </w:pPr>
      <w:r>
        <w:t xml:space="preserve">&lt;3&gt; МСА 330, </w:t>
      </w:r>
      <w:hyperlink r:id="rId27" w:history="1">
        <w:r>
          <w:rPr>
            <w:color w:val="0000FF"/>
          </w:rPr>
          <w:t>пункт A19</w:t>
        </w:r>
      </w:hyperlink>
      <w:r>
        <w:t>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1"/>
      </w:pPr>
      <w:r>
        <w:t xml:space="preserve">Аналитические процедуры, способствующие формированию общего вывода (см. </w:t>
      </w:r>
      <w:hyperlink w:anchor="P48" w:history="1">
        <w:r>
          <w:rPr>
            <w:color w:val="0000FF"/>
          </w:rPr>
          <w:t>пункт 6</w:t>
        </w:r>
      </w:hyperlink>
      <w:r>
        <w:t>)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21" w:name="P123"/>
      <w:bookmarkEnd w:id="21"/>
      <w:r>
        <w:t xml:space="preserve">A17. Выводы, основанные на результатах аналитических процедур, разработанных и проведенных в соответствии с </w:t>
      </w:r>
      <w:hyperlink w:anchor="P48" w:history="1">
        <w:r>
          <w:rPr>
            <w:color w:val="0000FF"/>
          </w:rPr>
          <w:t>пунктом 6</w:t>
        </w:r>
      </w:hyperlink>
      <w:r>
        <w:t>, призваны подтвердить выводы, сформированные в ходе аудита отдельных компонентов или элементов финансовой отчетности. Это способствует формированию аудитором обоснованных выводов, на которых будет основано его мнение.</w:t>
      </w:r>
    </w:p>
    <w:p w:rsidR="00D26A6F" w:rsidRDefault="00D26A6F">
      <w:pPr>
        <w:pStyle w:val="ConsPlusNormal"/>
        <w:ind w:firstLine="540"/>
        <w:jc w:val="both"/>
      </w:pPr>
      <w:r>
        <w:t xml:space="preserve">A18. Результаты таких аналитических процедур могут выявить ранее не выявленный риск существенного искажения. В таких случаях </w:t>
      </w:r>
      <w:hyperlink r:id="rId28" w:history="1">
        <w:r>
          <w:rPr>
            <w:color w:val="0000FF"/>
          </w:rPr>
          <w:t>МСА 315</w:t>
        </w:r>
      </w:hyperlink>
      <w:r>
        <w:t xml:space="preserve"> (</w:t>
      </w:r>
      <w:proofErr w:type="gramStart"/>
      <w:r>
        <w:t>пересмотренный</w:t>
      </w:r>
      <w:proofErr w:type="gramEnd"/>
      <w:r>
        <w:t>) предусматривает требование по пересмотру аудитором своей оценки рисков существенного искажения и внесению соответствующих изменений в дальнейшие запланированные аудиторские процедуры &lt;1&gt;.</w:t>
      </w:r>
    </w:p>
    <w:p w:rsidR="00D26A6F" w:rsidRDefault="00D26A6F">
      <w:pPr>
        <w:pStyle w:val="ConsPlusNormal"/>
        <w:ind w:firstLine="540"/>
        <w:jc w:val="both"/>
      </w:pPr>
      <w:r>
        <w:t>--------------------------------</w:t>
      </w:r>
    </w:p>
    <w:p w:rsidR="00D26A6F" w:rsidRDefault="00D26A6F">
      <w:pPr>
        <w:pStyle w:val="ConsPlusNormal"/>
        <w:ind w:firstLine="540"/>
        <w:jc w:val="both"/>
      </w:pPr>
      <w:r>
        <w:t xml:space="preserve">&lt;1&gt; МСА 315 (пересмотренный), </w:t>
      </w:r>
      <w:hyperlink r:id="rId29" w:history="1">
        <w:r>
          <w:rPr>
            <w:color w:val="0000FF"/>
          </w:rPr>
          <w:t>пункт 31</w:t>
        </w:r>
      </w:hyperlink>
      <w:r>
        <w:t>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22" w:name="P128"/>
      <w:bookmarkEnd w:id="22"/>
      <w:r>
        <w:t xml:space="preserve">A19. Аналитические процедуры, проведенные в соответствии с </w:t>
      </w:r>
      <w:hyperlink w:anchor="P48" w:history="1">
        <w:r>
          <w:rPr>
            <w:color w:val="0000FF"/>
          </w:rPr>
          <w:t>пунктом 6</w:t>
        </w:r>
      </w:hyperlink>
      <w:r>
        <w:t>, могут быть аналогичны процедурам, которые применялись бы в качестве процедур оценки рисков.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  <w:outlineLvl w:val="1"/>
      </w:pPr>
      <w:r>
        <w:lastRenderedPageBreak/>
        <w:t xml:space="preserve">Исследование результатов аналитических процедур (см. </w:t>
      </w:r>
      <w:hyperlink w:anchor="P52" w:history="1">
        <w:r>
          <w:rPr>
            <w:color w:val="0000FF"/>
          </w:rPr>
          <w:t>пункт 7</w:t>
        </w:r>
      </w:hyperlink>
      <w:r>
        <w:t>)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ind w:firstLine="540"/>
        <w:jc w:val="both"/>
      </w:pPr>
      <w:bookmarkStart w:id="23" w:name="P132"/>
      <w:bookmarkEnd w:id="23"/>
      <w:r>
        <w:t>A20. Аудиторские доказательства, имеющие отношение к ответам руководства, могут быть получены путем оценки таких ответов с учетом понимания аудитором деятельности организац</w:t>
      </w:r>
      <w:proofErr w:type="gramStart"/>
      <w:r>
        <w:t>ии и ее</w:t>
      </w:r>
      <w:proofErr w:type="gramEnd"/>
      <w:r>
        <w:t xml:space="preserve"> окружения и других аудиторских доказательств, полученных в ходе аудита.</w:t>
      </w:r>
    </w:p>
    <w:p w:rsidR="00D26A6F" w:rsidRDefault="00D26A6F">
      <w:pPr>
        <w:pStyle w:val="ConsPlusNormal"/>
        <w:ind w:firstLine="540"/>
        <w:jc w:val="both"/>
      </w:pPr>
      <w:bookmarkStart w:id="24" w:name="P133"/>
      <w:bookmarkEnd w:id="24"/>
      <w:r>
        <w:t>A21. Потребность проведения иных аудиторских процедур может возникнуть, если, например, руководство не способно предоставить требуемое разъяснение или если разъяснение, вместе с полученными аудиторскими доказательствами, имеющими отношение к ответу руководства, не считается надлежащим.</w:t>
      </w: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jc w:val="both"/>
      </w:pPr>
    </w:p>
    <w:p w:rsidR="00D26A6F" w:rsidRDefault="00D26A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1849" w:rsidRDefault="00211849"/>
    <w:sectPr w:rsidR="00211849" w:rsidSect="00D26A6F">
      <w:headerReference w:type="default" r:id="rId30"/>
      <w:pgSz w:w="11906" w:h="16838"/>
      <w:pgMar w:top="719" w:right="566" w:bottom="719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ADC" w:rsidRDefault="00F21ADC" w:rsidP="00D26A6F">
      <w:pPr>
        <w:spacing w:after="0" w:line="240" w:lineRule="auto"/>
      </w:pPr>
      <w:r>
        <w:separator/>
      </w:r>
    </w:p>
  </w:endnote>
  <w:endnote w:type="continuationSeparator" w:id="0">
    <w:p w:rsidR="00F21ADC" w:rsidRDefault="00F21ADC" w:rsidP="00D2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ADC" w:rsidRDefault="00F21ADC" w:rsidP="00D26A6F">
      <w:pPr>
        <w:spacing w:after="0" w:line="240" w:lineRule="auto"/>
      </w:pPr>
      <w:r>
        <w:separator/>
      </w:r>
    </w:p>
  </w:footnote>
  <w:footnote w:type="continuationSeparator" w:id="0">
    <w:p w:rsidR="00F21ADC" w:rsidRDefault="00F21ADC" w:rsidP="00D26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3857849"/>
      <w:docPartObj>
        <w:docPartGallery w:val="Page Numbers (Top of Page)"/>
        <w:docPartUnique/>
      </w:docPartObj>
    </w:sdtPr>
    <w:sdtContent>
      <w:p w:rsidR="00D26A6F" w:rsidRDefault="00D26A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26A6F" w:rsidRDefault="00D26A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6F"/>
    <w:rsid w:val="00211849"/>
    <w:rsid w:val="00D26A6F"/>
    <w:rsid w:val="00F2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6A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6A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6A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26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A6F"/>
  </w:style>
  <w:style w:type="paragraph" w:styleId="a5">
    <w:name w:val="footer"/>
    <w:basedOn w:val="a"/>
    <w:link w:val="a6"/>
    <w:uiPriority w:val="99"/>
    <w:unhideWhenUsed/>
    <w:rsid w:val="00D26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6A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6A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6A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26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A6F"/>
  </w:style>
  <w:style w:type="paragraph" w:styleId="a5">
    <w:name w:val="footer"/>
    <w:basedOn w:val="a"/>
    <w:link w:val="a6"/>
    <w:uiPriority w:val="99"/>
    <w:unhideWhenUsed/>
    <w:rsid w:val="00D26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FE0B59EFAEC2048D59E24C6AFAD4770109F033E6703FD89DA473B8E7C9J9R" TargetMode="External"/><Relationship Id="rId13" Type="http://schemas.openxmlformats.org/officeDocument/2006/relationships/hyperlink" Target="consultantplus://offline/ref=EAFE0B59EFAEC2048D59E24C6AFAD4770109F033E6763FD89DA473B8E799B7AEA611309E851D7BC6C8J2R" TargetMode="External"/><Relationship Id="rId18" Type="http://schemas.openxmlformats.org/officeDocument/2006/relationships/hyperlink" Target="consultantplus://offline/ref=EAFE0B59EFAEC2048D59E24C6AFAD4770109F033EB7A3FD89DA473B8E7C9J9R" TargetMode="External"/><Relationship Id="rId26" Type="http://schemas.openxmlformats.org/officeDocument/2006/relationships/hyperlink" Target="consultantplus://offline/ref=EAFE0B59EFAEC2048D59E24C6AFAD4770109F033E6763FD89DA473B8E799B7AEA611309E851D7BC2C8JDR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AFE0B59EFAEC2048D59E24C6AFAD4770109F033E6763FD89DA473B8E799B7AEA611309E851D7BC7C8J3R" TargetMode="External"/><Relationship Id="rId7" Type="http://schemas.openxmlformats.org/officeDocument/2006/relationships/hyperlink" Target="consultantplus://offline/ref=EAFE0B59EFAEC2048D59E24C6AFAD4770109FF3BE7713FD89DA473B8E799B7AEA611309E851D7BC2C8J4R" TargetMode="External"/><Relationship Id="rId12" Type="http://schemas.openxmlformats.org/officeDocument/2006/relationships/hyperlink" Target="consultantplus://offline/ref=EAFE0B59EFAEC2048D59E24C6AFAD4770109F033E6763FD89DA473B8E799B7AEA611309E851D7BC2C8J6R" TargetMode="External"/><Relationship Id="rId17" Type="http://schemas.openxmlformats.org/officeDocument/2006/relationships/hyperlink" Target="consultantplus://offline/ref=EAFE0B59EFAEC2048D59E24C6AFAD4770109F033EB7A3FD89DA473B8E799B7AEA611309E851D7AC0C8JDR" TargetMode="External"/><Relationship Id="rId25" Type="http://schemas.openxmlformats.org/officeDocument/2006/relationships/hyperlink" Target="consultantplus://offline/ref=EAFE0B59EFAEC2048D59E24C6AFAD4770109F033EB773FD89DA473B8E799B7AEA611309E851D7BC9C8J3R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AFE0B59EFAEC2048D59E24C6AFAD4770109F033EB7A3FD89DA473B8E7C9J9R" TargetMode="External"/><Relationship Id="rId20" Type="http://schemas.openxmlformats.org/officeDocument/2006/relationships/hyperlink" Target="consultantplus://offline/ref=EAFE0B59EFAEC2048D59E24C6AFAD4770109F033E6763FD89DA473B8E7C9J9R" TargetMode="External"/><Relationship Id="rId29" Type="http://schemas.openxmlformats.org/officeDocument/2006/relationships/hyperlink" Target="consultantplus://offline/ref=EAFE0B59EFAEC2048D59E24C6AFAD4770109F13AE8733FD89DA473B8E799B7AEA611309E851D7AC0C8J7R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AFE0B59EFAEC2048D59E24C6AFAD4770109F13AE8733FD89DA473B8E799B7AEA611309E851D7BC2C8J4R" TargetMode="External"/><Relationship Id="rId24" Type="http://schemas.openxmlformats.org/officeDocument/2006/relationships/hyperlink" Target="consultantplus://offline/ref=EAFE0B59EFAEC2048D59E24C6AFAD4770109F033EB773FD89DA473B8E7C9J9R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AFE0B59EFAEC2048D59E24C6AFAD4770109F033E6763FD89DA473B8E799B7AEA611309E851D7BC6C8J2R" TargetMode="External"/><Relationship Id="rId23" Type="http://schemas.openxmlformats.org/officeDocument/2006/relationships/hyperlink" Target="consultantplus://offline/ref=EAFE0B59EFAEC2048D59E24C6AFAD4770109F033E6763FD89DA473B8E7C9J9R" TargetMode="External"/><Relationship Id="rId28" Type="http://schemas.openxmlformats.org/officeDocument/2006/relationships/hyperlink" Target="consultantplus://offline/ref=EAFE0B59EFAEC2048D59E24C6AFAD4770109F13AE8733FD89DA473B8E7C9J9R" TargetMode="External"/><Relationship Id="rId10" Type="http://schemas.openxmlformats.org/officeDocument/2006/relationships/hyperlink" Target="consultantplus://offline/ref=EAFE0B59EFAEC2048D59E24C6AFAD4770109F033E6763FD89DA473B8E7C9J9R" TargetMode="External"/><Relationship Id="rId19" Type="http://schemas.openxmlformats.org/officeDocument/2006/relationships/hyperlink" Target="consultantplus://offline/ref=EAFE0B59EFAEC2048D59E24C6AFAD4770109F033EB7A3FD89DA473B8E799B7AEA611309E851D7BC3C8JDR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FE0B59EFAEC2048D59E24C6AFAD4770109F13AE8733FD89DA473B8E7C9J9R" TargetMode="External"/><Relationship Id="rId14" Type="http://schemas.openxmlformats.org/officeDocument/2006/relationships/hyperlink" Target="consultantplus://offline/ref=EAFE0B59EFAEC2048D59E24C6AFAD4770109F033E6763FD89DA473B8E7C9J9R" TargetMode="External"/><Relationship Id="rId22" Type="http://schemas.openxmlformats.org/officeDocument/2006/relationships/hyperlink" Target="consultantplus://offline/ref=EAFE0B59EFAEC2048D59E24C6AFAD4770109F033E6763FD89DA473B8E799B7AEA611309E851D7BC8C8J5R" TargetMode="External"/><Relationship Id="rId27" Type="http://schemas.openxmlformats.org/officeDocument/2006/relationships/hyperlink" Target="consultantplus://offline/ref=EAFE0B59EFAEC2048D59E24C6AFAD4770109F033E6763FD89DA473B8E799B7AEA611309E851D7AC4C8J0R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3326</Words>
  <Characters>18963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1</cp:revision>
  <dcterms:created xsi:type="dcterms:W3CDTF">2016-12-29T17:09:00Z</dcterms:created>
  <dcterms:modified xsi:type="dcterms:W3CDTF">2016-12-29T17:10:00Z</dcterms:modified>
</cp:coreProperties>
</file>