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7AF" w:rsidRDefault="00CD17A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D17AF" w:rsidRDefault="00CD17AF">
      <w:pPr>
        <w:pStyle w:val="ConsPlusNormal"/>
        <w:jc w:val="both"/>
        <w:outlineLvl w:val="0"/>
      </w:pPr>
    </w:p>
    <w:p w:rsidR="00CD17AF" w:rsidRDefault="00CD17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D17AF" w:rsidRDefault="00CD17AF">
      <w:pPr>
        <w:pStyle w:val="ConsPlusTitle"/>
        <w:jc w:val="both"/>
      </w:pPr>
    </w:p>
    <w:p w:rsidR="00CD17AF" w:rsidRDefault="00CD17AF">
      <w:pPr>
        <w:pStyle w:val="ConsPlusTitle"/>
        <w:jc w:val="center"/>
      </w:pPr>
      <w:r>
        <w:t>ПОСТАНОВЛЕНИЕ</w:t>
      </w:r>
    </w:p>
    <w:p w:rsidR="00CD17AF" w:rsidRDefault="00CD17AF">
      <w:pPr>
        <w:pStyle w:val="ConsPlusTitle"/>
        <w:jc w:val="center"/>
      </w:pPr>
      <w:r>
        <w:t>от 4 декабря 2021 г. N 2196</w:t>
      </w:r>
    </w:p>
    <w:p w:rsidR="00CD17AF" w:rsidRDefault="00CD17AF">
      <w:pPr>
        <w:pStyle w:val="ConsPlusTitle"/>
        <w:jc w:val="both"/>
      </w:pPr>
    </w:p>
    <w:p w:rsidR="00CD17AF" w:rsidRDefault="00CD17AF">
      <w:pPr>
        <w:pStyle w:val="ConsPlusTitle"/>
        <w:jc w:val="center"/>
      </w:pPr>
      <w:r>
        <w:t>ОБ УТВЕРЖДЕНИИ ПРАВИЛ</w:t>
      </w:r>
    </w:p>
    <w:p w:rsidR="00CD17AF" w:rsidRDefault="00CD17AF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CD17AF" w:rsidRDefault="00CD17AF">
      <w:pPr>
        <w:pStyle w:val="ConsPlusTitle"/>
        <w:jc w:val="center"/>
      </w:pPr>
      <w:r>
        <w:t>БЮДЖЕТА БЮДЖЕТАМ СУБЪЕКТОВ РОССИЙСКОЙ ФЕДЕРАЦИИ</w:t>
      </w:r>
    </w:p>
    <w:p w:rsidR="00CD17AF" w:rsidRDefault="00CD17AF">
      <w:pPr>
        <w:pStyle w:val="ConsPlusTitle"/>
        <w:jc w:val="center"/>
      </w:pPr>
      <w:r>
        <w:t>НА СТИМУЛИРОВАНИЕ РАЗВИТИЯ ВИНОГРАДАРСТВА И ВИНОДЕЛИЯ</w:t>
      </w:r>
    </w:p>
    <w:p w:rsidR="00CD17AF" w:rsidRDefault="00CD17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D17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18.01.2023 </w:t>
            </w:r>
            <w:hyperlink r:id="rId5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,</w:t>
            </w:r>
          </w:p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6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</w:tr>
    </w:tbl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стимулирование развития виноградарства и виноделия.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января 2022 г.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right"/>
      </w:pPr>
      <w:r>
        <w:t>Председатель Правительства</w:t>
      </w:r>
    </w:p>
    <w:p w:rsidR="00CD17AF" w:rsidRDefault="00CD17AF">
      <w:pPr>
        <w:pStyle w:val="ConsPlusNormal"/>
        <w:jc w:val="right"/>
      </w:pPr>
      <w:r>
        <w:t>Российской Федерации</w:t>
      </w:r>
    </w:p>
    <w:p w:rsidR="00CD17AF" w:rsidRDefault="00CD17AF">
      <w:pPr>
        <w:pStyle w:val="ConsPlusNormal"/>
        <w:jc w:val="right"/>
      </w:pPr>
      <w:r>
        <w:t>М.МИШУСТИН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right"/>
        <w:outlineLvl w:val="0"/>
      </w:pPr>
      <w:r>
        <w:t>Утверждены</w:t>
      </w:r>
    </w:p>
    <w:p w:rsidR="00CD17AF" w:rsidRDefault="00CD17AF">
      <w:pPr>
        <w:pStyle w:val="ConsPlusNormal"/>
        <w:jc w:val="right"/>
      </w:pPr>
      <w:r>
        <w:t>постановлением Правительства</w:t>
      </w:r>
    </w:p>
    <w:p w:rsidR="00CD17AF" w:rsidRDefault="00CD17AF">
      <w:pPr>
        <w:pStyle w:val="ConsPlusNormal"/>
        <w:jc w:val="right"/>
      </w:pPr>
      <w:r>
        <w:t>Российской Федерации</w:t>
      </w:r>
    </w:p>
    <w:p w:rsidR="00CD17AF" w:rsidRDefault="00CD17AF">
      <w:pPr>
        <w:pStyle w:val="ConsPlusNormal"/>
        <w:jc w:val="right"/>
      </w:pPr>
      <w:r>
        <w:t>от 4 декабря 2021 г. N 2196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Title"/>
        <w:jc w:val="center"/>
      </w:pPr>
      <w:bookmarkStart w:id="0" w:name="P31"/>
      <w:bookmarkEnd w:id="0"/>
      <w:r>
        <w:t>ПРАВИЛА</w:t>
      </w:r>
    </w:p>
    <w:p w:rsidR="00CD17AF" w:rsidRDefault="00CD17AF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CD17AF" w:rsidRDefault="00CD17AF">
      <w:pPr>
        <w:pStyle w:val="ConsPlusTitle"/>
        <w:jc w:val="center"/>
      </w:pPr>
      <w:r>
        <w:t>БЮДЖЕТА БЮДЖЕТАМ СУБЪЕКТОВ РОССИЙСКОЙ ФЕДЕРАЦИИ</w:t>
      </w:r>
    </w:p>
    <w:p w:rsidR="00CD17AF" w:rsidRDefault="00CD17AF">
      <w:pPr>
        <w:pStyle w:val="ConsPlusTitle"/>
        <w:jc w:val="center"/>
      </w:pPr>
      <w:r>
        <w:t>НА СТИМУЛИРОВАНИЕ РАЗВИТИЯ ВИНОГРАДАРСТВА И ВИНОДЕЛИЯ</w:t>
      </w:r>
    </w:p>
    <w:p w:rsidR="00CD17AF" w:rsidRDefault="00CD17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D17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18.01.2023 </w:t>
            </w:r>
            <w:hyperlink r:id="rId7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,</w:t>
            </w:r>
          </w:p>
          <w:p w:rsidR="00CD17AF" w:rsidRDefault="00CD17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8">
              <w:r>
                <w:rPr>
                  <w:color w:val="0000FF"/>
                </w:rPr>
                <w:t>N 650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17AF" w:rsidRDefault="00CD17AF">
            <w:pPr>
              <w:pStyle w:val="ConsPlusNormal"/>
            </w:pPr>
          </w:p>
        </w:tc>
      </w:tr>
    </w:tbl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проектов, направленных на реализацию федерального проекта "Стимулирование развития виноградарства и виноделия" (далее соответственно - федеральный проект, субсидия).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2. Субсидии предоставляются в пределах лимитов бюджетных обязательств, доведенных до Министерства сельского хозяйства Российской Федерации как получателя средств федерального бюджета на предоставление субсидии на направления, указанные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Понятия, используемые в настоящих Правилах, означают следующее: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"виноградный питомник" - маточник подвойных и (или) привойных лоз винограда, заложенный </w:t>
      </w:r>
      <w:r>
        <w:lastRenderedPageBreak/>
        <w:t xml:space="preserve">и возделываемый на землях сельскохозяйственного назначения по специальной технологии в целях получения чистосортных, высококачественных черенков, используемых для выращивания саженцев отечественного винограда. Совокупность мероприятий, необходимых для создания виноградного питомника, содержится в </w:t>
      </w:r>
      <w:hyperlink r:id="rId9">
        <w:r>
          <w:rPr>
            <w:color w:val="0000FF"/>
          </w:rPr>
          <w:t>разделе 2.3</w:t>
        </w:r>
      </w:hyperlink>
      <w:r>
        <w:t xml:space="preserve"> "Питомниководство" ГОСТ Р 52681-2006 "Национальный стандарт Российской Федерации. Виноградарство. Термины и определения";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"мелиорационные мероприятия (мелиоративные мероприятия)" - мелиоративные мероприятия, которые включают проектирование, строительство, эксплуатацию и реконструкцию мелиоративных систем и отдельно расположенных гидротехнических сооружений, обводнение пастбищ, создание мелиоративных защитных лесных насаждений, проведение культуртехнических работ, работ по улучшению химических и физических свойств почв, научное и производственно-техническое обеспечение указанных работ;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"плановые показатели развития виноградарства и виноделия" - производственные и экономические показатели, предусмотренные федеральным проектом, - площадь виноградных насаждений в плодоносящем возрасте у получателей средств, площадь закладки виноградных насаждений у получателей средств, производство посадочного материала виноградных растений у получателей средств, валовой сбор винограда у получателей средств, производство российских вин защищенных наименований;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"получатели средств" - субъекты виноградарства и виноделия, за исключением личных подсобных хозяйств;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"средства" - средства бюджета субъекта Российской Федерации, источником софинансирования которых является субсидия;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"субъекты виноградарства и виноделия" - виноградарские хозяйства и винодельческие хозяйства, а также научные организации, профессиональные образовательные организации, образовательные организации высшего образования, которые в процессе научной, научно-технической и (или) образовательной деятельности осуществляют производство продукции виноградарства и (или) продукции виноделия, первичную и последующую (промышленную) переработку этой продукции в соответствии с законодательством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bookmarkStart w:id="1" w:name="P48"/>
      <w:bookmarkEnd w:id="1"/>
      <w:r>
        <w:t>3. Средства предоставляются на финансовое обеспечение (возмещение) части следующих затрат получателей средств, произведенных ими за текущий финансовый год, а также за предшествующий финансовый год: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а) на молодые виноградники возрастом до 4 лет включительно по следующим направлениям: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приобретение получателями средств посадочного материала виноградных растений для закладки виноградных насаждений, их посадку;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обеспечение закладки виноградников - уходные работы в течение 4 лет с даты высадки виноградных насаждений, приобретение и установку шпалер, противоградной сетки, осуществление мелиорационных мероприятий, в том числе установку систем ирригации и орошения;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на организацию виноградных питомников, производящих посадочный материал виноградных растений, отвечающий </w:t>
      </w:r>
      <w:hyperlink r:id="rId10">
        <w:r>
          <w:rPr>
            <w:color w:val="0000FF"/>
          </w:rPr>
          <w:t>требованиям</w:t>
        </w:r>
      </w:hyperlink>
      <w:r>
        <w:t xml:space="preserve">, установленным Министерством сельского хозяйства Российской Федерации для каждой </w:t>
      </w:r>
      <w:proofErr w:type="gramStart"/>
      <w:r>
        <w:t>виноградо-винодельческой</w:t>
      </w:r>
      <w:proofErr w:type="gramEnd"/>
      <w:r>
        <w:t xml:space="preserve"> зоны, каждого виноградо-винодельческого района и каждого виноградо-винодельческого терруара;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создание инфраструктуры, включая селекционно-питомниководческие центры, за исключением создания объектов капитального строительства, с участием научных организаций, для производства посадочного материала виноградных растений высших категорий качества, обеспечения виноградных насаждений транспортной доступностью, водными ресурсами для организации систем орошения, проведения мелиорационных мероприятий (мелиоративных мероприятий) и рекультивации виноградников;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на применение удобрений и использование биологических и экологических технологий и методов возделывания виноградных насаждений, исключающих использование химических средств и иных веществ, оказывающих негативное воздействие на жизнь и здоровье человека и окружающую среду, в соответствии с государственным каталогом пестицидов и агрохимикатов, разрешенных к применению на территории Российской Федерации, который размещается Министерством сельского хозяйства Российской Федерации на своем официальном сайте в </w:t>
      </w:r>
      <w:r>
        <w:lastRenderedPageBreak/>
        <w:t>информационно-телекоммуникационной сети "Интернет";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приобретение и обновление основных средств и оборудования, используемого для производства продукции виноградарства и винодельческой продукции, а также на развитие промышленного производства основных технологических средств и оборудования, используемого для производства продукции виноградарства и винодельческой продукции;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б) на виноградники в плодоносящем возрасте по следующим направлениям: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обеспечение ухода за виноградниками, включая приобретение и установку шпалер, противоградной сетки, осуществление мелиорационных мероприятий, в том числе установку систем ирригации и орошения, раскорчевку выбывших из эксплуатации виноградников и рекультивацию раскорчеванных площадей;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на организацию виноградных питомников, производящих посадочный материал виноградных растений, отвечающий </w:t>
      </w:r>
      <w:hyperlink r:id="rId11">
        <w:r>
          <w:rPr>
            <w:color w:val="0000FF"/>
          </w:rPr>
          <w:t>требованиям</w:t>
        </w:r>
      </w:hyperlink>
      <w:r>
        <w:t xml:space="preserve">, установленным Министерством сельского хозяйства Российской Федерации для каждой </w:t>
      </w:r>
      <w:proofErr w:type="gramStart"/>
      <w:r>
        <w:t>виноградо-винодельческой</w:t>
      </w:r>
      <w:proofErr w:type="gramEnd"/>
      <w:r>
        <w:t xml:space="preserve"> зоны, каждого виноградо-винодельческого района и каждого виноградо-винодельческого терруара;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создание инфраструктуры, включая селекционно-питомниководческие центры, за исключением создания объектов капитального строительства, с участием научных организаций, для производства посадочного материала виноградных растений высших категорий качества, обеспечения виноградных насаждений транспортной доступностью, водными ресурсами для организации систем орошения, проведения мелиорационных мероприятий (мелиоративных мероприятий) и рекультивации виноградников;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применение удобрений и использование биологических и экологических технологий и методов возделывания виноградных насаждений, исключающих использование химических средств и иных веществ, оказывающих негативное воздействие на жизнь и здоровье человека и окружающую среду, в соответствии с государственным каталогом пестицидов и агрохимикатов, разрешенных к применению на территории Российской Федерации, который размещается Министерством сельского хозяйства Российской Федерации на своем официальном сайте в информационно-телекоммуникационной сети "Интернет";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на приобретение и обновление основных средств и оборудования, используемого для производства продукции виноградарства и винодельческой продукции, а также на развитие промышленного производства основных технологических средств и оборудования, используемого для производства продукции виноградарства и винодельческой продукции.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4. Не допускается возмещение получателям средств затрат, указанных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на те же цели в соответствии с иными нормативными правовыми актами, предусматривающими предоставление и распределение межбюджетных трансфертов из федерального бюджета бюджетам субъектов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Финансовое обеспечение (возмещение) части затрат получателей средств на оборудование для сельского хозяйства осуществляется с учетом условий допуска для целей осуществления закупок товаров, происходящих из иностранного государства или группы иностранных государств, предусмотренных </w:t>
      </w:r>
      <w:hyperlink r:id="rId12">
        <w:r>
          <w:rPr>
            <w:color w:val="0000FF"/>
          </w:rPr>
          <w:t>частью 4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а также при наличии заключения об отнесении продукции к промышленной продукции, не имеющей произведенных в Российской Федерации аналогов в соответствии с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сентября 2017 г. N 1135 "Об отнесении продукции к промышленной продукции, не имеющей произведенных в Российской Федерации аналогов, и внесении изменений в некоторые акты Правительства Российской Федерации".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Для получателей средств, использующих право на освобождение от исполнения обязанностей налогоплательщика, связанных с исчислением и уплатой налога на добавленную стоимость, финансовое обеспечение (возмещение)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:rsidR="00CD17AF" w:rsidRDefault="00CD17AF">
      <w:pPr>
        <w:pStyle w:val="ConsPlusNormal"/>
        <w:spacing w:before="200"/>
        <w:ind w:firstLine="540"/>
        <w:jc w:val="both"/>
      </w:pPr>
      <w:hyperlink r:id="rId14">
        <w:r>
          <w:rPr>
            <w:color w:val="0000FF"/>
          </w:rPr>
          <w:t>Перечень</w:t>
        </w:r>
      </w:hyperlink>
      <w:r>
        <w:t xml:space="preserve"> уходных работ за виноградниками, предусмотренных </w:t>
      </w:r>
      <w:hyperlink w:anchor="P48">
        <w:r>
          <w:rPr>
            <w:color w:val="0000FF"/>
          </w:rPr>
          <w:t>пунктом 3</w:t>
        </w:r>
      </w:hyperlink>
      <w:r>
        <w:t xml:space="preserve"> настоящих Правил, устанавливается Министерством сельского хозяйства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С 1 января 2025 г. средства по направлениям, указанным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</w:t>
      </w:r>
      <w:r>
        <w:lastRenderedPageBreak/>
        <w:t>предоставляются получателям средств при условии документального подтверждения наличия у них прав пользования земельными участками, на которых осуществляется или планируется осуществлять производство продукции виноградарства и (или) винодельческой продукции.</w:t>
      </w:r>
    </w:p>
    <w:p w:rsidR="00CD17AF" w:rsidRDefault="00CD17AF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18.01.2023 N 42)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5. По направлениям, указанным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средства предоставляются по ставкам для получателей средств. Ставки определяются высшим исполнительным органом субъекта Российской Федерации самостоятельно.</w:t>
      </w:r>
    </w:p>
    <w:p w:rsidR="00CD17AF" w:rsidRDefault="00CD17A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18.01.2023 N 42)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При определении ставок устанавливается повышающий коэффициент на 1 гектар площади закладки виноградных насаждений, включая виноградные питомники: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для виноградных насаждений с плотностью посадки свыше 2222 растений на 1 гектар - не менее 1,4;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для виноградных насаждений с плотностью посадки свыше 3333 растений на 1 гектар - не менее 1,7;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для виноградных питомников - не менее 2.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При определении ставок устанавливается повышающий коэффициент на 1 гектар площади виноградных насаждений, включая виноградные питомники, для виноградных насаждений, в отношении которых получателями средств осуществляется страхование рисков при утрате (гибели) урожая сельскохозяйственных культур и (или) утраты (гибели) посадок многолетних насаждений, - 1,15.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6. Субсидии предоставляются бюджетам субъектов Российской Федерации при соблюдении следующих условий: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а) наличие правовых актов субъекта Российской Федерации, предусматривающих перечень мероприятий, при реализации которых возникают расходные обязательства, в целях софинансирования которых предоставляются субсидии;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необходимом для его исполнения, и наличие порядка определения размера указанных ассигнований, если иное не установлено актами Президента Российской Федерации или Правительства Российской Федерации;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в) заключение между Министерством сельского хозяйства Российской Федерации и высшим исполнительным органом субъекта Российской Федерации соглашения о предоставлении субсидии в соответствии с </w:t>
      </w:r>
      <w:hyperlink r:id="rId17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 субсидий).</w:t>
      </w:r>
    </w:p>
    <w:p w:rsidR="00CD17AF" w:rsidRDefault="00CD17AF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18.01.2023 N 42)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7. В случае отсутствия в текущем финансовом году у субъектов Российской Федерации потребности в бюджетных ассигнованиях на реализацию направлений, указанных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высвобождающиеся бюджетные ассигнования перераспределяются между субъектами Российской Федерации, имеющими право на получение субсидий на направления, указанные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Правил,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Федерации, имеющими дополнительную потребность в субсидиях,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субсидии, рассчитанных в соответствии с настоящими Правилами, с установлением результатов их использования.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lastRenderedPageBreak/>
        <w:t>Информация о дополнительной потребности в субсидиях формируется на основании письменных обращений высших исполнительных органов субъекта Российской Федерации или исполнительного органа субъекта Российской Федерации, уполномоченного высшим исполнительным органом субъекта Российской Федерации (далее - уполномоченный орган), в Министерство сельского хозяйства Российской Федерации.</w:t>
      </w:r>
    </w:p>
    <w:p w:rsidR="00CD17AF" w:rsidRDefault="00CD17AF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18.01.2023 N 42)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Объем предоставляемой бюджету субъекта Российской Федерации субсидии не может быть больше заявленной субъектом Российской Федерации дополнительной потребности в субсидии.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8. Критерием отбора субъектов Российской Федерации для предоставления субсидии является факт реализации федерального проекта на территории субъекта Российской Федерации в соответствующем финансовом году.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9. Субсидия предоставляется на основании соглашения о предоставлении субсидии, подготавливаемого (формируемого)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20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10. Размер субсидии, предоставляемой бюджету субъекта Российской Федерации, на территории которого осуществляется реализация федерального проекта, в соответствующем финансовом году (W</w:t>
      </w:r>
      <w:r>
        <w:rPr>
          <w:vertAlign w:val="subscript"/>
        </w:rPr>
        <w:t>i</w:t>
      </w:r>
      <w:r>
        <w:t>), определяется по формуле: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center"/>
      </w:pPr>
      <w:r>
        <w:t>W</w:t>
      </w:r>
      <w:r>
        <w:rPr>
          <w:vertAlign w:val="subscript"/>
        </w:rPr>
        <w:t>i</w:t>
      </w:r>
      <w:r>
        <w:t xml:space="preserve"> = W x a</w:t>
      </w:r>
      <w:r>
        <w:rPr>
          <w:vertAlign w:val="subscript"/>
        </w:rPr>
        <w:t>i</w:t>
      </w:r>
      <w:r>
        <w:t>,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где: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W - объем бюджетных ассигнований, предусмотренных в федеральном бюджете на предоставление субсидии на соответствующий финансовый год;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a</w:t>
      </w:r>
      <w:r>
        <w:rPr>
          <w:vertAlign w:val="subscript"/>
        </w:rPr>
        <w:t>i</w:t>
      </w:r>
      <w:r>
        <w:t xml:space="preserve"> - доля i-го субъекта Российской Федерации в плановых показателях развития виноградарства и виноделия.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11. Доля i-го субъекта Российской Федерации в плановых показателях развития виноградарства и виноделия (a</w:t>
      </w:r>
      <w:r>
        <w:rPr>
          <w:vertAlign w:val="subscript"/>
        </w:rPr>
        <w:t>i</w:t>
      </w:r>
      <w:r>
        <w:t>) определяется по формуле: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2333625" cy="5429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где: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D</w:t>
      </w:r>
      <w:r>
        <w:rPr>
          <w:vertAlign w:val="subscript"/>
        </w:rPr>
        <w:t>Spli</w:t>
      </w:r>
      <w:r>
        <w:t xml:space="preserve"> - доля плановой площади виноградных насаждений, вступивших в период товарного плодоношения, в i-м субъекте Российской Федерации на соответствующий финансовый год в общей плановой площади виноградных насаждений, вступивших в период товарного плодоношения, на соответствующий финансовый год, определяемая по формуле: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>
            <wp:extent cx="1323975" cy="5048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где: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коэффициент увеличения показателя i-го субъекта Российской Федерации. Для Республики Крым и г. Севастополя значение коэффициента равно 1,5, для других субъектов Российской Федерации - 1;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P</w:t>
      </w:r>
      <w:r>
        <w:rPr>
          <w:vertAlign w:val="subscript"/>
        </w:rPr>
        <w:t>Spli</w:t>
      </w:r>
      <w:r>
        <w:t xml:space="preserve"> - плановые показатели на соответствующий финансовый год по размеру площадей виноградных насаждений, вступивших в период товарного плодоношения, у получателей средств, в i-м субъекте Российской Федерации на основании данных субъектов Российской Федерации на соответствующий финансовый год, представленных в Министерство сельского хозяйства Российской Федерации по </w:t>
      </w:r>
      <w:hyperlink r:id="rId23">
        <w:r>
          <w:rPr>
            <w:color w:val="0000FF"/>
          </w:rPr>
          <w:t>форме</w:t>
        </w:r>
      </w:hyperlink>
      <w:r>
        <w:t xml:space="preserve"> и в </w:t>
      </w:r>
      <w:hyperlink r:id="rId24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lastRenderedPageBreak/>
        <w:t>D</w:t>
      </w:r>
      <w:r>
        <w:rPr>
          <w:vertAlign w:val="subscript"/>
        </w:rPr>
        <w:t>Szi</w:t>
      </w:r>
      <w:r>
        <w:t xml:space="preserve"> - доля плановой площади закладки виноградных насаждений на соответствующий финансовый год в i-м субъекте Российской Федерации в общей плановой площади закладки виноградных насаждений на соответствующий финансовый год, определяемая по формуле: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1266825" cy="48577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ind w:firstLine="540"/>
        <w:jc w:val="both"/>
      </w:pPr>
      <w:r>
        <w:t>где P</w:t>
      </w:r>
      <w:r>
        <w:rPr>
          <w:vertAlign w:val="subscript"/>
        </w:rPr>
        <w:t>Szi</w:t>
      </w:r>
      <w:r>
        <w:t xml:space="preserve"> - плановые показатели на соответствующий финансовый год по размеру площадей закладки виноградных насаждений у получателей средств в i-м субъекте Российской Федерации на основании данных субъектов Российской Федерации на соответствующий финансовый год, представленных в Министерство сельского хозяйства Российской Федерации по </w:t>
      </w:r>
      <w:hyperlink r:id="rId26">
        <w:r>
          <w:rPr>
            <w:color w:val="0000FF"/>
          </w:rPr>
          <w:t>форме</w:t>
        </w:r>
      </w:hyperlink>
      <w:r>
        <w:t xml:space="preserve"> и в </w:t>
      </w:r>
      <w:hyperlink r:id="rId27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n - количество субъектов Российской Федерации, на территориях которых осуществляется реализация федерального проекта на соответствующий финансовый год;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Y</w:t>
      </w:r>
      <w:r>
        <w:rPr>
          <w:vertAlign w:val="subscript"/>
        </w:rPr>
        <w:t>i</w:t>
      </w:r>
      <w:r>
        <w:t xml:space="preserve"> - предельный уровень софинансирования расходного обязательства i-го субъекта Российской Федерации из федерального бюджета на очередной финансовый год (процентов), определяемый в соответствии с </w:t>
      </w:r>
      <w:hyperlink r:id="rId28">
        <w:r>
          <w:rPr>
            <w:color w:val="0000FF"/>
          </w:rPr>
          <w:t>пунктом 13</w:t>
        </w:r>
      </w:hyperlink>
      <w:r>
        <w:t xml:space="preserve"> Правил формирования субсидий.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12.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13. Уполномоченный орган представляет в Министерство сельского хозяйства Российской Федерации следующие документы: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(сводной бюджетной росписи бюджета субъекта Российской Федерации), подтверждающая наличие утвержденных в бюджете субъекта Российской Федерации бюджетных ассигнований на финансовое обеспечение указанных в </w:t>
      </w:r>
      <w:hyperlink w:anchor="P48">
        <w:r>
          <w:rPr>
            <w:color w:val="0000FF"/>
          </w:rPr>
          <w:t>пункте 3</w:t>
        </w:r>
      </w:hyperlink>
      <w:r>
        <w:t xml:space="preserve"> настоящих Правил расходных обязательств субъекта Российской Федерации, в целях софинансирования которых бюджету субъекта Российской Федерации предоставляется субсидия, - не позднее 30 дней со дня заключения соглашения о предоставлении субсидии;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б) документ, содержащий информацию об использовании средств, источником софинансирования которых является субсидия, с приложением перечня получателей средств по </w:t>
      </w:r>
      <w:hyperlink r:id="rId29">
        <w:r>
          <w:rPr>
            <w:color w:val="0000FF"/>
          </w:rPr>
          <w:t>форме</w:t>
        </w:r>
      </w:hyperlink>
      <w:r>
        <w:t xml:space="preserve"> и в </w:t>
      </w:r>
      <w:hyperlink r:id="rId30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в) отчет о финансово-экономическом состоянии получателей средств по </w:t>
      </w:r>
      <w:hyperlink r:id="rId31">
        <w:r>
          <w:rPr>
            <w:color w:val="0000FF"/>
          </w:rPr>
          <w:t>форме</w:t>
        </w:r>
      </w:hyperlink>
      <w:r>
        <w:t xml:space="preserve"> и в </w:t>
      </w:r>
      <w:hyperlink r:id="rId32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Федерации;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г) отчет о достижении значений результатов использования субсидии и обязательствах, принятых в целях их достижения, подготавливаемый (формируемый) с использованием государственной интегрированной информационной системы управления общественными финансами "Электронный бюджет", - в порядке и сроки, которые установлены соглашением о предоставлении субсидии.</w:t>
      </w:r>
    </w:p>
    <w:p w:rsidR="00CD17AF" w:rsidRDefault="00CD17AF">
      <w:pPr>
        <w:pStyle w:val="ConsPlusNormal"/>
        <w:spacing w:before="200"/>
        <w:ind w:firstLine="540"/>
        <w:jc w:val="both"/>
      </w:pPr>
      <w:bookmarkStart w:id="2" w:name="P119"/>
      <w:bookmarkEnd w:id="2"/>
      <w:r>
        <w:t>14. Результатом использования субсидии являются: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а) сохранена площадь виноградных насаждений в плодоносящем возрасте у получателей средств (тыс. гектаров);</w:t>
      </w:r>
    </w:p>
    <w:p w:rsidR="00CD17AF" w:rsidRDefault="00CD17AF">
      <w:pPr>
        <w:pStyle w:val="ConsPlusNormal"/>
        <w:jc w:val="both"/>
      </w:pPr>
      <w:r>
        <w:t xml:space="preserve">(пп. "а"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23.05.2024 N 650)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б) осуществлена закладка виноградников у получателей средств (тыс. гектаров).</w:t>
      </w:r>
    </w:p>
    <w:p w:rsidR="00CD17AF" w:rsidRDefault="00CD17AF">
      <w:pPr>
        <w:pStyle w:val="ConsPlusNormal"/>
        <w:jc w:val="both"/>
      </w:pPr>
      <w:r>
        <w:t xml:space="preserve">(пп. "б"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23.05.2024 N 650)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15. Оценка эффективности использования субсидий по результатам, предусмотренным </w:t>
      </w:r>
      <w:hyperlink w:anchor="P119">
        <w:r>
          <w:rPr>
            <w:color w:val="0000FF"/>
          </w:rPr>
          <w:t>пунктом 14</w:t>
        </w:r>
      </w:hyperlink>
      <w:r>
        <w:t xml:space="preserve"> настоящих Правил, осуществляется на основании сведений, представленных субъектами виноградарства и виноделия в уполномоченный орган.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Оценка эффективности использования субсидий по результатам, предусмотренным </w:t>
      </w:r>
      <w:hyperlink w:anchor="P119">
        <w:r>
          <w:rPr>
            <w:color w:val="0000FF"/>
          </w:rPr>
          <w:t xml:space="preserve">пунктом </w:t>
        </w:r>
        <w:r>
          <w:rPr>
            <w:color w:val="0000FF"/>
          </w:rPr>
          <w:lastRenderedPageBreak/>
          <w:t>14</w:t>
        </w:r>
      </w:hyperlink>
      <w:r>
        <w:t xml:space="preserve"> настоящих Правил, осуществляется на основании отчета об эффективности использования субсидии, представляемого уполномоченным органом в Министерство сельского хозяйства Российской Федерации по </w:t>
      </w:r>
      <w:hyperlink r:id="rId35">
        <w:r>
          <w:rPr>
            <w:color w:val="0000FF"/>
          </w:rPr>
          <w:t>форме</w:t>
        </w:r>
      </w:hyperlink>
      <w:r>
        <w:t xml:space="preserve"> и в </w:t>
      </w:r>
      <w:hyperlink r:id="rId36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16.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субсидии, предусмотренных соглашением о предоставлении субсидии, в соответствии с </w:t>
      </w:r>
      <w:hyperlink r:id="rId37">
        <w:r>
          <w:rPr>
            <w:color w:val="0000FF"/>
          </w:rPr>
          <w:t>методикой</w:t>
        </w:r>
      </w:hyperlink>
      <w:r>
        <w:t>, утверждаемой Министерством сельского хозяйства Российской Федерации.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17.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обращение, содержащее информацию об отсутствии частичной или полной потребности в субсидии, бюджетные ассигнования на предоставление субсидии такому субъекту Российской Федерации распределяются между бюджетами других субъектов Российской Федерации, имеющих право на получение субсидии в соответствии с настоящими Правилами.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 xml:space="preserve">18. Возврат субъектами Российской Федерации средств из бюджета субъекта Российской Федерации в доход федерального бюджета в случае нарушения обязательств, предусмотренных соглашением о предоставлении субсидии, в части, касающейся достижения значений результатов использования субсидии, включая порядок расчета размера средств, подлежащих возврату, сроки возврата и основания для освобождения субъектов Российской Федерации от применения мер ответственности за нарушение указанных обязательств, осуществляется в соответствии с </w:t>
      </w:r>
      <w:hyperlink r:id="rId38">
        <w:r>
          <w:rPr>
            <w:color w:val="0000FF"/>
          </w:rPr>
          <w:t>пунктами 16</w:t>
        </w:r>
      </w:hyperlink>
      <w:r>
        <w:t xml:space="preserve"> - </w:t>
      </w:r>
      <w:hyperlink r:id="rId39">
        <w:r>
          <w:rPr>
            <w:color w:val="0000FF"/>
          </w:rPr>
          <w:t>18</w:t>
        </w:r>
      </w:hyperlink>
      <w:r>
        <w:t xml:space="preserve"> и </w:t>
      </w:r>
      <w:hyperlink r:id="rId40">
        <w:r>
          <w:rPr>
            <w:color w:val="0000FF"/>
          </w:rPr>
          <w:t>20</w:t>
        </w:r>
      </w:hyperlink>
      <w:r>
        <w:t xml:space="preserve"> Правил формирования субсидий.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18(1). В случае нарушения целей, установленных при предоставлении субсидии, применяются бюджетные меры принуждения, предусмотренные бюджетным законодательством Российской Федерации.</w:t>
      </w:r>
    </w:p>
    <w:p w:rsidR="00CD17AF" w:rsidRDefault="00CD17AF">
      <w:pPr>
        <w:pStyle w:val="ConsPlusNormal"/>
        <w:jc w:val="both"/>
      </w:pPr>
      <w:r>
        <w:t xml:space="preserve">(п. 18(1)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23.05.2024 N 650)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19. Ответственность за достоверность представляемых Министерству сельского хозяйства Российской Федерации сведений возлагается на уполномоченный орган и высший исполнительный орган субъекта Российской Федерации.</w:t>
      </w:r>
    </w:p>
    <w:p w:rsidR="00CD17AF" w:rsidRDefault="00CD17AF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18.01.2023 N 42)</w:t>
      </w:r>
    </w:p>
    <w:p w:rsidR="00CD17AF" w:rsidRDefault="00CD17AF">
      <w:pPr>
        <w:pStyle w:val="ConsPlusNormal"/>
        <w:spacing w:before="200"/>
        <w:ind w:firstLine="540"/>
        <w:jc w:val="both"/>
      </w:pPr>
      <w:r>
        <w:t>20.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контроля.</w:t>
      </w: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jc w:val="both"/>
      </w:pPr>
    </w:p>
    <w:p w:rsidR="00CD17AF" w:rsidRDefault="00CD17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4DD5" w:rsidRDefault="002A4DD5">
      <w:bookmarkStart w:id="3" w:name="_GoBack"/>
      <w:bookmarkEnd w:id="3"/>
    </w:p>
    <w:sectPr w:rsidR="002A4DD5" w:rsidSect="00D4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AF"/>
    <w:rsid w:val="002A4DD5"/>
    <w:rsid w:val="00CD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CB4DA-54B4-4979-A91D-49EF579A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17A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D17A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D17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002&amp;dst=100005" TargetMode="External"/><Relationship Id="rId13" Type="http://schemas.openxmlformats.org/officeDocument/2006/relationships/hyperlink" Target="https://login.consultant.ru/link/?req=doc&amp;base=LAW&amp;n=450748" TargetMode="External"/><Relationship Id="rId18" Type="http://schemas.openxmlformats.org/officeDocument/2006/relationships/hyperlink" Target="https://login.consultant.ru/link/?req=doc&amp;base=LAW&amp;n=463817&amp;dst=100027" TargetMode="External"/><Relationship Id="rId26" Type="http://schemas.openxmlformats.org/officeDocument/2006/relationships/hyperlink" Target="https://login.consultant.ru/link/?req=doc&amp;base=LAW&amp;n=421147&amp;dst=100125" TargetMode="External"/><Relationship Id="rId39" Type="http://schemas.openxmlformats.org/officeDocument/2006/relationships/hyperlink" Target="https://login.consultant.ru/link/?req=doc&amp;base=LAW&amp;n=477943&amp;dst=274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wmf"/><Relationship Id="rId34" Type="http://schemas.openxmlformats.org/officeDocument/2006/relationships/hyperlink" Target="https://login.consultant.ru/link/?req=doc&amp;base=LAW&amp;n=477002&amp;dst=100008" TargetMode="External"/><Relationship Id="rId42" Type="http://schemas.openxmlformats.org/officeDocument/2006/relationships/hyperlink" Target="https://login.consultant.ru/link/?req=doc&amp;base=LAW&amp;n=463817&amp;dst=100030" TargetMode="External"/><Relationship Id="rId7" Type="http://schemas.openxmlformats.org/officeDocument/2006/relationships/hyperlink" Target="https://login.consultant.ru/link/?req=doc&amp;base=LAW&amp;n=463817&amp;dst=100024" TargetMode="External"/><Relationship Id="rId12" Type="http://schemas.openxmlformats.org/officeDocument/2006/relationships/hyperlink" Target="https://login.consultant.ru/link/?req=doc&amp;base=LAW&amp;n=465972&amp;dst=107" TargetMode="External"/><Relationship Id="rId17" Type="http://schemas.openxmlformats.org/officeDocument/2006/relationships/hyperlink" Target="https://login.consultant.ru/link/?req=doc&amp;base=LAW&amp;n=477943&amp;dst=100044" TargetMode="External"/><Relationship Id="rId25" Type="http://schemas.openxmlformats.org/officeDocument/2006/relationships/image" Target="media/image3.wmf"/><Relationship Id="rId33" Type="http://schemas.openxmlformats.org/officeDocument/2006/relationships/hyperlink" Target="https://login.consultant.ru/link/?req=doc&amp;base=LAW&amp;n=477002&amp;dst=100006" TargetMode="External"/><Relationship Id="rId38" Type="http://schemas.openxmlformats.org/officeDocument/2006/relationships/hyperlink" Target="https://login.consultant.ru/link/?req=doc&amp;base=LAW&amp;n=477943&amp;dst=2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3817&amp;dst=100027" TargetMode="External"/><Relationship Id="rId20" Type="http://schemas.openxmlformats.org/officeDocument/2006/relationships/hyperlink" Target="https://login.consultant.ru/link/?req=doc&amp;base=LAW&amp;n=396428&amp;dst=100004" TargetMode="External"/><Relationship Id="rId29" Type="http://schemas.openxmlformats.org/officeDocument/2006/relationships/hyperlink" Target="https://login.consultant.ru/link/?req=doc&amp;base=LAW&amp;n=421147&amp;dst=100034" TargetMode="External"/><Relationship Id="rId41" Type="http://schemas.openxmlformats.org/officeDocument/2006/relationships/hyperlink" Target="https://login.consultant.ru/link/?req=doc&amp;base=LAW&amp;n=477002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7002&amp;dst=100005" TargetMode="External"/><Relationship Id="rId11" Type="http://schemas.openxmlformats.org/officeDocument/2006/relationships/hyperlink" Target="https://login.consultant.ru/link/?req=doc&amp;base=LAW&amp;n=451294&amp;dst=100010" TargetMode="External"/><Relationship Id="rId24" Type="http://schemas.openxmlformats.org/officeDocument/2006/relationships/hyperlink" Target="https://login.consultant.ru/link/?req=doc&amp;base=LAW&amp;n=421147&amp;dst=100014" TargetMode="External"/><Relationship Id="rId32" Type="http://schemas.openxmlformats.org/officeDocument/2006/relationships/hyperlink" Target="https://login.consultant.ru/link/?req=doc&amp;base=LAW&amp;n=475892&amp;dst=100011" TargetMode="External"/><Relationship Id="rId37" Type="http://schemas.openxmlformats.org/officeDocument/2006/relationships/hyperlink" Target="https://login.consultant.ru/link/?req=doc&amp;base=LAW&amp;n=421147&amp;dst=100018" TargetMode="External"/><Relationship Id="rId40" Type="http://schemas.openxmlformats.org/officeDocument/2006/relationships/hyperlink" Target="https://login.consultant.ru/link/?req=doc&amp;base=LAW&amp;n=477943&amp;dst=189" TargetMode="External"/><Relationship Id="rId5" Type="http://schemas.openxmlformats.org/officeDocument/2006/relationships/hyperlink" Target="https://login.consultant.ru/link/?req=doc&amp;base=LAW&amp;n=463817&amp;dst=100024" TargetMode="External"/><Relationship Id="rId15" Type="http://schemas.openxmlformats.org/officeDocument/2006/relationships/hyperlink" Target="https://login.consultant.ru/link/?req=doc&amp;base=LAW&amp;n=463817&amp;dst=100025" TargetMode="External"/><Relationship Id="rId23" Type="http://schemas.openxmlformats.org/officeDocument/2006/relationships/hyperlink" Target="https://login.consultant.ru/link/?req=doc&amp;base=LAW&amp;n=421147&amp;dst=100125" TargetMode="External"/><Relationship Id="rId28" Type="http://schemas.openxmlformats.org/officeDocument/2006/relationships/hyperlink" Target="https://login.consultant.ru/link/?req=doc&amp;base=LAW&amp;n=477943&amp;dst=257" TargetMode="External"/><Relationship Id="rId36" Type="http://schemas.openxmlformats.org/officeDocument/2006/relationships/hyperlink" Target="https://login.consultant.ru/link/?req=doc&amp;base=LAW&amp;n=421147&amp;dst=100013" TargetMode="External"/><Relationship Id="rId10" Type="http://schemas.openxmlformats.org/officeDocument/2006/relationships/hyperlink" Target="https://login.consultant.ru/link/?req=doc&amp;base=LAW&amp;n=451294&amp;dst=100010" TargetMode="External"/><Relationship Id="rId19" Type="http://schemas.openxmlformats.org/officeDocument/2006/relationships/hyperlink" Target="https://login.consultant.ru/link/?req=doc&amp;base=LAW&amp;n=463817&amp;dst=100028" TargetMode="External"/><Relationship Id="rId31" Type="http://schemas.openxmlformats.org/officeDocument/2006/relationships/hyperlink" Target="https://login.consultant.ru/link/?req=doc&amp;base=LAW&amp;n=475892&amp;dst=100020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OTN&amp;n=8757&amp;dst=100124" TargetMode="External"/><Relationship Id="rId14" Type="http://schemas.openxmlformats.org/officeDocument/2006/relationships/hyperlink" Target="https://login.consultant.ru/link/?req=doc&amp;base=LAW&amp;n=422363&amp;dst=100009" TargetMode="External"/><Relationship Id="rId22" Type="http://schemas.openxmlformats.org/officeDocument/2006/relationships/image" Target="media/image2.wmf"/><Relationship Id="rId27" Type="http://schemas.openxmlformats.org/officeDocument/2006/relationships/hyperlink" Target="https://login.consultant.ru/link/?req=doc&amp;base=LAW&amp;n=421147&amp;dst=100014" TargetMode="External"/><Relationship Id="rId30" Type="http://schemas.openxmlformats.org/officeDocument/2006/relationships/hyperlink" Target="https://login.consultant.ru/link/?req=doc&amp;base=LAW&amp;n=421147&amp;dst=100012" TargetMode="External"/><Relationship Id="rId35" Type="http://schemas.openxmlformats.org/officeDocument/2006/relationships/hyperlink" Target="https://login.consultant.ru/link/?req=doc&amp;base=LAW&amp;n=421147&amp;dst=100107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3920</Words>
  <Characters>22347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2024-06-09T20:41:00Z</dcterms:created>
  <dcterms:modified xsi:type="dcterms:W3CDTF">2024-06-09T20:42:00Z</dcterms:modified>
</cp:coreProperties>
</file>