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13C" w:rsidRDefault="00EA313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EA313C" w:rsidRDefault="00EA313C">
      <w:pPr>
        <w:pStyle w:val="ConsPlusNormal"/>
        <w:jc w:val="both"/>
        <w:outlineLvl w:val="0"/>
      </w:pPr>
    </w:p>
    <w:p w:rsidR="00EA313C" w:rsidRDefault="00EA313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EA313C" w:rsidRDefault="00EA313C">
      <w:pPr>
        <w:pStyle w:val="ConsPlusTitle"/>
        <w:jc w:val="center"/>
      </w:pPr>
    </w:p>
    <w:p w:rsidR="00EA313C" w:rsidRDefault="00EA313C">
      <w:pPr>
        <w:pStyle w:val="ConsPlusTitle"/>
        <w:jc w:val="center"/>
      </w:pPr>
      <w:r>
        <w:t>ПОСТАНОВЛЕНИЕ</w:t>
      </w:r>
    </w:p>
    <w:p w:rsidR="00EA313C" w:rsidRDefault="00EA313C">
      <w:pPr>
        <w:pStyle w:val="ConsPlusTitle"/>
        <w:jc w:val="center"/>
      </w:pPr>
      <w:r>
        <w:t>от 21 августа 2020 г. N 1265</w:t>
      </w:r>
    </w:p>
    <w:p w:rsidR="00EA313C" w:rsidRDefault="00EA313C">
      <w:pPr>
        <w:pStyle w:val="ConsPlusTitle"/>
        <w:jc w:val="center"/>
      </w:pPr>
    </w:p>
    <w:p w:rsidR="00EA313C" w:rsidRDefault="00EA313C">
      <w:pPr>
        <w:pStyle w:val="ConsPlusTitle"/>
        <w:jc w:val="center"/>
      </w:pPr>
      <w:r>
        <w:t>ОБ УТВЕРЖДЕНИИ ПРАВИЛ</w:t>
      </w:r>
    </w:p>
    <w:p w:rsidR="00EA313C" w:rsidRDefault="00EA313C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ОТКРЫТОМУ</w:t>
      </w:r>
      <w:proofErr w:type="gramEnd"/>
    </w:p>
    <w:p w:rsidR="00EA313C" w:rsidRDefault="00EA313C">
      <w:pPr>
        <w:pStyle w:val="ConsPlusTitle"/>
        <w:jc w:val="center"/>
      </w:pPr>
      <w:r>
        <w:t>АКЦИОНЕРНОМУ ОБЩЕСТВУ "РОССИЙСКИЕ ЖЕЛЕЗНЫЕ ДОРОГИ"</w:t>
      </w:r>
    </w:p>
    <w:p w:rsidR="00EA313C" w:rsidRDefault="00EA313C">
      <w:pPr>
        <w:pStyle w:val="ConsPlusTitle"/>
        <w:jc w:val="center"/>
      </w:pPr>
      <w:r>
        <w:t>НА ВОЗМЕЩЕНИЕ НЕДОПОЛУЧЕННЫХ ДОХОДОВ, ВОЗНИКАЮЩИХ</w:t>
      </w:r>
    </w:p>
    <w:p w:rsidR="00EA313C" w:rsidRDefault="00EA313C">
      <w:pPr>
        <w:pStyle w:val="ConsPlusTitle"/>
        <w:jc w:val="center"/>
      </w:pPr>
      <w:r>
        <w:t>В РЕЗУЛЬТАТЕ УСТАНОВЛЕНИЯ ЛЬГОТНЫХ ТАРИФОВ</w:t>
      </w:r>
    </w:p>
    <w:p w:rsidR="00EA313C" w:rsidRDefault="00EA313C">
      <w:pPr>
        <w:pStyle w:val="ConsPlusTitle"/>
        <w:jc w:val="center"/>
      </w:pPr>
      <w:r>
        <w:t>НА ТРАНЗИТНЫЕ ПЕРЕВОЗКИ ПО ТЕРРИТОРИИ РОССИЙСКОЙ</w:t>
      </w:r>
    </w:p>
    <w:p w:rsidR="00EA313C" w:rsidRDefault="00EA313C">
      <w:pPr>
        <w:pStyle w:val="ConsPlusTitle"/>
        <w:jc w:val="center"/>
      </w:pPr>
      <w:r>
        <w:t>ФЕДЕРАЦИИ ЖЕЛЕЗНОДОРОЖНЫМ ТРАНСПОРТОМ ОБЩЕГО</w:t>
      </w:r>
    </w:p>
    <w:p w:rsidR="00EA313C" w:rsidRDefault="00EA313C">
      <w:pPr>
        <w:pStyle w:val="ConsPlusTitle"/>
        <w:jc w:val="center"/>
      </w:pPr>
      <w:r>
        <w:t>ПОЛЬЗОВАНИЯ ГРУЗОВ В КОНТЕЙНЕРАХ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открытому акционерному обществу "Российские железные дороги" на возмещение недополученных доходов, возникающих в результате установления льготных тарифов на транзитные перевозки по территории Российской Федерации железнодорожным транспортом общего пользования грузов в контейнерах.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</w:pPr>
      <w:r>
        <w:t>Председатель Правительства</w:t>
      </w:r>
    </w:p>
    <w:p w:rsidR="00EA313C" w:rsidRDefault="00EA313C">
      <w:pPr>
        <w:pStyle w:val="ConsPlusNormal"/>
        <w:jc w:val="right"/>
      </w:pPr>
      <w:r>
        <w:t>Российской Федерации</w:t>
      </w:r>
    </w:p>
    <w:p w:rsidR="00EA313C" w:rsidRDefault="00EA313C">
      <w:pPr>
        <w:pStyle w:val="ConsPlusNormal"/>
        <w:jc w:val="right"/>
      </w:pPr>
      <w:r>
        <w:t>М.МИШУСТИН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  <w:outlineLvl w:val="0"/>
      </w:pPr>
      <w:r>
        <w:t>Утверждены</w:t>
      </w:r>
    </w:p>
    <w:p w:rsidR="00EA313C" w:rsidRDefault="00EA313C">
      <w:pPr>
        <w:pStyle w:val="ConsPlusNormal"/>
        <w:jc w:val="right"/>
      </w:pPr>
      <w:r>
        <w:t>постановлением Правительства</w:t>
      </w:r>
    </w:p>
    <w:p w:rsidR="00EA313C" w:rsidRDefault="00EA313C">
      <w:pPr>
        <w:pStyle w:val="ConsPlusNormal"/>
        <w:jc w:val="right"/>
      </w:pPr>
      <w:r>
        <w:t>Российской Федерации</w:t>
      </w:r>
    </w:p>
    <w:p w:rsidR="00EA313C" w:rsidRDefault="00EA313C">
      <w:pPr>
        <w:pStyle w:val="ConsPlusNormal"/>
        <w:jc w:val="right"/>
      </w:pPr>
      <w:r>
        <w:t>от 21 августа 2020 г. N 1265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Title"/>
        <w:jc w:val="center"/>
      </w:pPr>
      <w:bookmarkStart w:id="0" w:name="P31"/>
      <w:bookmarkEnd w:id="0"/>
      <w:r>
        <w:t>ПРАВИЛА</w:t>
      </w:r>
    </w:p>
    <w:p w:rsidR="00EA313C" w:rsidRDefault="00EA313C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ОТКРЫТОМУ</w:t>
      </w:r>
      <w:proofErr w:type="gramEnd"/>
    </w:p>
    <w:p w:rsidR="00EA313C" w:rsidRDefault="00EA313C">
      <w:pPr>
        <w:pStyle w:val="ConsPlusTitle"/>
        <w:jc w:val="center"/>
      </w:pPr>
      <w:r>
        <w:t>АКЦИОНЕРНОМУ ОБЩЕСТВУ "РОССИЙСКИЕ ЖЕЛЕЗНЫЕ ДОРОГИ"</w:t>
      </w:r>
    </w:p>
    <w:p w:rsidR="00EA313C" w:rsidRDefault="00EA313C">
      <w:pPr>
        <w:pStyle w:val="ConsPlusTitle"/>
        <w:jc w:val="center"/>
      </w:pPr>
      <w:r>
        <w:t>НА ВОЗМЕЩЕНИЕ НЕДОПОЛУЧЕННЫХ ДОХОДОВ, ВОЗНИКАЮЩИХ</w:t>
      </w:r>
    </w:p>
    <w:p w:rsidR="00EA313C" w:rsidRDefault="00EA313C">
      <w:pPr>
        <w:pStyle w:val="ConsPlusTitle"/>
        <w:jc w:val="center"/>
      </w:pPr>
      <w:r>
        <w:t>В РЕЗУЛЬТАТЕ УСТАНОВЛЕНИЯ ЛЬГОТНЫХ ТАРИФОВ</w:t>
      </w:r>
    </w:p>
    <w:p w:rsidR="00EA313C" w:rsidRDefault="00EA313C">
      <w:pPr>
        <w:pStyle w:val="ConsPlusTitle"/>
        <w:jc w:val="center"/>
      </w:pPr>
      <w:r>
        <w:t>НА ТРАНЗИТНЫЕ ПЕРЕВОЗКИ ПО ТЕРРИТОРИИ РОССИЙСКОЙ</w:t>
      </w:r>
    </w:p>
    <w:p w:rsidR="00EA313C" w:rsidRDefault="00EA313C">
      <w:pPr>
        <w:pStyle w:val="ConsPlusTitle"/>
        <w:jc w:val="center"/>
      </w:pPr>
      <w:r>
        <w:t>ФЕДЕРАЦИИ ЖЕЛЕЗНОДОРОЖНЫМ ТРАНСПОРТОМ ОБЩЕГО</w:t>
      </w:r>
    </w:p>
    <w:p w:rsidR="00EA313C" w:rsidRDefault="00EA313C">
      <w:pPr>
        <w:pStyle w:val="ConsPlusTitle"/>
        <w:jc w:val="center"/>
      </w:pPr>
      <w:r>
        <w:t>ПОЛЬЗОВАНИЯ ГРУЗОВ В КОНТЕЙНЕРАХ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ind w:firstLine="540"/>
        <w:jc w:val="both"/>
      </w:pPr>
      <w:bookmarkStart w:id="1" w:name="P40"/>
      <w:bookmarkEnd w:id="1"/>
      <w:r>
        <w:t>1. Настоящие Правила устанавливают цели, условия и порядок предоставления субсидий из федерального бюджета открытому акционерному обществу "Российские железные дороги" (далее - организация) на возмещение недополученных доходов, возникающих в результате установления льготных тарифов на транзитные перевозки по территории Российской Федерации железнодорожным транспортом общего пользования грузов в контейнерах (далее - субсидия).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Под транзитной перевозкой по территории Российской Федерации железнодорожным </w:t>
      </w:r>
      <w:r>
        <w:lastRenderedPageBreak/>
        <w:t xml:space="preserve">транспортом общего пользования грузов в контейнерах для целей настоящих Правил понимается перевозка грузов в контейнерах через территорию Российской Федерации по маршрутам транзитных перевозок грузов в контейнерах согласно </w:t>
      </w:r>
      <w:hyperlink w:anchor="P103" w:history="1">
        <w:r>
          <w:rPr>
            <w:color w:val="0000FF"/>
          </w:rPr>
          <w:t>приложению N 1</w:t>
        </w:r>
      </w:hyperlink>
      <w:r>
        <w:t xml:space="preserve"> (далее - транзитная перевозка грузов в контейнерах).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Под льготным тарифом на транзитные перевозки грузов в контейнерах для целей настоящих Правил понимается тариф на услуги по использованию инфраструктуры железнодорожного транспорта общего пользования организации в размере, уменьшенном на следующую величину (не более размера такого тарифа):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а) в отношении транзитных перевозок грузов в контейнерах в направлении Восток - Запад: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38853 рубля для 20-футового контейнера;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58280 рублей для 30-футового контейнера;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77706 рублей для 40-футового контейнера;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б) в отношении транзитных перевозок грузов в контейнерах в направлении Запад - Восток: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25902 рубля для 20-футового контейнера;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38853 рубля для 30-футового контейнера;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51804 рубля для 40-футового контейнера.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2. Субсидия предоставляется в рамках ведомственной целевой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"Обеспечение доступности услуг железнодорожного транспорта" подпрограммы "Железнодорожный транспорт"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транспортной системы" организации в размере недополученных доходов, возникающих в результате установления льготных тарифов на транзитные перевозки грузов в контейнерах. Предоставление субсидии направлено на увеличение объема транзитных перевозок грузов в контейнерах.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Субсидия предоставляется ежемесячно в размере недополученных организацией доходов от применения льготного тарифа на транзитные перевозки грузов в контейнерах, определяемых на основании отчета о потерях в доходах организации, возникающих в результате установления льготных тарифов на транзитные перевозки по территории Российской Федерации железнодорожным транспортом общего пользования грузов в контейнерах по форме согласно </w:t>
      </w:r>
      <w:hyperlink w:anchor="P136" w:history="1">
        <w:r>
          <w:rPr>
            <w:color w:val="0000FF"/>
          </w:rPr>
          <w:t>приложению N 2</w:t>
        </w:r>
      </w:hyperlink>
      <w:r>
        <w:t>.</w:t>
      </w:r>
      <w:proofErr w:type="gramEnd"/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4. Субсидии предоставляются в пределах бюджетных ассигнований, предусмотренных федеральным законом о федеральном бюджете на соответствующий финансовый год и плановый период, и лимитов бюджетных обязательств, доведенных в установленном порядке до Федерального агентства железнодорожного транспорта как получателя средств федерального бюджета,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Субсидии предоставляются на основании заключаемого между Федеральным агентством железнодорожного транспорта и организацией соглашения о предоставлении субсидий в соответствии с типовой </w:t>
      </w:r>
      <w:hyperlink r:id="rId8" w:history="1">
        <w:r>
          <w:rPr>
            <w:color w:val="0000FF"/>
          </w:rPr>
          <w:t>формой</w:t>
        </w:r>
      </w:hyperlink>
      <w:r>
        <w:t xml:space="preserve">, установленной Министерством финансов Российской Федерации (далее - соглашение), которое </w:t>
      </w:r>
      <w:proofErr w:type="gramStart"/>
      <w:r>
        <w:t>предусматривает</w:t>
      </w:r>
      <w:proofErr w:type="gramEnd"/>
      <w:r>
        <w:t xml:space="preserve"> в том числе согласие организации на проведение Федеральным агентством железнодорожного транспорта и уполномоченным органом государственного финансового контроля обязательных проверок соблюдения организацией порядка, целей и условий предоставления субсидии, ежемесячные плановые значения результата предоставления субсидии, а также предоставление дополнительной отчетности (при необходимости).</w:t>
      </w:r>
    </w:p>
    <w:p w:rsidR="00EA313C" w:rsidRDefault="00EA313C">
      <w:pPr>
        <w:pStyle w:val="ConsPlusNormal"/>
        <w:spacing w:before="220"/>
        <w:ind w:firstLine="540"/>
        <w:jc w:val="both"/>
      </w:pPr>
      <w:bookmarkStart w:id="2" w:name="P55"/>
      <w:bookmarkEnd w:id="2"/>
      <w:r>
        <w:lastRenderedPageBreak/>
        <w:t>5. Организация на 1-е число месяца, предшествующего месяцу, в котором планируется заключение соглашения, должна соответствовать следующим требованиям: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а) у организации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б) у организации отсутствует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в) организация не находится в процессе реорганизации, ликвидации, в отношении ее не введена процедура банкротства, ее деятельность не приостановлена в порядке, предусмотренном законодательством Российской Федерации;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г) организация не получает средства из федерального бюджета в соответствии с иными нормативными правовыми актами на цели, указанные в </w:t>
      </w:r>
      <w:hyperlink w:anchor="P40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EA313C" w:rsidRDefault="00EA313C">
      <w:pPr>
        <w:pStyle w:val="ConsPlusNormal"/>
        <w:spacing w:before="220"/>
        <w:ind w:firstLine="540"/>
        <w:jc w:val="both"/>
      </w:pPr>
      <w:proofErr w:type="gramStart"/>
      <w:r>
        <w:t>д)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6. Для заключения соглашения организация представляет в Федеральное агентство железнодорожного транспорта подписанные руководителем организации заявление о заключении соглашения (в произвольной форме) и справку о соответствии организации требованиям, установленным </w:t>
      </w:r>
      <w:hyperlink w:anchor="P55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Федеральное агентство железнодорожного транспорта рассматривает указанные документы в течение 15 календарных дней со дня их получения и принимает решение о заключении соглашения или об отказе в заключени</w:t>
      </w:r>
      <w:proofErr w:type="gramStart"/>
      <w:r>
        <w:t>и</w:t>
      </w:r>
      <w:proofErr w:type="gramEnd"/>
      <w:r>
        <w:t xml:space="preserve"> соглашения в случае несоответствия организации требованиям, установленным </w:t>
      </w:r>
      <w:hyperlink w:anchor="P55" w:history="1">
        <w:r>
          <w:rPr>
            <w:color w:val="0000FF"/>
          </w:rPr>
          <w:t>пунктом 5</w:t>
        </w:r>
      </w:hyperlink>
      <w:r>
        <w:t xml:space="preserve"> настоящих Правил.</w:t>
      </w:r>
    </w:p>
    <w:p w:rsidR="00EA313C" w:rsidRDefault="00EA313C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7. </w:t>
      </w:r>
      <w:proofErr w:type="gramStart"/>
      <w:r>
        <w:t xml:space="preserve">Для получения субсидии организация представляет ежемесячно, не позднее 20-го числа месяца, следующего за отчетным месяцем, в Федеральное агентство железнодорожного транспорта отчет о потерях в доходах организации, возникающих в результате установления льготных тарифов на транзитные перевозки по территории Российской Федерации железнодорожным транспортом общего пользования грузов в контейнерах по форме согласно </w:t>
      </w:r>
      <w:hyperlink w:anchor="P136" w:history="1">
        <w:r>
          <w:rPr>
            <w:color w:val="0000FF"/>
          </w:rPr>
          <w:t>приложению N 2</w:t>
        </w:r>
      </w:hyperlink>
      <w:r>
        <w:t xml:space="preserve"> к настоящим Правилам, а также отчет открытого акционерного</w:t>
      </w:r>
      <w:proofErr w:type="gramEnd"/>
      <w:r>
        <w:t xml:space="preserve"> общества "Российские железные дороги" о выполнении показателей, необходимых для достижения показателя результата предоставления субсидии, по форме согласно </w:t>
      </w:r>
      <w:hyperlink w:anchor="P217" w:history="1">
        <w:r>
          <w:rPr>
            <w:color w:val="0000FF"/>
          </w:rPr>
          <w:t>приложению N 3</w:t>
        </w:r>
      </w:hyperlink>
      <w:r>
        <w:t>.</w:t>
      </w:r>
    </w:p>
    <w:p w:rsidR="00EA313C" w:rsidRDefault="00EA313C">
      <w:pPr>
        <w:pStyle w:val="ConsPlusNormal"/>
        <w:spacing w:before="220"/>
        <w:ind w:firstLine="540"/>
        <w:jc w:val="both"/>
      </w:pPr>
      <w:bookmarkStart w:id="4" w:name="P64"/>
      <w:bookmarkEnd w:id="4"/>
      <w:r>
        <w:t xml:space="preserve">8. Федеральное агентство железнодорожного транспорта в 5-дневный срок с даты получения отчетов, указанных в </w:t>
      </w:r>
      <w:hyperlink w:anchor="P63" w:history="1">
        <w:r>
          <w:rPr>
            <w:color w:val="0000FF"/>
          </w:rPr>
          <w:t>пункте 7</w:t>
        </w:r>
      </w:hyperlink>
      <w:r>
        <w:t xml:space="preserve"> настоящих Правил, осуществляет проверку полноты и </w:t>
      </w:r>
      <w:proofErr w:type="gramStart"/>
      <w:r>
        <w:t>правильности</w:t>
      </w:r>
      <w:proofErr w:type="gramEnd"/>
      <w:r>
        <w:t xml:space="preserve"> указанных в нем сведений и принимает решение о предоставлении организации субсидии либо о возврате отчета (отчетов) организации с указанием причин возврата.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Возврат отчета (отчетов) организации осуществляется Федеральным агентством железнодорожного транспорта в случае выявления неточностей, в том числе ошибок в расчетах, или представления отчета (отчетов) с нарушением установленных настоящими Правилами требований.</w:t>
      </w:r>
    </w:p>
    <w:p w:rsidR="00EA313C" w:rsidRDefault="00EA313C">
      <w:pPr>
        <w:pStyle w:val="ConsPlusNormal"/>
        <w:spacing w:before="220"/>
        <w:ind w:firstLine="540"/>
        <w:jc w:val="both"/>
      </w:pPr>
      <w:bookmarkStart w:id="5" w:name="P66"/>
      <w:bookmarkEnd w:id="5"/>
      <w:r>
        <w:lastRenderedPageBreak/>
        <w:t>9. Организация в 5-дневный срок со дня получения возвращенного отчета (отчетов) устраняет допущенные нарушения и (или) неточности и представляет уточненный отчет (отчеты) в Федеральное агентство железнодорожного транспорта.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Федеральное агентство железнодорожного транспорта в 5-дневный срок с даты получения уточненного отчета (отчетов) осуществляет проверку полноты и </w:t>
      </w:r>
      <w:proofErr w:type="gramStart"/>
      <w:r>
        <w:t>правильности</w:t>
      </w:r>
      <w:proofErr w:type="gramEnd"/>
      <w:r>
        <w:t xml:space="preserve"> указанных в нем сведений и принимает решение о предоставлении организации субсидии либо об отказе в предоставлении субсидии с указанием причин отказа.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10. Основаниями для отказа организации в предоставлении субсидии являются: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а) непредставление предусмотренных </w:t>
      </w:r>
      <w:hyperlink w:anchor="P63" w:history="1">
        <w:r>
          <w:rPr>
            <w:color w:val="0000FF"/>
          </w:rPr>
          <w:t>пунктами 7</w:t>
        </w:r>
      </w:hyperlink>
      <w:r>
        <w:t xml:space="preserve"> и </w:t>
      </w:r>
      <w:hyperlink w:anchor="P66" w:history="1">
        <w:r>
          <w:rPr>
            <w:color w:val="0000FF"/>
          </w:rPr>
          <w:t>9</w:t>
        </w:r>
      </w:hyperlink>
      <w:r>
        <w:t xml:space="preserve"> настоящих Правил документов (предоставление их не в полном объеме);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б) недостоверность представленной организацией информации.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11. Субсидия перечисляется Федеральным агентством железнодорожного транспорта в установленном порядке на расчетный счет, открытый организации в кредитной организации, не позднее 10 рабочих дней после принятия Федеральным агентством железнодорожного транспорта решения о предоставлении субсидии, указанного в </w:t>
      </w:r>
      <w:hyperlink w:anchor="P64" w:history="1">
        <w:r>
          <w:rPr>
            <w:color w:val="0000FF"/>
          </w:rPr>
          <w:t>пункте 8</w:t>
        </w:r>
      </w:hyperlink>
      <w:r>
        <w:t xml:space="preserve"> или </w:t>
      </w:r>
      <w:hyperlink w:anchor="P66" w:history="1">
        <w:r>
          <w:rPr>
            <w:color w:val="0000FF"/>
          </w:rPr>
          <w:t>9</w:t>
        </w:r>
      </w:hyperlink>
      <w:r>
        <w:t xml:space="preserve"> настоящих Правил.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12. Информация об объемах и о сроках перечисления субсидий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 xml:space="preserve">13. В случае установления в ходе проверок, проведенных Федеральным агентством железнодорожного транспорта и (или) уполномоченным органом государственного финансового контроля, фактов нарушения условий, установленных при предоставлении субсидий, а также в случае, указанном в </w:t>
      </w:r>
      <w:hyperlink w:anchor="P77" w:history="1">
        <w:r>
          <w:rPr>
            <w:color w:val="0000FF"/>
          </w:rPr>
          <w:t>пункте 15</w:t>
        </w:r>
      </w:hyperlink>
      <w:r>
        <w:t xml:space="preserve"> настоящих Правил, соответствующие средства подлежат возврату в доход федерального бюджета: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а) на основании требования Федерального агентства железнодорожного транспорта - в течение 10 рабочих дней со дня получения организацией соответствующего требования;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14. Результатом предоставления субсидии является отношение фактического значения количества транзитных перевозок грузов в контейнерах, измеряемого в штуках груженых контейнеров, к плановому значению количества транзитных перевозок грузов в контейнерах, установленному в соглашении.</w:t>
      </w:r>
    </w:p>
    <w:p w:rsidR="00EA313C" w:rsidRDefault="00EA313C">
      <w:pPr>
        <w:pStyle w:val="ConsPlusNormal"/>
        <w:spacing w:before="220"/>
        <w:ind w:firstLine="540"/>
        <w:jc w:val="both"/>
      </w:pPr>
      <w:bookmarkStart w:id="6" w:name="P77"/>
      <w:bookmarkEnd w:id="6"/>
      <w:r>
        <w:t xml:space="preserve">15. В случае если результат предоставления субсидии, указанный в отчете о выполнении показателей, необходимых для достижения показателя результата предоставления субсидии, по форме согласно </w:t>
      </w:r>
      <w:hyperlink w:anchor="P217" w:history="1">
        <w:r>
          <w:rPr>
            <w:color w:val="0000FF"/>
          </w:rPr>
          <w:t>приложению N 3</w:t>
        </w:r>
      </w:hyperlink>
      <w:r>
        <w:t xml:space="preserve"> к настоящим Правилам, меньше 1, предоставленная субсидия подлежит возврату в федеральный бюджет в объеме (V), определяемом по формуле: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center"/>
      </w:pPr>
      <w:r w:rsidRPr="00546EF7">
        <w:rPr>
          <w:position w:val="-26"/>
        </w:rPr>
        <w:pict>
          <v:shape id="_x0000_i1025" style="width:92.25pt;height:37.5pt" coordsize="" o:spt="100" adj="0,,0" path="" filled="f" stroked="f">
            <v:stroke joinstyle="miter"/>
            <v:imagedata r:id="rId9" o:title="base_1_360693_32768"/>
            <v:formulas/>
            <v:path o:connecttype="segments"/>
          </v:shape>
        </w:pic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ind w:firstLine="540"/>
        <w:jc w:val="both"/>
      </w:pPr>
      <w:r>
        <w:t>где: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V</w:t>
      </w:r>
      <w:r>
        <w:rPr>
          <w:vertAlign w:val="subscript"/>
        </w:rPr>
        <w:t>0</w:t>
      </w:r>
      <w:r>
        <w:t xml:space="preserve"> - объем предоставленной субсидии;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lastRenderedPageBreak/>
        <w:t>d - фактическое количество транзитных перевозок грузов в контейнерах по маршрутам Восток - Запад и Запад - Восток;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D - плановое количество транзитных перевозок грузов в контейнерах по маршрутам Восток - Запад и Запад - Восток, предусмотренное соглашением, установленное на отчетный период.</w:t>
      </w:r>
    </w:p>
    <w:p w:rsidR="00EA313C" w:rsidRDefault="00EA313C">
      <w:pPr>
        <w:pStyle w:val="ConsPlusNormal"/>
        <w:spacing w:before="220"/>
        <w:ind w:firstLine="540"/>
        <w:jc w:val="both"/>
      </w:pPr>
      <w:r>
        <w:t>16. Федеральное агентство железнодорожного транспорта и уполномоченный орган государственного финансового контроля осуществляют обязательную проверку соблюдения организацией порядка, целей и условий предоставления субсидий.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  <w:outlineLvl w:val="1"/>
      </w:pPr>
      <w:r>
        <w:t>Приложение N 1</w:t>
      </w:r>
    </w:p>
    <w:p w:rsidR="00EA313C" w:rsidRDefault="00EA313C">
      <w:pPr>
        <w:pStyle w:val="ConsPlusNormal"/>
        <w:jc w:val="right"/>
      </w:pPr>
      <w:r>
        <w:t>к Правилам предоставления субсидий</w:t>
      </w:r>
    </w:p>
    <w:p w:rsidR="00EA313C" w:rsidRDefault="00EA313C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открытому</w:t>
      </w:r>
      <w:proofErr w:type="gramEnd"/>
    </w:p>
    <w:p w:rsidR="00EA313C" w:rsidRDefault="00EA313C">
      <w:pPr>
        <w:pStyle w:val="ConsPlusNormal"/>
        <w:jc w:val="right"/>
      </w:pPr>
      <w:r>
        <w:t>акционерному обществу "</w:t>
      </w:r>
      <w:proofErr w:type="gramStart"/>
      <w:r>
        <w:t>Российские</w:t>
      </w:r>
      <w:proofErr w:type="gramEnd"/>
    </w:p>
    <w:p w:rsidR="00EA313C" w:rsidRDefault="00EA313C">
      <w:pPr>
        <w:pStyle w:val="ConsPlusNormal"/>
        <w:jc w:val="right"/>
      </w:pPr>
      <w:r>
        <w:t>железные дороги" на возмещение</w:t>
      </w:r>
    </w:p>
    <w:p w:rsidR="00EA313C" w:rsidRDefault="00EA313C">
      <w:pPr>
        <w:pStyle w:val="ConsPlusNormal"/>
        <w:jc w:val="right"/>
      </w:pPr>
      <w:r>
        <w:t>недополученных доходов, возникающих</w:t>
      </w:r>
    </w:p>
    <w:p w:rsidR="00EA313C" w:rsidRDefault="00EA313C">
      <w:pPr>
        <w:pStyle w:val="ConsPlusNormal"/>
        <w:jc w:val="right"/>
      </w:pPr>
      <w:r>
        <w:t xml:space="preserve">в результате установления </w:t>
      </w:r>
      <w:proofErr w:type="gramStart"/>
      <w:r>
        <w:t>льготных</w:t>
      </w:r>
      <w:proofErr w:type="gramEnd"/>
    </w:p>
    <w:p w:rsidR="00EA313C" w:rsidRDefault="00EA313C">
      <w:pPr>
        <w:pStyle w:val="ConsPlusNormal"/>
        <w:jc w:val="right"/>
      </w:pPr>
      <w:r>
        <w:t>тарифов на транзитные перевозки</w:t>
      </w:r>
    </w:p>
    <w:p w:rsidR="00EA313C" w:rsidRDefault="00EA313C">
      <w:pPr>
        <w:pStyle w:val="ConsPlusNormal"/>
        <w:jc w:val="right"/>
      </w:pPr>
      <w:r>
        <w:t>по территории Российской Федерации</w:t>
      </w:r>
    </w:p>
    <w:p w:rsidR="00EA313C" w:rsidRDefault="00EA313C">
      <w:pPr>
        <w:pStyle w:val="ConsPlusNormal"/>
        <w:jc w:val="right"/>
      </w:pPr>
      <w:r>
        <w:t>железнодорожным транспортом общего</w:t>
      </w:r>
    </w:p>
    <w:p w:rsidR="00EA313C" w:rsidRDefault="00EA313C">
      <w:pPr>
        <w:pStyle w:val="ConsPlusNormal"/>
        <w:jc w:val="right"/>
      </w:pPr>
      <w:r>
        <w:t>пользования грузов в контейнерах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Title"/>
        <w:jc w:val="center"/>
      </w:pPr>
      <w:bookmarkStart w:id="7" w:name="P103"/>
      <w:bookmarkEnd w:id="7"/>
      <w:r>
        <w:t>МАРШРУТЫ ТРАНЗИТНЫХ ПЕРЕВОЗОК ГРУЗОВ В КОНТЕЙНЕРАХ</w:t>
      </w:r>
    </w:p>
    <w:p w:rsidR="00EA313C" w:rsidRDefault="00EA313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1248"/>
        <w:gridCol w:w="3660"/>
        <w:gridCol w:w="3585"/>
      </w:tblGrid>
      <w:tr w:rsidR="00EA313C">
        <w:tc>
          <w:tcPr>
            <w:tcW w:w="1800" w:type="dxa"/>
            <w:gridSpan w:val="2"/>
            <w:vMerge w:val="restart"/>
            <w:tcBorders>
              <w:lef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Направление перевозки</w:t>
            </w:r>
          </w:p>
        </w:tc>
        <w:tc>
          <w:tcPr>
            <w:tcW w:w="7245" w:type="dxa"/>
            <w:gridSpan w:val="2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Железнодорожные станции Российской Федерации, через которые осуществляется транзитная перевозка грузов в контейнерах</w:t>
            </w:r>
          </w:p>
        </w:tc>
      </w:tr>
      <w:tr w:rsidR="00EA313C">
        <w:tblPrEx>
          <w:tblBorders>
            <w:left w:val="single" w:sz="4" w:space="0" w:color="auto"/>
          </w:tblBorders>
        </w:tblPrEx>
        <w:tc>
          <w:tcPr>
            <w:tcW w:w="1800" w:type="dxa"/>
            <w:gridSpan w:val="2"/>
            <w:vMerge/>
            <w:tcBorders>
              <w:left w:val="nil"/>
            </w:tcBorders>
          </w:tcPr>
          <w:p w:rsidR="00EA313C" w:rsidRDefault="00EA313C"/>
        </w:tc>
        <w:tc>
          <w:tcPr>
            <w:tcW w:w="3660" w:type="dxa"/>
          </w:tcPr>
          <w:p w:rsidR="00EA313C" w:rsidRDefault="00EA313C">
            <w:pPr>
              <w:pStyle w:val="ConsPlusNormal"/>
              <w:jc w:val="center"/>
            </w:pPr>
            <w:r>
              <w:t>входная пограничная, припортовая станция</w:t>
            </w:r>
          </w:p>
        </w:tc>
        <w:tc>
          <w:tcPr>
            <w:tcW w:w="3585" w:type="dxa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выходная пограничная, припортовая станция</w:t>
            </w:r>
          </w:p>
        </w:tc>
      </w:tr>
      <w:tr w:rsidR="00EA313C">
        <w:tblPrEx>
          <w:tblBorders>
            <w:insideH w:val="nil"/>
            <w:insideV w:val="none" w:sz="0" w:space="0" w:color="auto"/>
          </w:tblBorders>
        </w:tblPrEx>
        <w:tc>
          <w:tcPr>
            <w:tcW w:w="552" w:type="dxa"/>
            <w:tcBorders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  <w:r>
              <w:t>Восток - Запад</w:t>
            </w:r>
          </w:p>
        </w:tc>
        <w:tc>
          <w:tcPr>
            <w:tcW w:w="3660" w:type="dxa"/>
            <w:tcBorders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  <w:r>
              <w:t>российские припортовые железнодорожные станции Тихоокеанского бассейна</w:t>
            </w:r>
          </w:p>
        </w:tc>
        <w:tc>
          <w:tcPr>
            <w:tcW w:w="3585" w:type="dxa"/>
            <w:tcBorders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российские припортовые железнодорожные станции Балтийского и Азово-Черноморского бассейнов, железнодорожные пункты пропуска с Финляндской Республикой, Республикой Белоруссия, Республикой Польша, Азербайджанской Республикой</w:t>
            </w:r>
          </w:p>
        </w:tc>
      </w:tr>
      <w:tr w:rsidR="00EA313C">
        <w:tblPrEx>
          <w:tblBorders>
            <w:insideH w:val="nil"/>
            <w:insideV w:val="none" w:sz="0" w:space="0" w:color="auto"/>
          </w:tblBorders>
        </w:tblPrEx>
        <w:tc>
          <w:tcPr>
            <w:tcW w:w="552" w:type="dxa"/>
            <w:tcBorders>
              <w:top w:val="nil"/>
              <w:left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</w:tcPr>
          <w:p w:rsidR="00EA313C" w:rsidRDefault="00EA313C">
            <w:pPr>
              <w:pStyle w:val="ConsPlusNormal"/>
            </w:pPr>
            <w:r>
              <w:t>Запад - Восток</w:t>
            </w:r>
          </w:p>
        </w:tc>
        <w:tc>
          <w:tcPr>
            <w:tcW w:w="3660" w:type="dxa"/>
            <w:tcBorders>
              <w:top w:val="nil"/>
              <w:left w:val="nil"/>
              <w:right w:val="nil"/>
            </w:tcBorders>
            <w:vAlign w:val="center"/>
          </w:tcPr>
          <w:p w:rsidR="00EA313C" w:rsidRDefault="00EA313C">
            <w:pPr>
              <w:pStyle w:val="ConsPlusNormal"/>
            </w:pPr>
            <w:r>
              <w:t>российские припортовые железнодорожные станции Балтийского и Азово-Черноморского бассейнов, железнодорожные пункты пропуска с Финляндской Республикой, Республикой Белоруссия, Республикой Польша, Азербайджанской Республикой</w:t>
            </w:r>
          </w:p>
        </w:tc>
        <w:tc>
          <w:tcPr>
            <w:tcW w:w="3585" w:type="dxa"/>
            <w:tcBorders>
              <w:top w:val="nil"/>
              <w:left w:val="nil"/>
              <w:right w:val="nil"/>
            </w:tcBorders>
          </w:tcPr>
          <w:p w:rsidR="00EA313C" w:rsidRDefault="00EA313C">
            <w:pPr>
              <w:pStyle w:val="ConsPlusNormal"/>
            </w:pPr>
            <w:r>
              <w:t>российские припортовые железнодорожные станции Тихоокеанского бассейна</w:t>
            </w:r>
          </w:p>
        </w:tc>
      </w:tr>
    </w:tbl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  <w:outlineLvl w:val="1"/>
      </w:pPr>
      <w:r>
        <w:t>Приложение N 2</w:t>
      </w:r>
    </w:p>
    <w:p w:rsidR="00EA313C" w:rsidRDefault="00EA313C">
      <w:pPr>
        <w:pStyle w:val="ConsPlusNormal"/>
        <w:jc w:val="right"/>
      </w:pPr>
      <w:r>
        <w:t>к Правилам предоставления субсидий</w:t>
      </w:r>
    </w:p>
    <w:p w:rsidR="00EA313C" w:rsidRDefault="00EA313C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открытому</w:t>
      </w:r>
      <w:proofErr w:type="gramEnd"/>
    </w:p>
    <w:p w:rsidR="00EA313C" w:rsidRDefault="00EA313C">
      <w:pPr>
        <w:pStyle w:val="ConsPlusNormal"/>
        <w:jc w:val="right"/>
      </w:pPr>
      <w:r>
        <w:t>акционерному обществу "</w:t>
      </w:r>
      <w:proofErr w:type="gramStart"/>
      <w:r>
        <w:t>Российские</w:t>
      </w:r>
      <w:proofErr w:type="gramEnd"/>
    </w:p>
    <w:p w:rsidR="00EA313C" w:rsidRDefault="00EA313C">
      <w:pPr>
        <w:pStyle w:val="ConsPlusNormal"/>
        <w:jc w:val="right"/>
      </w:pPr>
      <w:r>
        <w:t>железные дороги" на возмещение</w:t>
      </w:r>
    </w:p>
    <w:p w:rsidR="00EA313C" w:rsidRDefault="00EA313C">
      <w:pPr>
        <w:pStyle w:val="ConsPlusNormal"/>
        <w:jc w:val="right"/>
      </w:pPr>
      <w:r>
        <w:t>недополученных доходов, возникающих</w:t>
      </w:r>
    </w:p>
    <w:p w:rsidR="00EA313C" w:rsidRDefault="00EA313C">
      <w:pPr>
        <w:pStyle w:val="ConsPlusNormal"/>
        <w:jc w:val="right"/>
      </w:pPr>
      <w:r>
        <w:t xml:space="preserve">в результате установления </w:t>
      </w:r>
      <w:proofErr w:type="gramStart"/>
      <w:r>
        <w:t>льготных</w:t>
      </w:r>
      <w:proofErr w:type="gramEnd"/>
    </w:p>
    <w:p w:rsidR="00EA313C" w:rsidRDefault="00EA313C">
      <w:pPr>
        <w:pStyle w:val="ConsPlusNormal"/>
        <w:jc w:val="right"/>
      </w:pPr>
      <w:r>
        <w:t>тарифов на транзитные перевозки</w:t>
      </w:r>
    </w:p>
    <w:p w:rsidR="00EA313C" w:rsidRDefault="00EA313C">
      <w:pPr>
        <w:pStyle w:val="ConsPlusNormal"/>
        <w:jc w:val="right"/>
      </w:pPr>
      <w:r>
        <w:t>по территории Российской Федерации</w:t>
      </w:r>
    </w:p>
    <w:p w:rsidR="00EA313C" w:rsidRDefault="00EA313C">
      <w:pPr>
        <w:pStyle w:val="ConsPlusNormal"/>
        <w:jc w:val="right"/>
      </w:pPr>
      <w:r>
        <w:t>железнодорожным транспортом общего</w:t>
      </w:r>
    </w:p>
    <w:p w:rsidR="00EA313C" w:rsidRDefault="00EA313C">
      <w:pPr>
        <w:pStyle w:val="ConsPlusNormal"/>
        <w:jc w:val="right"/>
      </w:pPr>
      <w:r>
        <w:t>пользования грузов в контейнерах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</w:pPr>
      <w:r>
        <w:t>(форма)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center"/>
      </w:pPr>
      <w:bookmarkStart w:id="8" w:name="P136"/>
      <w:bookmarkEnd w:id="8"/>
      <w:r>
        <w:t>ОТЧЕТ</w:t>
      </w:r>
    </w:p>
    <w:p w:rsidR="00EA313C" w:rsidRDefault="00EA313C">
      <w:pPr>
        <w:pStyle w:val="ConsPlusNormal"/>
        <w:jc w:val="center"/>
      </w:pPr>
      <w:r>
        <w:t>о потерях в доходах организации, возникающих в результате</w:t>
      </w:r>
    </w:p>
    <w:p w:rsidR="00EA313C" w:rsidRDefault="00EA313C">
      <w:pPr>
        <w:pStyle w:val="ConsPlusNormal"/>
        <w:jc w:val="center"/>
      </w:pPr>
      <w:r>
        <w:t>установления льготных тарифов на транзитные перевозки</w:t>
      </w:r>
    </w:p>
    <w:p w:rsidR="00EA313C" w:rsidRDefault="00EA313C">
      <w:pPr>
        <w:pStyle w:val="ConsPlusNormal"/>
        <w:jc w:val="center"/>
      </w:pPr>
      <w:r>
        <w:t xml:space="preserve">по территории Российской Федерации </w:t>
      </w:r>
      <w:proofErr w:type="gramStart"/>
      <w:r>
        <w:t>железнодорожным</w:t>
      </w:r>
      <w:proofErr w:type="gramEnd"/>
    </w:p>
    <w:p w:rsidR="00EA313C" w:rsidRDefault="00EA313C">
      <w:pPr>
        <w:pStyle w:val="ConsPlusNormal"/>
        <w:jc w:val="center"/>
      </w:pPr>
      <w:r>
        <w:t>транспортом общего пользования грузов в контейнерах,</w:t>
      </w:r>
    </w:p>
    <w:p w:rsidR="00EA313C" w:rsidRDefault="00EA313C">
      <w:pPr>
        <w:pStyle w:val="ConsPlusNormal"/>
        <w:jc w:val="center"/>
      </w:pPr>
      <w:r>
        <w:t>за ________ (месяц, год)</w:t>
      </w:r>
    </w:p>
    <w:p w:rsidR="00EA313C" w:rsidRDefault="00EA313C">
      <w:pPr>
        <w:pStyle w:val="ConsPlusNormal"/>
        <w:jc w:val="both"/>
      </w:pPr>
    </w:p>
    <w:p w:rsidR="00EA313C" w:rsidRDefault="00EA313C">
      <w:pPr>
        <w:sectPr w:rsidR="00EA313C" w:rsidSect="006D62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0"/>
        <w:gridCol w:w="1800"/>
        <w:gridCol w:w="1013"/>
        <w:gridCol w:w="749"/>
        <w:gridCol w:w="840"/>
        <w:gridCol w:w="950"/>
        <w:gridCol w:w="1498"/>
        <w:gridCol w:w="1435"/>
        <w:gridCol w:w="968"/>
        <w:gridCol w:w="1176"/>
        <w:gridCol w:w="1404"/>
        <w:gridCol w:w="1325"/>
      </w:tblGrid>
      <w:tr w:rsidR="00EA313C">
        <w:tc>
          <w:tcPr>
            <w:tcW w:w="990" w:type="dxa"/>
            <w:tcBorders>
              <w:lef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lastRenderedPageBreak/>
              <w:t>Наименование плательщика</w:t>
            </w:r>
          </w:p>
        </w:tc>
        <w:tc>
          <w:tcPr>
            <w:tcW w:w="1800" w:type="dxa"/>
          </w:tcPr>
          <w:p w:rsidR="00EA313C" w:rsidRDefault="00EA313C">
            <w:pPr>
              <w:pStyle w:val="ConsPlusNormal"/>
              <w:jc w:val="center"/>
            </w:pPr>
            <w:r>
              <w:t>Номер перевозочного документа, дата приема груза к перевозке</w:t>
            </w:r>
          </w:p>
        </w:tc>
        <w:tc>
          <w:tcPr>
            <w:tcW w:w="1013" w:type="dxa"/>
          </w:tcPr>
          <w:p w:rsidR="00EA313C" w:rsidRDefault="00EA313C">
            <w:pPr>
              <w:pStyle w:val="ConsPlusNormal"/>
              <w:jc w:val="center"/>
            </w:pPr>
            <w:r>
              <w:t>Позиция ЕТСНГ</w:t>
            </w:r>
          </w:p>
        </w:tc>
        <w:tc>
          <w:tcPr>
            <w:tcW w:w="749" w:type="dxa"/>
          </w:tcPr>
          <w:p w:rsidR="00EA313C" w:rsidRDefault="00EA313C">
            <w:pPr>
              <w:pStyle w:val="ConsPlusNormal"/>
              <w:jc w:val="center"/>
            </w:pPr>
            <w:r>
              <w:t>Код ГНГ</w:t>
            </w:r>
          </w:p>
        </w:tc>
        <w:tc>
          <w:tcPr>
            <w:tcW w:w="840" w:type="dxa"/>
          </w:tcPr>
          <w:p w:rsidR="00EA313C" w:rsidRDefault="00EA313C">
            <w:pPr>
              <w:pStyle w:val="ConsPlusNormal"/>
              <w:jc w:val="center"/>
            </w:pPr>
            <w:r>
              <w:t>Государство отправления</w:t>
            </w:r>
          </w:p>
        </w:tc>
        <w:tc>
          <w:tcPr>
            <w:tcW w:w="950" w:type="dxa"/>
          </w:tcPr>
          <w:p w:rsidR="00EA313C" w:rsidRDefault="00EA313C">
            <w:pPr>
              <w:pStyle w:val="ConsPlusNormal"/>
              <w:jc w:val="center"/>
            </w:pPr>
            <w:r>
              <w:t>Государство назначения</w:t>
            </w:r>
          </w:p>
        </w:tc>
        <w:tc>
          <w:tcPr>
            <w:tcW w:w="1498" w:type="dxa"/>
          </w:tcPr>
          <w:p w:rsidR="00EA313C" w:rsidRDefault="00EA313C">
            <w:pPr>
              <w:pStyle w:val="ConsPlusNormal"/>
              <w:jc w:val="center"/>
            </w:pPr>
            <w:r>
              <w:t>Станция входа Российской Федерации</w:t>
            </w:r>
          </w:p>
        </w:tc>
        <w:tc>
          <w:tcPr>
            <w:tcW w:w="1435" w:type="dxa"/>
          </w:tcPr>
          <w:p w:rsidR="00EA313C" w:rsidRDefault="00EA313C">
            <w:pPr>
              <w:pStyle w:val="ConsPlusNormal"/>
              <w:jc w:val="center"/>
            </w:pPr>
            <w:r>
              <w:t>Станция выхода Российской Федерации</w:t>
            </w:r>
          </w:p>
        </w:tc>
        <w:tc>
          <w:tcPr>
            <w:tcW w:w="968" w:type="dxa"/>
          </w:tcPr>
          <w:p w:rsidR="00EA313C" w:rsidRDefault="00EA313C">
            <w:pPr>
              <w:pStyle w:val="ConsPlusNormal"/>
              <w:jc w:val="center"/>
            </w:pPr>
            <w:r>
              <w:t>Количество контейнеров</w:t>
            </w:r>
          </w:p>
        </w:tc>
        <w:tc>
          <w:tcPr>
            <w:tcW w:w="1176" w:type="dxa"/>
          </w:tcPr>
          <w:p w:rsidR="00EA313C" w:rsidRDefault="00EA313C">
            <w:pPr>
              <w:pStyle w:val="ConsPlusNormal"/>
              <w:jc w:val="center"/>
            </w:pPr>
            <w:r>
              <w:t>Сумма скидки с тарифа, рублей</w:t>
            </w:r>
          </w:p>
        </w:tc>
        <w:tc>
          <w:tcPr>
            <w:tcW w:w="1404" w:type="dxa"/>
          </w:tcPr>
          <w:p w:rsidR="00EA313C" w:rsidRDefault="00EA313C">
            <w:pPr>
              <w:pStyle w:val="ConsPlusNormal"/>
              <w:jc w:val="center"/>
            </w:pPr>
            <w:r>
              <w:t>Сумма корректировок скидки с тарифа, рублей</w:t>
            </w:r>
          </w:p>
        </w:tc>
        <w:tc>
          <w:tcPr>
            <w:tcW w:w="1325" w:type="dxa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Потери в доходах, рублей (</w:t>
            </w:r>
            <w:hyperlink w:anchor="P164" w:history="1">
              <w:r>
                <w:rPr>
                  <w:color w:val="0000FF"/>
                </w:rPr>
                <w:t>гр. 10</w:t>
              </w:r>
            </w:hyperlink>
            <w:r>
              <w:t xml:space="preserve"> + </w:t>
            </w:r>
            <w:hyperlink w:anchor="P165" w:history="1">
              <w:r>
                <w:rPr>
                  <w:color w:val="0000FF"/>
                </w:rPr>
                <w:t>гр. 11</w:t>
              </w:r>
            </w:hyperlink>
            <w:r>
              <w:t>)</w:t>
            </w:r>
          </w:p>
        </w:tc>
      </w:tr>
      <w:tr w:rsidR="00EA313C">
        <w:tc>
          <w:tcPr>
            <w:tcW w:w="990" w:type="dxa"/>
            <w:tcBorders>
              <w:lef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00" w:type="dxa"/>
          </w:tcPr>
          <w:p w:rsidR="00EA313C" w:rsidRDefault="00EA313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13" w:type="dxa"/>
          </w:tcPr>
          <w:p w:rsidR="00EA313C" w:rsidRDefault="00EA313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9" w:type="dxa"/>
          </w:tcPr>
          <w:p w:rsidR="00EA313C" w:rsidRDefault="00EA313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EA313C" w:rsidRDefault="00EA313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50" w:type="dxa"/>
          </w:tcPr>
          <w:p w:rsidR="00EA313C" w:rsidRDefault="00EA313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98" w:type="dxa"/>
          </w:tcPr>
          <w:p w:rsidR="00EA313C" w:rsidRDefault="00EA313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35" w:type="dxa"/>
          </w:tcPr>
          <w:p w:rsidR="00EA313C" w:rsidRDefault="00EA313C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8" w:type="dxa"/>
          </w:tcPr>
          <w:p w:rsidR="00EA313C" w:rsidRDefault="00EA313C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76" w:type="dxa"/>
          </w:tcPr>
          <w:p w:rsidR="00EA313C" w:rsidRDefault="00EA313C">
            <w:pPr>
              <w:pStyle w:val="ConsPlusNormal"/>
              <w:jc w:val="center"/>
            </w:pPr>
            <w:bookmarkStart w:id="9" w:name="P164"/>
            <w:bookmarkEnd w:id="9"/>
            <w:r>
              <w:t>10</w:t>
            </w:r>
          </w:p>
        </w:tc>
        <w:tc>
          <w:tcPr>
            <w:tcW w:w="1404" w:type="dxa"/>
          </w:tcPr>
          <w:p w:rsidR="00EA313C" w:rsidRDefault="00EA313C">
            <w:pPr>
              <w:pStyle w:val="ConsPlusNormal"/>
              <w:jc w:val="center"/>
            </w:pPr>
            <w:bookmarkStart w:id="10" w:name="P165"/>
            <w:bookmarkEnd w:id="10"/>
            <w:r>
              <w:t>11</w:t>
            </w:r>
          </w:p>
        </w:tc>
        <w:tc>
          <w:tcPr>
            <w:tcW w:w="1325" w:type="dxa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12</w:t>
            </w:r>
          </w:p>
        </w:tc>
      </w:tr>
      <w:tr w:rsidR="00EA313C">
        <w:tc>
          <w:tcPr>
            <w:tcW w:w="990" w:type="dxa"/>
            <w:tcBorders>
              <w:lef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1800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013" w:type="dxa"/>
          </w:tcPr>
          <w:p w:rsidR="00EA313C" w:rsidRDefault="00EA313C">
            <w:pPr>
              <w:pStyle w:val="ConsPlusNormal"/>
            </w:pPr>
          </w:p>
        </w:tc>
        <w:tc>
          <w:tcPr>
            <w:tcW w:w="749" w:type="dxa"/>
          </w:tcPr>
          <w:p w:rsidR="00EA313C" w:rsidRDefault="00EA313C">
            <w:pPr>
              <w:pStyle w:val="ConsPlusNormal"/>
            </w:pPr>
          </w:p>
        </w:tc>
        <w:tc>
          <w:tcPr>
            <w:tcW w:w="840" w:type="dxa"/>
          </w:tcPr>
          <w:p w:rsidR="00EA313C" w:rsidRDefault="00EA313C">
            <w:pPr>
              <w:pStyle w:val="ConsPlusNormal"/>
            </w:pPr>
          </w:p>
        </w:tc>
        <w:tc>
          <w:tcPr>
            <w:tcW w:w="950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498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435" w:type="dxa"/>
          </w:tcPr>
          <w:p w:rsidR="00EA313C" w:rsidRDefault="00EA313C">
            <w:pPr>
              <w:pStyle w:val="ConsPlusNormal"/>
            </w:pPr>
          </w:p>
        </w:tc>
        <w:tc>
          <w:tcPr>
            <w:tcW w:w="968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176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404" w:type="dxa"/>
          </w:tcPr>
          <w:p w:rsidR="00EA313C" w:rsidRDefault="00EA313C">
            <w:pPr>
              <w:pStyle w:val="ConsPlusNormal"/>
            </w:pPr>
          </w:p>
        </w:tc>
        <w:tc>
          <w:tcPr>
            <w:tcW w:w="1325" w:type="dxa"/>
            <w:tcBorders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</w:tbl>
    <w:p w:rsidR="00EA313C" w:rsidRDefault="00EA313C">
      <w:pPr>
        <w:sectPr w:rsidR="00EA313C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EA313C" w:rsidRDefault="00EA313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6"/>
        <w:gridCol w:w="907"/>
        <w:gridCol w:w="3798"/>
      </w:tblGrid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313C" w:rsidRDefault="00EA313C">
            <w:pPr>
              <w:pStyle w:val="ConsPlusNormal"/>
            </w:pPr>
            <w:r>
              <w:t>Дата __________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МП (при наличии)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</w:tbl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  <w:outlineLvl w:val="1"/>
      </w:pPr>
      <w:r>
        <w:t>Приложение N 3</w:t>
      </w:r>
    </w:p>
    <w:p w:rsidR="00EA313C" w:rsidRDefault="00EA313C">
      <w:pPr>
        <w:pStyle w:val="ConsPlusNormal"/>
        <w:jc w:val="right"/>
      </w:pPr>
      <w:r>
        <w:t>к Правилам предоставления субсидий</w:t>
      </w:r>
    </w:p>
    <w:p w:rsidR="00EA313C" w:rsidRDefault="00EA313C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открытому</w:t>
      </w:r>
      <w:proofErr w:type="gramEnd"/>
    </w:p>
    <w:p w:rsidR="00EA313C" w:rsidRDefault="00EA313C">
      <w:pPr>
        <w:pStyle w:val="ConsPlusNormal"/>
        <w:jc w:val="right"/>
      </w:pPr>
      <w:r>
        <w:t>акционерному обществу "</w:t>
      </w:r>
      <w:proofErr w:type="gramStart"/>
      <w:r>
        <w:t>Российские</w:t>
      </w:r>
      <w:proofErr w:type="gramEnd"/>
    </w:p>
    <w:p w:rsidR="00EA313C" w:rsidRDefault="00EA313C">
      <w:pPr>
        <w:pStyle w:val="ConsPlusNormal"/>
        <w:jc w:val="right"/>
      </w:pPr>
      <w:r>
        <w:t>железные дороги" на возмещение</w:t>
      </w:r>
    </w:p>
    <w:p w:rsidR="00EA313C" w:rsidRDefault="00EA313C">
      <w:pPr>
        <w:pStyle w:val="ConsPlusNormal"/>
        <w:jc w:val="right"/>
      </w:pPr>
      <w:r>
        <w:t>недополученных доходов, возникающих</w:t>
      </w:r>
    </w:p>
    <w:p w:rsidR="00EA313C" w:rsidRDefault="00EA313C">
      <w:pPr>
        <w:pStyle w:val="ConsPlusNormal"/>
        <w:jc w:val="right"/>
      </w:pPr>
      <w:r>
        <w:t xml:space="preserve">в результате установления </w:t>
      </w:r>
      <w:proofErr w:type="gramStart"/>
      <w:r>
        <w:t>льготных</w:t>
      </w:r>
      <w:proofErr w:type="gramEnd"/>
    </w:p>
    <w:p w:rsidR="00EA313C" w:rsidRDefault="00EA313C">
      <w:pPr>
        <w:pStyle w:val="ConsPlusNormal"/>
        <w:jc w:val="right"/>
      </w:pPr>
      <w:r>
        <w:t>тарифов на транзитные перевозки</w:t>
      </w:r>
    </w:p>
    <w:p w:rsidR="00EA313C" w:rsidRDefault="00EA313C">
      <w:pPr>
        <w:pStyle w:val="ConsPlusNormal"/>
        <w:jc w:val="right"/>
      </w:pPr>
      <w:r>
        <w:t>по территории Российской Федерации</w:t>
      </w:r>
    </w:p>
    <w:p w:rsidR="00EA313C" w:rsidRDefault="00EA313C">
      <w:pPr>
        <w:pStyle w:val="ConsPlusNormal"/>
        <w:jc w:val="right"/>
      </w:pPr>
      <w:r>
        <w:t>железнодорожным транспортом общего</w:t>
      </w:r>
    </w:p>
    <w:p w:rsidR="00EA313C" w:rsidRDefault="00EA313C">
      <w:pPr>
        <w:pStyle w:val="ConsPlusNormal"/>
        <w:jc w:val="right"/>
      </w:pPr>
      <w:r>
        <w:t>пользования грузов в контейнерах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right"/>
      </w:pPr>
      <w:r>
        <w:t>(форма)</w:t>
      </w:r>
    </w:p>
    <w:p w:rsidR="00EA313C" w:rsidRDefault="00EA313C">
      <w:pPr>
        <w:pStyle w:val="ConsPlusNormal"/>
        <w:jc w:val="both"/>
      </w:pPr>
    </w:p>
    <w:p w:rsidR="00EA313C" w:rsidRDefault="00EA313C">
      <w:pPr>
        <w:pStyle w:val="ConsPlusNormal"/>
        <w:jc w:val="center"/>
      </w:pPr>
      <w:bookmarkStart w:id="11" w:name="P217"/>
      <w:bookmarkEnd w:id="11"/>
      <w:r>
        <w:t>ОТЧЕТ</w:t>
      </w:r>
    </w:p>
    <w:p w:rsidR="00EA313C" w:rsidRDefault="00EA313C">
      <w:pPr>
        <w:pStyle w:val="ConsPlusNormal"/>
        <w:jc w:val="center"/>
      </w:pPr>
      <w:proofErr w:type="gramStart"/>
      <w:r>
        <w:t>открытого акционерного общества "Российские железные</w:t>
      </w:r>
      <w:proofErr w:type="gramEnd"/>
    </w:p>
    <w:p w:rsidR="00EA313C" w:rsidRDefault="00EA313C">
      <w:pPr>
        <w:pStyle w:val="ConsPlusNormal"/>
        <w:jc w:val="center"/>
      </w:pPr>
      <w:r>
        <w:t>дороги" о выполнении показателей, необходимых</w:t>
      </w:r>
    </w:p>
    <w:p w:rsidR="00EA313C" w:rsidRDefault="00EA313C">
      <w:pPr>
        <w:pStyle w:val="ConsPlusNormal"/>
        <w:jc w:val="center"/>
      </w:pPr>
      <w:r>
        <w:t>для достижения показателя результата предоставления</w:t>
      </w:r>
    </w:p>
    <w:p w:rsidR="00EA313C" w:rsidRDefault="00EA313C">
      <w:pPr>
        <w:pStyle w:val="ConsPlusNormal"/>
        <w:jc w:val="center"/>
      </w:pPr>
      <w:r>
        <w:t>субсидии, за ___________ 20__ г.</w:t>
      </w:r>
    </w:p>
    <w:p w:rsidR="00EA313C" w:rsidRDefault="00EA313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15"/>
        <w:gridCol w:w="1982"/>
        <w:gridCol w:w="1400"/>
        <w:gridCol w:w="1470"/>
        <w:gridCol w:w="1493"/>
      </w:tblGrid>
      <w:tr w:rsidR="00EA313C">
        <w:tc>
          <w:tcPr>
            <w:tcW w:w="2715" w:type="dxa"/>
            <w:vMerge w:val="restart"/>
            <w:tcBorders>
              <w:lef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1982" w:type="dxa"/>
            <w:vMerge w:val="restart"/>
          </w:tcPr>
          <w:p w:rsidR="00EA313C" w:rsidRDefault="00EA313C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00" w:type="dxa"/>
            <w:vMerge w:val="restart"/>
          </w:tcPr>
          <w:p w:rsidR="00EA313C" w:rsidRDefault="00EA313C">
            <w:pPr>
              <w:pStyle w:val="ConsPlusNormal"/>
              <w:jc w:val="center"/>
            </w:pPr>
            <w:r>
              <w:t>Плановые значения</w:t>
            </w:r>
          </w:p>
        </w:tc>
        <w:tc>
          <w:tcPr>
            <w:tcW w:w="2963" w:type="dxa"/>
            <w:gridSpan w:val="2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Фактические значения</w:t>
            </w:r>
          </w:p>
        </w:tc>
      </w:tr>
      <w:tr w:rsidR="00EA313C">
        <w:tblPrEx>
          <w:tblBorders>
            <w:left w:val="single" w:sz="4" w:space="0" w:color="auto"/>
          </w:tblBorders>
        </w:tblPrEx>
        <w:tc>
          <w:tcPr>
            <w:tcW w:w="2715" w:type="dxa"/>
            <w:vMerge/>
            <w:tcBorders>
              <w:left w:val="nil"/>
            </w:tcBorders>
          </w:tcPr>
          <w:p w:rsidR="00EA313C" w:rsidRDefault="00EA313C"/>
        </w:tc>
        <w:tc>
          <w:tcPr>
            <w:tcW w:w="1982" w:type="dxa"/>
            <w:vMerge/>
          </w:tcPr>
          <w:p w:rsidR="00EA313C" w:rsidRDefault="00EA313C"/>
        </w:tc>
        <w:tc>
          <w:tcPr>
            <w:tcW w:w="1400" w:type="dxa"/>
            <w:vMerge/>
          </w:tcPr>
          <w:p w:rsidR="00EA313C" w:rsidRDefault="00EA313C"/>
        </w:tc>
        <w:tc>
          <w:tcPr>
            <w:tcW w:w="1470" w:type="dxa"/>
          </w:tcPr>
          <w:p w:rsidR="00EA313C" w:rsidRDefault="00EA313C">
            <w:pPr>
              <w:pStyle w:val="ConsPlusNormal"/>
              <w:jc w:val="center"/>
            </w:pPr>
            <w:r>
              <w:t>абсолютное значение</w:t>
            </w:r>
          </w:p>
        </w:tc>
        <w:tc>
          <w:tcPr>
            <w:tcW w:w="1493" w:type="dxa"/>
            <w:tcBorders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процентов к плановому значению</w:t>
            </w:r>
          </w:p>
        </w:tc>
      </w:tr>
      <w:tr w:rsidR="00EA313C">
        <w:tblPrEx>
          <w:tblBorders>
            <w:insideV w:val="nil"/>
          </w:tblBorders>
        </w:tblPrEx>
        <w:tc>
          <w:tcPr>
            <w:tcW w:w="2715" w:type="dxa"/>
            <w:tcBorders>
              <w:bottom w:val="nil"/>
            </w:tcBorders>
          </w:tcPr>
          <w:p w:rsidR="00EA313C" w:rsidRDefault="00EA313C">
            <w:pPr>
              <w:pStyle w:val="ConsPlusNormal"/>
            </w:pPr>
            <w:r>
              <w:t>Количество транзитных перевозок грузов в контейнерах по маршрутам Восток - Запад, Запад - Восток</w:t>
            </w:r>
          </w:p>
        </w:tc>
        <w:tc>
          <w:tcPr>
            <w:tcW w:w="1982" w:type="dxa"/>
            <w:tcBorders>
              <w:bottom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штук груженых контейнеров</w:t>
            </w:r>
          </w:p>
        </w:tc>
        <w:tc>
          <w:tcPr>
            <w:tcW w:w="1400" w:type="dxa"/>
            <w:tcBorders>
              <w:bottom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1470" w:type="dxa"/>
            <w:tcBorders>
              <w:bottom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1493" w:type="dxa"/>
            <w:tcBorders>
              <w:bottom w:val="nil"/>
            </w:tcBorders>
          </w:tcPr>
          <w:p w:rsidR="00EA313C" w:rsidRDefault="00EA313C">
            <w:pPr>
              <w:pStyle w:val="ConsPlusNormal"/>
            </w:pPr>
          </w:p>
        </w:tc>
      </w:tr>
    </w:tbl>
    <w:p w:rsidR="00EA313C" w:rsidRDefault="00EA313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6"/>
        <w:gridCol w:w="907"/>
        <w:gridCol w:w="3798"/>
      </w:tblGrid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lastRenderedPageBreak/>
              <w:t>Главный бухгалтер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  <w:jc w:val="center"/>
            </w:pPr>
            <w:r>
              <w:t>(подпись)</w:t>
            </w: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313C" w:rsidRDefault="00EA313C">
            <w:pPr>
              <w:pStyle w:val="ConsPlusNormal"/>
            </w:pPr>
            <w:r>
              <w:t>Дата __________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  <w:tr w:rsidR="00EA313C">
        <w:tc>
          <w:tcPr>
            <w:tcW w:w="3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313C" w:rsidRDefault="00EA313C">
            <w:pPr>
              <w:pStyle w:val="ConsPlusNormal"/>
            </w:pPr>
            <w:r>
              <w:t>МП (при наличии)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EA313C" w:rsidRDefault="00EA313C">
            <w:pPr>
              <w:pStyle w:val="ConsPlusNormal"/>
            </w:pPr>
          </w:p>
        </w:tc>
      </w:tr>
    </w:tbl>
    <w:p w:rsidR="004D6604" w:rsidRDefault="004D6604" w:rsidP="00EA313C">
      <w:bookmarkStart w:id="12" w:name="_GoBack"/>
      <w:bookmarkEnd w:id="12"/>
    </w:p>
    <w:sectPr w:rsidR="004D6604" w:rsidSect="00546EF7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13C"/>
    <w:rsid w:val="004D6604"/>
    <w:rsid w:val="00E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3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3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3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31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31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5FCBD45F4AE0629B95D7CE406AC1FB0E44D2C0CA6EDAEF9DD905183A50EF9D47F8A0AB1A6EFE00D8CC3E4698FDF434918618CA678DC08ENEg7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5FCBD45F4AE0629B95D7CE406AC1FB0E42D9CBC86ADAEF9DD905183A50EF9D47F8A0AB1D69FB0384962E42D1A8F82A909106C1798DNCg0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5FCBD45F4AE0629B95D7CE406AC1FB0E42D9CBC86ADAEF9DD905183A50EF9D47F8A0AB196CF90CD7CC3E4698FDF434918618CA678DC08ENEg7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2385</Words>
  <Characters>13599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2020-09-01T10:32:00Z</dcterms:created>
  <dcterms:modified xsi:type="dcterms:W3CDTF">2020-09-01T10:33:00Z</dcterms:modified>
</cp:coreProperties>
</file>