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DF8" w:rsidRDefault="007D7DF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D7DF8" w:rsidRDefault="007D7DF8">
      <w:pPr>
        <w:pStyle w:val="ConsPlusNormal"/>
        <w:jc w:val="both"/>
        <w:outlineLvl w:val="0"/>
      </w:pPr>
    </w:p>
    <w:p w:rsidR="007D7DF8" w:rsidRDefault="007D7DF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D7DF8" w:rsidRDefault="007D7DF8">
      <w:pPr>
        <w:pStyle w:val="ConsPlusTitle"/>
        <w:jc w:val="center"/>
      </w:pPr>
    </w:p>
    <w:p w:rsidR="007D7DF8" w:rsidRDefault="007D7DF8">
      <w:pPr>
        <w:pStyle w:val="ConsPlusTitle"/>
        <w:jc w:val="center"/>
      </w:pPr>
      <w:r>
        <w:t>ПОСТАНОВЛЕНИЕ</w:t>
      </w:r>
    </w:p>
    <w:p w:rsidR="007D7DF8" w:rsidRDefault="007D7DF8">
      <w:pPr>
        <w:pStyle w:val="ConsPlusTitle"/>
        <w:jc w:val="center"/>
      </w:pPr>
      <w:r>
        <w:t>от 22 мая 2020 г. N 726</w:t>
      </w:r>
    </w:p>
    <w:p w:rsidR="007D7DF8" w:rsidRDefault="007D7DF8">
      <w:pPr>
        <w:pStyle w:val="ConsPlusTitle"/>
        <w:jc w:val="center"/>
      </w:pPr>
    </w:p>
    <w:p w:rsidR="007D7DF8" w:rsidRDefault="007D7DF8">
      <w:pPr>
        <w:pStyle w:val="ConsPlusTitle"/>
        <w:jc w:val="center"/>
      </w:pPr>
      <w:r>
        <w:t>ОБ УТВЕРЖДЕНИИ ПРАВИЛ</w:t>
      </w:r>
    </w:p>
    <w:p w:rsidR="007D7DF8" w:rsidRDefault="007D7DF8">
      <w:pPr>
        <w:pStyle w:val="ConsPlusTitle"/>
        <w:jc w:val="center"/>
      </w:pPr>
      <w:r>
        <w:t>ПРЕДОСТАВЛЕНИЯ СУБСИДИЙ ИЗ ФЕДЕРАЛЬНОГО БЮДЖЕТА</w:t>
      </w:r>
    </w:p>
    <w:p w:rsidR="007D7DF8" w:rsidRDefault="007D7DF8">
      <w:pPr>
        <w:pStyle w:val="ConsPlusTitle"/>
        <w:jc w:val="center"/>
      </w:pPr>
      <w:r>
        <w:t>РОССИЙСКИМ ОРГАНИЗАЦИЯМ НА КОМПЕНСАЦИЮ ЧАСТИ ЗАТРАТ,</w:t>
      </w:r>
    </w:p>
    <w:p w:rsidR="007D7DF8" w:rsidRDefault="007D7DF8">
      <w:pPr>
        <w:pStyle w:val="ConsPlusTitle"/>
        <w:jc w:val="center"/>
      </w:pPr>
      <w:proofErr w:type="gramStart"/>
      <w:r>
        <w:t>СВЯЗАННЫХ</w:t>
      </w:r>
      <w:proofErr w:type="gramEnd"/>
      <w:r>
        <w:t xml:space="preserve"> С ОРГАНИЗАЦИЕЙ И ПРОВЕДЕНИЕМ ОЦЕНКИ В ФОРМЕ</w:t>
      </w:r>
    </w:p>
    <w:p w:rsidR="007D7DF8" w:rsidRDefault="007D7DF8">
      <w:pPr>
        <w:pStyle w:val="ConsPlusTitle"/>
        <w:jc w:val="center"/>
      </w:pPr>
      <w:r>
        <w:t>ИСПЫТАНИЙ ВЫСОКОАВТОМАТИЗИРОВАННЫХ ТРАНСПОРТНЫХ СРЕДСТВ</w:t>
      </w:r>
    </w:p>
    <w:p w:rsidR="007D7DF8" w:rsidRDefault="007D7DF8">
      <w:pPr>
        <w:pStyle w:val="ConsPlusTitle"/>
        <w:jc w:val="center"/>
      </w:pPr>
      <w:r>
        <w:t>НА СООТВЕТСТВИЕ ОБЯЗАТЕЛЬНЫМ ТРЕБОВАНИЯМ, УСТАНОВЛЕННЫМ</w:t>
      </w:r>
    </w:p>
    <w:p w:rsidR="007D7DF8" w:rsidRDefault="007D7DF8">
      <w:pPr>
        <w:pStyle w:val="ConsPlusTitle"/>
        <w:jc w:val="center"/>
      </w:pPr>
      <w:r>
        <w:t>ТЕХНИЧЕСКИМИ РЕГЛАМЕНТАМИ ТАМОЖЕННОГО СОЮЗА И ПРАВИЛАМИ</w:t>
      </w:r>
    </w:p>
    <w:p w:rsidR="007D7DF8" w:rsidRDefault="007D7DF8">
      <w:pPr>
        <w:pStyle w:val="ConsPlusTitle"/>
        <w:jc w:val="center"/>
      </w:pPr>
      <w:r>
        <w:t>ОРГАНИЗАЦИИ ОБЪЕДИНЕННЫХ НАЦИЙ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затрат, связанных с организацией и проведением оценки в форме испытаний высокоавтоматизированных транспортных средств на соответствие обязательным требованиям, установленным техническими регламентами Таможенного союза и Правилами Организации Объединенных Наций.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right"/>
      </w:pPr>
      <w:r>
        <w:t>Председатель Правительства</w:t>
      </w:r>
    </w:p>
    <w:p w:rsidR="007D7DF8" w:rsidRDefault="007D7DF8">
      <w:pPr>
        <w:pStyle w:val="ConsPlusNormal"/>
        <w:jc w:val="right"/>
      </w:pPr>
      <w:r>
        <w:t>Российской Федерации</w:t>
      </w:r>
    </w:p>
    <w:p w:rsidR="007D7DF8" w:rsidRDefault="007D7DF8">
      <w:pPr>
        <w:pStyle w:val="ConsPlusNormal"/>
        <w:jc w:val="right"/>
      </w:pPr>
      <w:r>
        <w:t>М.МИШУСТИН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right"/>
        <w:outlineLvl w:val="0"/>
      </w:pPr>
      <w:r>
        <w:t>Утверждены</w:t>
      </w:r>
    </w:p>
    <w:p w:rsidR="007D7DF8" w:rsidRDefault="007D7DF8">
      <w:pPr>
        <w:pStyle w:val="ConsPlusNormal"/>
        <w:jc w:val="right"/>
      </w:pPr>
      <w:r>
        <w:t>постановлением Правительства</w:t>
      </w:r>
    </w:p>
    <w:p w:rsidR="007D7DF8" w:rsidRDefault="007D7DF8">
      <w:pPr>
        <w:pStyle w:val="ConsPlusNormal"/>
        <w:jc w:val="right"/>
      </w:pPr>
      <w:r>
        <w:t>Российской Федерации</w:t>
      </w:r>
    </w:p>
    <w:p w:rsidR="007D7DF8" w:rsidRDefault="007D7DF8">
      <w:pPr>
        <w:pStyle w:val="ConsPlusNormal"/>
        <w:jc w:val="right"/>
      </w:pPr>
      <w:r>
        <w:t>от 22 мая 2020 г. N 726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Title"/>
        <w:jc w:val="center"/>
      </w:pPr>
      <w:bookmarkStart w:id="0" w:name="P31"/>
      <w:bookmarkEnd w:id="0"/>
      <w:r>
        <w:t>ПРАВИЛА</w:t>
      </w:r>
    </w:p>
    <w:p w:rsidR="007D7DF8" w:rsidRDefault="007D7DF8">
      <w:pPr>
        <w:pStyle w:val="ConsPlusTitle"/>
        <w:jc w:val="center"/>
      </w:pPr>
      <w:r>
        <w:t>ПРЕДОСТАВЛЕНИЯ СУБСИДИЙ ИЗ ФЕДЕРАЛЬНОГО БЮДЖЕТА</w:t>
      </w:r>
    </w:p>
    <w:p w:rsidR="007D7DF8" w:rsidRDefault="007D7DF8">
      <w:pPr>
        <w:pStyle w:val="ConsPlusTitle"/>
        <w:jc w:val="center"/>
      </w:pPr>
      <w:r>
        <w:t>РОССИЙСКИМ ОРГАНИЗАЦИЯМ НА КОМПЕНСАЦИЮ ЧАСТИ ЗАТРАТ,</w:t>
      </w:r>
    </w:p>
    <w:p w:rsidR="007D7DF8" w:rsidRDefault="007D7DF8">
      <w:pPr>
        <w:pStyle w:val="ConsPlusTitle"/>
        <w:jc w:val="center"/>
      </w:pPr>
      <w:proofErr w:type="gramStart"/>
      <w:r>
        <w:t>СВЯЗАННЫХ</w:t>
      </w:r>
      <w:proofErr w:type="gramEnd"/>
      <w:r>
        <w:t xml:space="preserve"> С ОРГАНИЗАЦИЕЙ И ПРОВЕДЕНИЕМ ОЦЕНКИ В ФОРМЕ</w:t>
      </w:r>
    </w:p>
    <w:p w:rsidR="007D7DF8" w:rsidRDefault="007D7DF8">
      <w:pPr>
        <w:pStyle w:val="ConsPlusTitle"/>
        <w:jc w:val="center"/>
      </w:pPr>
      <w:r>
        <w:t>ИСПЫТАНИЙ ВЫСОКОАВТОМАТИЗИРОВАННЫХ ТРАНСПОРТНЫХ СРЕДСТВ</w:t>
      </w:r>
    </w:p>
    <w:p w:rsidR="007D7DF8" w:rsidRDefault="007D7DF8">
      <w:pPr>
        <w:pStyle w:val="ConsPlusTitle"/>
        <w:jc w:val="center"/>
      </w:pPr>
      <w:r>
        <w:t>НА СООТВЕТСТВИЕ ОБЯЗАТЕЛЬНЫМ ТРЕБОВАНИЯМ, УСТАНОВЛЕННЫМ</w:t>
      </w:r>
    </w:p>
    <w:p w:rsidR="007D7DF8" w:rsidRDefault="007D7DF8">
      <w:pPr>
        <w:pStyle w:val="ConsPlusTitle"/>
        <w:jc w:val="center"/>
      </w:pPr>
      <w:r>
        <w:t>ТЕХНИЧЕСКИМИ РЕГЛАМЕНТАМИ ТАМОЖЕННОГО СОЮЗА И ПРАВИЛАМИ</w:t>
      </w:r>
    </w:p>
    <w:p w:rsidR="007D7DF8" w:rsidRDefault="007D7DF8">
      <w:pPr>
        <w:pStyle w:val="ConsPlusTitle"/>
        <w:jc w:val="center"/>
      </w:pPr>
      <w:r>
        <w:t>ОРГАНИЗАЦИИ ОБЪЕДИНЕННЫХ НАЦИЙ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ind w:firstLine="540"/>
        <w:jc w:val="both"/>
      </w:pPr>
      <w:bookmarkStart w:id="1" w:name="P40"/>
      <w:bookmarkEnd w:id="1"/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субсидий из федерального бюджета российским организациям на компенсацию части затрат, связанных с организацией и проведением оценки в форме испытаний высокоавтоматизированных транспортных средств на соответствие обязательным требованиям, установленным техническими регламентами Таможенного союза и Правилами Организации Объединенных Наций, которые применяются Российской Федерацией в силу участия в </w:t>
      </w:r>
      <w:hyperlink r:id="rId6" w:history="1">
        <w:r>
          <w:rPr>
            <w:color w:val="0000FF"/>
          </w:rPr>
          <w:t>Соглашении</w:t>
        </w:r>
      </w:hyperlink>
      <w:r>
        <w:t xml:space="preserve"> о принятии единообразных технических предписаний для колесных</w:t>
      </w:r>
      <w:proofErr w:type="gramEnd"/>
      <w:r>
        <w:t xml:space="preserve"> </w:t>
      </w:r>
      <w:proofErr w:type="gramStart"/>
      <w:r>
        <w:t xml:space="preserve">транспортных средств, предметов оборудования и частей, </w:t>
      </w:r>
      <w:r>
        <w:lastRenderedPageBreak/>
        <w:t>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предписаний, заключенном в г. Женеве 20 марта 1958 г. (далее соответственно - субсидия, обязательные требования, Соглашение).</w:t>
      </w:r>
      <w:proofErr w:type="gramEnd"/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"Развитие транспортного и специального машиностроения" государственной программы Российской Федерации "Развитие промышленности и повышение ее конкурентоспособности" в целях выполнения задачи по развитию научно-технологического потенциала за счет развития национальных научных и инжиниринговых компетенций и внедрения научно-исследовательских и опытно-конструкторских работ.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2. Для целей настоящих Правил используются следующие понятия: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"высокоавтоматизированное транспортное средство" - транспортное средство, выпущенное в обращение на территории Евразийского экономического союза, допущенное к участию в дорожном движении на территории Российской Федерации, в конструкцию которого внесены изменения, связанные с его оснащением автоматизированной системой вождения;</w:t>
      </w:r>
    </w:p>
    <w:p w:rsidR="007D7DF8" w:rsidRDefault="007D7DF8">
      <w:pPr>
        <w:pStyle w:val="ConsPlusNormal"/>
        <w:spacing w:before="220"/>
        <w:ind w:firstLine="540"/>
        <w:jc w:val="both"/>
      </w:pPr>
      <w:proofErr w:type="gramStart"/>
      <w:r>
        <w:t xml:space="preserve">"испытательная лаборатория" - российская организация, аккредитованная в рамках национальной системы аккредитации, включенная в Единый реестр органов по оценке соответствия Евразийского экономического союза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сентября 2019 г. N 1236 "О порядке и основаниях принятия национальным органом по аккредитации решений о включении аккредитованных лиц в национальную часть Единого реестра органов по оценке соответствия Евразийского экономического</w:t>
      </w:r>
      <w:proofErr w:type="gramEnd"/>
      <w:r>
        <w:t xml:space="preserve"> союза и об их исключении из него" и </w:t>
      </w:r>
      <w:proofErr w:type="gramStart"/>
      <w:r>
        <w:t>назначенная</w:t>
      </w:r>
      <w:proofErr w:type="gramEnd"/>
      <w:r>
        <w:t xml:space="preserve"> в качестве технической службы в соответствии с </w:t>
      </w:r>
      <w:hyperlink r:id="rId9" w:history="1">
        <w:r>
          <w:rPr>
            <w:color w:val="0000FF"/>
          </w:rPr>
          <w:t>Соглашением</w:t>
        </w:r>
      </w:hyperlink>
      <w:r>
        <w:t>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3. Субсидии предоставляются испытательным лабораториям в размере 90 процентов следующих затрат, понесенных начиная с 1 января 2019 г. (далее - затраты):</w:t>
      </w:r>
    </w:p>
    <w:p w:rsidR="007D7DF8" w:rsidRDefault="007D7DF8">
      <w:pPr>
        <w:pStyle w:val="ConsPlusNormal"/>
        <w:spacing w:before="220"/>
        <w:ind w:firstLine="540"/>
        <w:jc w:val="both"/>
      </w:pPr>
      <w:proofErr w:type="gramStart"/>
      <w:r>
        <w:t>а) расходы на оплату труда сотрудников, непосредственно участвующих в работах по организации и проведению оценки в форме испытаний высокоавтоматизированных транспортных средств на соответствие обязательным требованиям (далее - работы по оценке) за период выполнения этими сотрудниками работ по оценке, не превышающие среднемесячную номинальную начисленную заработную плату работников организаций, не относящихся к субъектам малого предпринимательства, по субъекту Российской Федерации, в котором расположена испытательная</w:t>
      </w:r>
      <w:proofErr w:type="gramEnd"/>
      <w:r>
        <w:t xml:space="preserve"> лаборатория, за предыдущий период,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возникшие с 1 января 2019 г.;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б) накладные расходы, распределенные в соответствии с учетной политикой испытательной лаборатории (в размере не более 250 процентов фонда оплаты труда сотрудников, непосредственно участвующих в организации и проведении работ по оценке);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в) материальные расходы, непосредственно связанные с работами по оценке;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г) расходы на оплату услуг, связанных с осуществлением работ по оценке, оказанных испытательной лаборатории иными организациями на основании договоров, в размере не более 15 процентов общей суммы субсидируемых затрат.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4. Субсидии предоставляются испытательным лабораториям при условии осуществления работ по оценке на базе расположенного на территории Российской Федерации собственного научно-технического центра, располагающего собственным испытательным центром и полигоном, </w:t>
      </w:r>
      <w:proofErr w:type="gramStart"/>
      <w:r>
        <w:lastRenderedPageBreak/>
        <w:t>позволяющими</w:t>
      </w:r>
      <w:proofErr w:type="gramEnd"/>
      <w:r>
        <w:t xml:space="preserve"> имитировать движение по автомобильным дорогам различных классов и категорий.</w:t>
      </w:r>
    </w:p>
    <w:p w:rsidR="007D7DF8" w:rsidRDefault="007D7DF8">
      <w:pPr>
        <w:pStyle w:val="ConsPlusNormal"/>
        <w:spacing w:before="220"/>
        <w:ind w:firstLine="540"/>
        <w:jc w:val="both"/>
      </w:pPr>
      <w:bookmarkStart w:id="2" w:name="P51"/>
      <w:bookmarkEnd w:id="2"/>
      <w:r>
        <w:t xml:space="preserve">5. Субсидии предоставляются Министерством промышленности и торговли Российской Федерации в пределах лимитов бюджетных обязательств на соответствующий финансовый год и плановый период,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40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При этом размер субсидии не может превышать предельный размер субсидии - 500 тыс. рублей за каждое проведенное в отчетном периоде испытание высокоавтоматизированных транспортных средств на соответствие обязательным требованиям.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6.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испытательной лабораторией в соответствии с типовой формой, утвержденной Министерством финансов Российской Федерации (далее - соглашение о предоставлении субсидии).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Соглашение о предоставлении субсидии заключается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В соглашении о предоставлении субсидии </w:t>
      </w:r>
      <w:proofErr w:type="gramStart"/>
      <w:r>
        <w:t>предусматриваются</w:t>
      </w:r>
      <w:proofErr w:type="gramEnd"/>
      <w:r>
        <w:t xml:space="preserve"> в том числе формы представления испытательной лабораторией дополнительной отчетности по запросу Министерства промышленности и торговли Российской Федерации, согласие испытательной лаборатории на проведение Министерством промышленности и торговли Российской Федерации и органами государственного финансового контроля проверок соблюдения ею целей, условий и порядка предоставления субсидии, которые установлены настоящими Правилами, а также значение показателя, необходимого для достижении результата предоставления субсидии.</w:t>
      </w:r>
    </w:p>
    <w:p w:rsidR="007D7DF8" w:rsidRDefault="007D7DF8">
      <w:pPr>
        <w:pStyle w:val="ConsPlusNormal"/>
        <w:spacing w:before="220"/>
        <w:ind w:firstLine="540"/>
        <w:jc w:val="both"/>
      </w:pPr>
      <w:bookmarkStart w:id="3" w:name="P56"/>
      <w:bookmarkEnd w:id="3"/>
      <w:r>
        <w:t>7. На дату не ранее чем 1-е число месяца, предшествующего месяцу, в котором планируется заключение соглашения о предоставлении субсидии, испытательная лаборатория должна соответствовать следующим требованиям:</w:t>
      </w:r>
    </w:p>
    <w:p w:rsidR="007D7DF8" w:rsidRDefault="007D7DF8">
      <w:pPr>
        <w:pStyle w:val="ConsPlusNormal"/>
        <w:spacing w:before="220"/>
        <w:ind w:firstLine="540"/>
        <w:jc w:val="both"/>
      </w:pPr>
      <w:bookmarkStart w:id="4" w:name="P57"/>
      <w:bookmarkEnd w:id="4"/>
      <w:r>
        <w:t>а) у испытательной лаборатории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D7DF8" w:rsidRDefault="007D7DF8">
      <w:pPr>
        <w:pStyle w:val="ConsPlusNormal"/>
        <w:spacing w:before="220"/>
        <w:ind w:firstLine="540"/>
        <w:jc w:val="both"/>
      </w:pPr>
      <w:bookmarkStart w:id="5" w:name="P58"/>
      <w:bookmarkEnd w:id="5"/>
      <w:r>
        <w:t xml:space="preserve">б) у испытательной лаборатории отсутствуют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в) испытательная лаборатория не находится в процессе реорганизации,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7D7DF8" w:rsidRDefault="007D7DF8">
      <w:pPr>
        <w:pStyle w:val="ConsPlusNormal"/>
        <w:spacing w:before="220"/>
        <w:ind w:firstLine="540"/>
        <w:jc w:val="both"/>
      </w:pPr>
      <w:proofErr w:type="gramStart"/>
      <w:r>
        <w:t>г) испытательная лаборатория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>
        <w:t>), в совокупности превышает 50 процентов;</w:t>
      </w:r>
    </w:p>
    <w:p w:rsidR="007D7DF8" w:rsidRDefault="007D7DF8">
      <w:pPr>
        <w:pStyle w:val="ConsPlusNormal"/>
        <w:spacing w:before="220"/>
        <w:ind w:firstLine="540"/>
        <w:jc w:val="both"/>
      </w:pPr>
      <w:bookmarkStart w:id="6" w:name="P61"/>
      <w:bookmarkEnd w:id="6"/>
      <w:r>
        <w:lastRenderedPageBreak/>
        <w:t xml:space="preserve">д) испытательная лаборатория не получает из федерального бюджета средства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Правил, на основании иных нормативных правовых актов;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е) испытательная лаборатория включена в Единый реестр органов по оценке соответствия Евразийского экономического союза.</w:t>
      </w:r>
    </w:p>
    <w:p w:rsidR="007D7DF8" w:rsidRDefault="007D7DF8">
      <w:pPr>
        <w:pStyle w:val="ConsPlusNormal"/>
        <w:spacing w:before="220"/>
        <w:ind w:firstLine="540"/>
        <w:jc w:val="both"/>
      </w:pPr>
      <w:bookmarkStart w:id="7" w:name="P63"/>
      <w:bookmarkEnd w:id="7"/>
      <w:r>
        <w:t>8. Для заключения соглашения о предоставлении субсидии испытательная лаборатория представляет в Министерство промышленности и торговли Российской Федерации заявление о заключении соглашения о предоставлении субсидии (в произвольной форме), в котором указываются сведения о государственной регистрации испытательной лаборатории, и следующие документы: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а) справка, подписанная руководителем и главным бухгалтером (при наличии) испытательной лаборатории, скрепленная печатью (при наличии), с указанием банковских реквизитов и расчетных счетов испытательной лаборатории, на которые будет перечисляться субсидия;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б) справка налогового органа, подтверждающая соответствие испытательной лаборатории требованиям, предусмотренным </w:t>
      </w:r>
      <w:hyperlink w:anchor="P57" w:history="1">
        <w:r>
          <w:rPr>
            <w:color w:val="0000FF"/>
          </w:rPr>
          <w:t>подпунктом "а" пункта 7</w:t>
        </w:r>
      </w:hyperlink>
      <w:r>
        <w:t xml:space="preserve"> настоящих Правил (в случае непредставления испытательной лабораторией такого документа Министерство промышленности и торговли Российской Федерации запрашивает его самостоятельно);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в) копии договоров, заключенных между испытательной лабораторией и иными организациями, заверенные руководителем испытательной лаборатории, - в случае, если в расчет субсидии будет включаться оплата услуг, связанных с осуществлением работ по оценке, оказанных испытательной лаборатории иными организациями на основании договоров;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и главным бухгалтером (при наличии) испытательной лаборатории, подтверждающая соответствие испытательной лаборатории требованиям, предусмотренным </w:t>
      </w:r>
      <w:hyperlink w:anchor="P58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61" w:history="1">
        <w:r>
          <w:rPr>
            <w:color w:val="0000FF"/>
          </w:rPr>
          <w:t>"д" пункта 7</w:t>
        </w:r>
      </w:hyperlink>
      <w:r>
        <w:t xml:space="preserve"> настоящих Правил;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д) заверенная испытательной лабораторией копия свидетельства о назначении технической службы в соответствии с </w:t>
      </w:r>
      <w:hyperlink r:id="rId10" w:history="1">
        <w:r>
          <w:rPr>
            <w:color w:val="0000FF"/>
          </w:rPr>
          <w:t>Соглашением</w:t>
        </w:r>
      </w:hyperlink>
      <w:r>
        <w:t>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е) справка, подписанная руководителем и главным бухгалтером (при наличии) испытательной лаборатории, подтверждающая наличие на балансе испытательной лаборатории научно-технического центра, располагающего собственным испытательным центром и полигоном, </w:t>
      </w:r>
      <w:proofErr w:type="gramStart"/>
      <w:r>
        <w:t>позволяющими</w:t>
      </w:r>
      <w:proofErr w:type="gramEnd"/>
      <w:r>
        <w:t xml:space="preserve"> имитировать движение по автомобильным дорогам различных классов и категорий.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9. Министерство промышленности и торговли Российской Федерации: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заявление о заключении соглашения о предоставлении субсидии и документы, представленные в соответствии с </w:t>
      </w:r>
      <w:hyperlink w:anchor="P63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б) проверяет в течение 15 календарных дней со дня поступления документов, представленных в соответствии с </w:t>
      </w:r>
      <w:hyperlink w:anchor="P63" w:history="1">
        <w:r>
          <w:rPr>
            <w:color w:val="0000FF"/>
          </w:rPr>
          <w:t>пунктом 8</w:t>
        </w:r>
      </w:hyperlink>
      <w:r>
        <w:t xml:space="preserve"> настоящих Правил, полноту содержащихся в них сведений и заключает с испытательной лабораторией соглашение о предоставлении субсидии либо отказывает (в письменной форме) испытательной лаборатории в заключени</w:t>
      </w:r>
      <w:proofErr w:type="gramStart"/>
      <w:r>
        <w:t>и</w:t>
      </w:r>
      <w:proofErr w:type="gramEnd"/>
      <w:r>
        <w:t xml:space="preserve"> такого соглашения в случае несоответствия представленных документов положениям </w:t>
      </w:r>
      <w:hyperlink w:anchor="P51" w:history="1">
        <w:r>
          <w:rPr>
            <w:color w:val="0000FF"/>
          </w:rPr>
          <w:t>пунктов 5</w:t>
        </w:r>
      </w:hyperlink>
      <w:r>
        <w:t xml:space="preserve">, </w:t>
      </w:r>
      <w:hyperlink w:anchor="P56" w:history="1">
        <w:r>
          <w:rPr>
            <w:color w:val="0000FF"/>
          </w:rPr>
          <w:t>7</w:t>
        </w:r>
      </w:hyperlink>
      <w:r>
        <w:t xml:space="preserve"> и </w:t>
      </w:r>
      <w:hyperlink w:anchor="P63" w:history="1">
        <w:r>
          <w:rPr>
            <w:color w:val="0000FF"/>
          </w:rPr>
          <w:t>8</w:t>
        </w:r>
      </w:hyperlink>
      <w:r>
        <w:t xml:space="preserve"> настоящих Правил, непредставления (представления не в полном объеме) указанных документов и (или) наличия в них недостоверной информации.</w:t>
      </w:r>
    </w:p>
    <w:p w:rsidR="007D7DF8" w:rsidRDefault="007D7DF8">
      <w:pPr>
        <w:pStyle w:val="ConsPlusNormal"/>
        <w:spacing w:before="220"/>
        <w:ind w:firstLine="540"/>
        <w:jc w:val="both"/>
      </w:pPr>
      <w:bookmarkStart w:id="8" w:name="P73"/>
      <w:bookmarkEnd w:id="8"/>
      <w:r>
        <w:t xml:space="preserve">10. Для получения субсидии испытательная лаборатория, с которой заключено соглашение о предоставлении субсидии, не позднее 10-го числа каждого месяца представляет в Министерство </w:t>
      </w:r>
      <w:r>
        <w:lastRenderedPageBreak/>
        <w:t>промышленности и торговли Российской Федерации заявление о предоставлении субсидии (в произвольной форме) и следующие документы: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а) расчет субсидии по форме согласно </w:t>
      </w:r>
      <w:hyperlink w:anchor="P113" w:history="1">
        <w:r>
          <w:rPr>
            <w:color w:val="0000FF"/>
          </w:rPr>
          <w:t>приложению N 1</w:t>
        </w:r>
      </w:hyperlink>
      <w:r>
        <w:t>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б) заверенная руководителем и главным бухгалтером (при наличии) испытательной лаборатории справка, подтверждающая сумму затрат за отчетный период, включающая перечень работ по оценке и количество испытаний, осуществленных за отчетный период;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в) копии платежных документов, подтверждающих понесенные затраты.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11. Министерство промышленности и торговли Российской Федерации: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заявление о предоставлении субсидии и документы, представленные в соответствии с </w:t>
      </w:r>
      <w:hyperlink w:anchor="P73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б) проверяет в течение 20 календарных дней со дня поступления заявления о предоставлении субсидии и документов, представленных в соответствии с </w:t>
      </w:r>
      <w:hyperlink w:anchor="P73" w:history="1">
        <w:r>
          <w:rPr>
            <w:color w:val="0000FF"/>
          </w:rPr>
          <w:t>пунктом 10</w:t>
        </w:r>
      </w:hyperlink>
      <w:r>
        <w:t xml:space="preserve"> настоящих Правил, полноту содержащихся в них сведений и принимает решение о предоставлении субсидии или об отказе в ее предоставлении.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12. Основаниями для отказа в предоставлении субсидии являются: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73" w:history="1">
        <w:r>
          <w:rPr>
            <w:color w:val="0000FF"/>
          </w:rPr>
          <w:t>пунктом 10</w:t>
        </w:r>
      </w:hyperlink>
      <w:r>
        <w:t xml:space="preserve"> настоящих Правил, и содержащихся в них сведений требованиям и условиям, предусмотренным соглашением о предоставлении субсидии и настоящими Правилами, непредставление (представление не в полном объеме) указанных документов;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б) недостоверность представленной испытательной лабораторией информации;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в) наличие у испытательной лаборатории просроченной задолженности по денежным обязательствам перед Российской Федерацией, определенным </w:t>
      </w:r>
      <w:hyperlink r:id="rId11" w:history="1">
        <w:r>
          <w:rPr>
            <w:color w:val="0000FF"/>
          </w:rPr>
          <w:t>статьей 93.4</w:t>
        </w:r>
      </w:hyperlink>
      <w:r>
        <w:t xml:space="preserve"> Бюджетного кодекса Российской Федерации.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13. В случае принятия решения об отказе в предоставлении субсидии Министерство промышленности и торговли Российской Федерации в течение 5 рабочих дней возвращает заявление о предоставлении субсидии и документы, представленные в соответствии с </w:t>
      </w:r>
      <w:hyperlink w:anchor="P73" w:history="1">
        <w:r>
          <w:rPr>
            <w:color w:val="0000FF"/>
          </w:rPr>
          <w:t>пунктом 10</w:t>
        </w:r>
      </w:hyperlink>
      <w:r>
        <w:t xml:space="preserve"> настоящих Правил, испытательной лаборатории с уведомлением, в котором указываются основания принятого решения.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14. В случае принятия решения о предоставлении субсидии Министерство промышленности и торговли Российской Федерации в течение 10 рабочих дней обеспечивает в установленном порядке перечисление субсидии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 xml:space="preserve">Результатом предоставления субсидии является выдача не менее 400 заключений о соответствии высокоавтоматизированного транспортного средства с внесенными в его конструкцию изменениями требованиям безопасности в соответствии с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проведении эксперимента по опытной эксплуатации на автомобильных дорогах общего пользования высокоавтоматизированных транспортных средств, утвержденным постановлением Правительства Российской Федерации от 26 ноября 2018 г. N 1415 "О проведении эксперимента по опытной эксплуатации на автомобильных</w:t>
      </w:r>
      <w:proofErr w:type="gramEnd"/>
      <w:r>
        <w:t xml:space="preserve"> </w:t>
      </w:r>
      <w:proofErr w:type="gramStart"/>
      <w:r>
        <w:t>дорогах</w:t>
      </w:r>
      <w:proofErr w:type="gramEnd"/>
      <w:r>
        <w:t xml:space="preserve"> общего пользования высокоавтоматизированных транспортных средств".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 xml:space="preserve">Испытательная лаборатория не позднее 15 февраля года,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отчетным</w:t>
      </w:r>
      <w:proofErr w:type="gramEnd"/>
      <w:r>
        <w:t xml:space="preserve">, </w:t>
      </w:r>
      <w:r>
        <w:lastRenderedPageBreak/>
        <w:t xml:space="preserve">представляет в Министерство промышленности и торговли Российской Федерации отчет о достижении значения результата предоставления субсидии по форме согласно </w:t>
      </w:r>
      <w:hyperlink w:anchor="P192" w:history="1">
        <w:r>
          <w:rPr>
            <w:color w:val="0000FF"/>
          </w:rPr>
          <w:t>приложению N 2</w:t>
        </w:r>
      </w:hyperlink>
      <w:r>
        <w:t>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В случае недостижения значения результата предоставления субсидии полученная субсидия подлежит возврату в доход федерального бюджета в размере, пропорциональном недостижению показателя, необходимого для достижения результата предоставления субсидии.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16. Министерство промышленности и торговли Российской Федерации и уполномоченные органы государственного финансового контроля проводят обязательные проверки соблюдения испытательными лабораториями целей, условий и порядка предоставления субсидий.</w:t>
      </w:r>
    </w:p>
    <w:p w:rsidR="007D7DF8" w:rsidRDefault="007D7DF8">
      <w:pPr>
        <w:pStyle w:val="ConsPlusNormal"/>
        <w:spacing w:before="220"/>
        <w:ind w:firstLine="540"/>
        <w:jc w:val="both"/>
      </w:pPr>
      <w:proofErr w:type="gramStart"/>
      <w:r>
        <w:t>В случае установления по итогам проверок, проведенных Министерством промышленности и торговли Российской Федерации и (или) уполномоченными органами государственного финансового контроля, факта нарушения условий, установленных при предоставлении субсидии, и (или) неисполнения либо ненадлежащего исполнения принятых обязательств по достижению значения показателя, необходимого для достижения результата предоставления субсидии, соответствующие средства подлежат возврату в доход федерального бюджета:</w:t>
      </w:r>
      <w:proofErr w:type="gramEnd"/>
    </w:p>
    <w:p w:rsidR="007D7DF8" w:rsidRDefault="007D7DF8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30 рабочих дней со дня получения указанного требования;</w:t>
      </w:r>
    </w:p>
    <w:p w:rsidR="007D7DF8" w:rsidRDefault="007D7DF8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right"/>
        <w:outlineLvl w:val="1"/>
      </w:pPr>
      <w:r>
        <w:t>Приложение N 1</w:t>
      </w:r>
    </w:p>
    <w:p w:rsidR="007D7DF8" w:rsidRDefault="007D7DF8">
      <w:pPr>
        <w:pStyle w:val="ConsPlusNormal"/>
        <w:jc w:val="right"/>
      </w:pPr>
      <w:r>
        <w:t>к Правилам предоставления субсидий</w:t>
      </w:r>
    </w:p>
    <w:p w:rsidR="007D7DF8" w:rsidRDefault="007D7DF8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7D7DF8" w:rsidRDefault="007D7DF8">
      <w:pPr>
        <w:pStyle w:val="ConsPlusNormal"/>
        <w:jc w:val="right"/>
      </w:pPr>
      <w:r>
        <w:t>организациям на компенсацию части</w:t>
      </w:r>
    </w:p>
    <w:p w:rsidR="007D7DF8" w:rsidRDefault="007D7DF8">
      <w:pPr>
        <w:pStyle w:val="ConsPlusNormal"/>
        <w:jc w:val="right"/>
      </w:pPr>
      <w:r>
        <w:t>затрат, связанных с организацией</w:t>
      </w:r>
    </w:p>
    <w:p w:rsidR="007D7DF8" w:rsidRDefault="007D7DF8">
      <w:pPr>
        <w:pStyle w:val="ConsPlusNormal"/>
        <w:jc w:val="right"/>
      </w:pPr>
      <w:r>
        <w:t>и проведением оценки в форме</w:t>
      </w:r>
    </w:p>
    <w:p w:rsidR="007D7DF8" w:rsidRDefault="007D7DF8">
      <w:pPr>
        <w:pStyle w:val="ConsPlusNormal"/>
        <w:jc w:val="right"/>
      </w:pPr>
      <w:r>
        <w:t>испытаний высокоавтоматизированных</w:t>
      </w:r>
    </w:p>
    <w:p w:rsidR="007D7DF8" w:rsidRDefault="007D7DF8">
      <w:pPr>
        <w:pStyle w:val="ConsPlusNormal"/>
        <w:jc w:val="right"/>
      </w:pPr>
      <w:r>
        <w:t>транспортных средств на соответствие</w:t>
      </w:r>
    </w:p>
    <w:p w:rsidR="007D7DF8" w:rsidRDefault="007D7DF8">
      <w:pPr>
        <w:pStyle w:val="ConsPlusNormal"/>
        <w:jc w:val="right"/>
      </w:pPr>
      <w:r>
        <w:t>обязательным требованиям,</w:t>
      </w:r>
    </w:p>
    <w:p w:rsidR="007D7DF8" w:rsidRDefault="007D7DF8">
      <w:pPr>
        <w:pStyle w:val="ConsPlusNormal"/>
        <w:jc w:val="right"/>
      </w:pPr>
      <w:proofErr w:type="gramStart"/>
      <w:r>
        <w:t>установленным техническими регламентами</w:t>
      </w:r>
      <w:proofErr w:type="gramEnd"/>
    </w:p>
    <w:p w:rsidR="007D7DF8" w:rsidRDefault="007D7DF8">
      <w:pPr>
        <w:pStyle w:val="ConsPlusNormal"/>
        <w:jc w:val="right"/>
      </w:pPr>
      <w:r>
        <w:t>Таможенного союза и Правилами</w:t>
      </w:r>
    </w:p>
    <w:p w:rsidR="007D7DF8" w:rsidRDefault="007D7DF8">
      <w:pPr>
        <w:pStyle w:val="ConsPlusNormal"/>
        <w:jc w:val="right"/>
      </w:pPr>
      <w:r>
        <w:t>Организации Объединенных Наций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right"/>
      </w:pPr>
      <w:r>
        <w:t>(форма)</w:t>
      </w:r>
    </w:p>
    <w:p w:rsidR="007D7DF8" w:rsidRDefault="007D7D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7D7DF8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bookmarkStart w:id="9" w:name="P113"/>
            <w:bookmarkEnd w:id="9"/>
            <w:r>
              <w:t>РАСЧЕТ</w:t>
            </w:r>
          </w:p>
          <w:p w:rsidR="007D7DF8" w:rsidRDefault="007D7DF8">
            <w:pPr>
              <w:pStyle w:val="ConsPlusNormal"/>
              <w:jc w:val="center"/>
            </w:pPr>
            <w:r>
              <w:t>субсидии из федерального бюджета российским организациям на компенсацию части затрат, связанных с организацией и проведением оценки в форме испытаний высокоавтоматизированных транспортных средств на соответствие обязательным требованиям, установленным техническими регламентами Таможенного союза и Правилами Организации Объединенных Наций</w:t>
            </w:r>
          </w:p>
        </w:tc>
      </w:tr>
    </w:tbl>
    <w:p w:rsidR="007D7DF8" w:rsidRDefault="007D7D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953"/>
      </w:tblGrid>
      <w:tr w:rsidR="007D7DF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Наименование организации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lastRenderedPageBreak/>
              <w:t xml:space="preserve">Отчетный период </w:t>
            </w:r>
            <w:proofErr w:type="gramStart"/>
            <w:r>
              <w:t>с</w:t>
            </w:r>
            <w:proofErr w:type="gramEnd"/>
            <w:r>
              <w:t xml:space="preserve"> _____________ по _____________</w:t>
            </w:r>
          </w:p>
        </w:tc>
      </w:tr>
    </w:tbl>
    <w:p w:rsidR="007D7DF8" w:rsidRDefault="007D7DF8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850"/>
        <w:gridCol w:w="907"/>
        <w:gridCol w:w="850"/>
        <w:gridCol w:w="850"/>
        <w:gridCol w:w="737"/>
        <w:gridCol w:w="964"/>
        <w:gridCol w:w="964"/>
        <w:gridCol w:w="1587"/>
      </w:tblGrid>
      <w:tr w:rsidR="007D7DF8">
        <w:tc>
          <w:tcPr>
            <w:tcW w:w="9070" w:type="dxa"/>
            <w:gridSpan w:val="9"/>
            <w:tcBorders>
              <w:top w:val="nil"/>
              <w:left w:val="nil"/>
              <w:right w:val="nil"/>
            </w:tcBorders>
          </w:tcPr>
          <w:p w:rsidR="007D7DF8" w:rsidRDefault="007D7DF8">
            <w:pPr>
              <w:pStyle w:val="ConsPlusNormal"/>
              <w:jc w:val="right"/>
            </w:pPr>
            <w:r>
              <w:t>(рублей)</w:t>
            </w:r>
          </w:p>
        </w:tc>
      </w:tr>
      <w:tr w:rsidR="007D7DF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  <w:vMerge w:val="restart"/>
          </w:tcPr>
          <w:p w:rsidR="007D7DF8" w:rsidRDefault="007D7DF8">
            <w:pPr>
              <w:pStyle w:val="ConsPlusNormal"/>
              <w:jc w:val="center"/>
            </w:pPr>
            <w:r>
              <w:t>Количество проведенных испытаний</w:t>
            </w:r>
          </w:p>
        </w:tc>
        <w:tc>
          <w:tcPr>
            <w:tcW w:w="4194" w:type="dxa"/>
            <w:gridSpan w:val="5"/>
          </w:tcPr>
          <w:p w:rsidR="007D7DF8" w:rsidRDefault="007D7DF8">
            <w:pPr>
              <w:pStyle w:val="ConsPlusNormal"/>
              <w:jc w:val="center"/>
            </w:pPr>
            <w:r>
              <w:t>Фактические понесенные затраты</w:t>
            </w:r>
          </w:p>
        </w:tc>
        <w:tc>
          <w:tcPr>
            <w:tcW w:w="964" w:type="dxa"/>
            <w:vMerge w:val="restart"/>
          </w:tcPr>
          <w:p w:rsidR="007D7DF8" w:rsidRDefault="007D7DF8">
            <w:pPr>
              <w:pStyle w:val="ConsPlusNormal"/>
              <w:jc w:val="center"/>
            </w:pPr>
            <w:r>
              <w:t>Сумма затрат, подлежащих возмещению</w:t>
            </w:r>
          </w:p>
        </w:tc>
        <w:tc>
          <w:tcPr>
            <w:tcW w:w="964" w:type="dxa"/>
            <w:vMerge w:val="restart"/>
          </w:tcPr>
          <w:p w:rsidR="007D7DF8" w:rsidRDefault="007D7DF8">
            <w:pPr>
              <w:pStyle w:val="ConsPlusNormal"/>
              <w:jc w:val="center"/>
            </w:pPr>
            <w:r>
              <w:t>Предельный размер субсидии</w:t>
            </w:r>
          </w:p>
        </w:tc>
        <w:tc>
          <w:tcPr>
            <w:tcW w:w="1587" w:type="dxa"/>
            <w:vMerge w:val="restart"/>
          </w:tcPr>
          <w:p w:rsidR="007D7DF8" w:rsidRDefault="007D7DF8">
            <w:pPr>
              <w:pStyle w:val="ConsPlusNormal"/>
              <w:jc w:val="center"/>
            </w:pPr>
            <w:r>
              <w:t>Сумма субсидии</w:t>
            </w:r>
          </w:p>
        </w:tc>
      </w:tr>
      <w:tr w:rsidR="007D7DF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  <w:vMerge/>
          </w:tcPr>
          <w:p w:rsidR="007D7DF8" w:rsidRDefault="007D7DF8"/>
        </w:tc>
        <w:tc>
          <w:tcPr>
            <w:tcW w:w="850" w:type="dxa"/>
          </w:tcPr>
          <w:p w:rsidR="007D7DF8" w:rsidRDefault="007D7DF8">
            <w:pPr>
              <w:pStyle w:val="ConsPlusNormal"/>
              <w:jc w:val="center"/>
            </w:pPr>
            <w:r>
              <w:t>оплата труда</w:t>
            </w:r>
          </w:p>
        </w:tc>
        <w:tc>
          <w:tcPr>
            <w:tcW w:w="907" w:type="dxa"/>
          </w:tcPr>
          <w:p w:rsidR="007D7DF8" w:rsidRDefault="007D7DF8">
            <w:pPr>
              <w:pStyle w:val="ConsPlusNormal"/>
              <w:jc w:val="center"/>
            </w:pPr>
            <w:r>
              <w:t>накладные расходы</w:t>
            </w:r>
          </w:p>
        </w:tc>
        <w:tc>
          <w:tcPr>
            <w:tcW w:w="850" w:type="dxa"/>
          </w:tcPr>
          <w:p w:rsidR="007D7DF8" w:rsidRDefault="007D7DF8">
            <w:pPr>
              <w:pStyle w:val="ConsPlusNormal"/>
              <w:jc w:val="center"/>
            </w:pPr>
            <w:r>
              <w:t>материальные расходы</w:t>
            </w:r>
          </w:p>
        </w:tc>
        <w:tc>
          <w:tcPr>
            <w:tcW w:w="850" w:type="dxa"/>
          </w:tcPr>
          <w:p w:rsidR="007D7DF8" w:rsidRDefault="007D7DF8">
            <w:pPr>
              <w:pStyle w:val="ConsPlusNormal"/>
              <w:jc w:val="center"/>
            </w:pPr>
            <w:r>
              <w:t>оплата услуг</w:t>
            </w:r>
          </w:p>
        </w:tc>
        <w:tc>
          <w:tcPr>
            <w:tcW w:w="737" w:type="dxa"/>
          </w:tcPr>
          <w:p w:rsidR="007D7DF8" w:rsidRDefault="007D7DF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964" w:type="dxa"/>
            <w:vMerge/>
          </w:tcPr>
          <w:p w:rsidR="007D7DF8" w:rsidRDefault="007D7DF8"/>
        </w:tc>
        <w:tc>
          <w:tcPr>
            <w:tcW w:w="964" w:type="dxa"/>
            <w:vMerge/>
          </w:tcPr>
          <w:p w:rsidR="007D7DF8" w:rsidRDefault="007D7DF8"/>
        </w:tc>
        <w:tc>
          <w:tcPr>
            <w:tcW w:w="1587" w:type="dxa"/>
            <w:vMerge/>
          </w:tcPr>
          <w:p w:rsidR="007D7DF8" w:rsidRDefault="007D7DF8"/>
        </w:tc>
      </w:tr>
      <w:tr w:rsidR="007D7DF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0" w:name="P131"/>
            <w:bookmarkEnd w:id="10"/>
            <w:r>
              <w:t>1</w:t>
            </w:r>
          </w:p>
        </w:tc>
        <w:tc>
          <w:tcPr>
            <w:tcW w:w="850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1" w:name="P132"/>
            <w:bookmarkEnd w:id="11"/>
            <w:r>
              <w:t>2</w:t>
            </w:r>
          </w:p>
        </w:tc>
        <w:tc>
          <w:tcPr>
            <w:tcW w:w="907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2" w:name="P133"/>
            <w:bookmarkEnd w:id="12"/>
            <w:r>
              <w:t>3</w:t>
            </w:r>
          </w:p>
        </w:tc>
        <w:tc>
          <w:tcPr>
            <w:tcW w:w="850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3" w:name="P134"/>
            <w:bookmarkEnd w:id="13"/>
            <w:r>
              <w:t>4</w:t>
            </w:r>
          </w:p>
        </w:tc>
        <w:tc>
          <w:tcPr>
            <w:tcW w:w="850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4" w:name="P135"/>
            <w:bookmarkEnd w:id="14"/>
            <w:r>
              <w:t>5</w:t>
            </w:r>
          </w:p>
        </w:tc>
        <w:tc>
          <w:tcPr>
            <w:tcW w:w="737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5" w:name="P136"/>
            <w:bookmarkEnd w:id="15"/>
            <w:r>
              <w:t xml:space="preserve">6 = </w:t>
            </w:r>
            <w:hyperlink w:anchor="P132" w:history="1">
              <w:r>
                <w:rPr>
                  <w:color w:val="0000FF"/>
                </w:rPr>
                <w:t>2</w:t>
              </w:r>
            </w:hyperlink>
            <w:r>
              <w:t xml:space="preserve"> + </w:t>
            </w:r>
            <w:hyperlink w:anchor="P133" w:history="1">
              <w:r>
                <w:rPr>
                  <w:color w:val="0000FF"/>
                </w:rPr>
                <w:t>3</w:t>
              </w:r>
            </w:hyperlink>
            <w:r>
              <w:t xml:space="preserve"> + </w:t>
            </w:r>
            <w:hyperlink w:anchor="P134" w:history="1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135" w:history="1">
              <w:r>
                <w:rPr>
                  <w:color w:val="0000FF"/>
                </w:rPr>
                <w:t>5</w:t>
              </w:r>
            </w:hyperlink>
          </w:p>
        </w:tc>
        <w:tc>
          <w:tcPr>
            <w:tcW w:w="964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6" w:name="P137"/>
            <w:bookmarkEnd w:id="16"/>
            <w:r>
              <w:t xml:space="preserve">7 = </w:t>
            </w:r>
            <w:hyperlink w:anchor="P136" w:history="1">
              <w:r>
                <w:rPr>
                  <w:color w:val="0000FF"/>
                </w:rPr>
                <w:t>6</w:t>
              </w:r>
            </w:hyperlink>
            <w:r>
              <w:t xml:space="preserve"> x 90%</w:t>
            </w:r>
          </w:p>
        </w:tc>
        <w:tc>
          <w:tcPr>
            <w:tcW w:w="964" w:type="dxa"/>
            <w:vAlign w:val="center"/>
          </w:tcPr>
          <w:p w:rsidR="007D7DF8" w:rsidRDefault="007D7DF8">
            <w:pPr>
              <w:pStyle w:val="ConsPlusNormal"/>
              <w:jc w:val="center"/>
            </w:pPr>
            <w:bookmarkStart w:id="17" w:name="P138"/>
            <w:bookmarkEnd w:id="17"/>
            <w:r>
              <w:t xml:space="preserve">8 = </w:t>
            </w:r>
            <w:hyperlink w:anchor="P131" w:history="1">
              <w:r>
                <w:rPr>
                  <w:color w:val="0000FF"/>
                </w:rPr>
                <w:t>1</w:t>
              </w:r>
            </w:hyperlink>
            <w:r>
              <w:t xml:space="preserve"> x 500 тыс. руб.</w:t>
            </w:r>
          </w:p>
        </w:tc>
        <w:tc>
          <w:tcPr>
            <w:tcW w:w="1587" w:type="dxa"/>
            <w:vAlign w:val="center"/>
          </w:tcPr>
          <w:p w:rsidR="007D7DF8" w:rsidRDefault="007D7DF8">
            <w:pPr>
              <w:pStyle w:val="ConsPlusNormal"/>
              <w:jc w:val="center"/>
            </w:pPr>
            <w:r>
              <w:t xml:space="preserve">9 = минимальная величина из </w:t>
            </w:r>
            <w:hyperlink w:anchor="P137" w:history="1">
              <w:r>
                <w:rPr>
                  <w:color w:val="0000FF"/>
                </w:rPr>
                <w:t>графы 7</w:t>
              </w:r>
            </w:hyperlink>
            <w:r>
              <w:t xml:space="preserve"> или </w:t>
            </w:r>
            <w:hyperlink w:anchor="P138" w:history="1">
              <w:r>
                <w:rPr>
                  <w:color w:val="0000FF"/>
                </w:rPr>
                <w:t>8</w:t>
              </w:r>
            </w:hyperlink>
          </w:p>
        </w:tc>
      </w:tr>
      <w:tr w:rsidR="007D7DF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1" w:type="dxa"/>
          </w:tcPr>
          <w:p w:rsidR="007D7DF8" w:rsidRDefault="007D7DF8">
            <w:pPr>
              <w:pStyle w:val="ConsPlusNormal"/>
            </w:pPr>
          </w:p>
        </w:tc>
        <w:tc>
          <w:tcPr>
            <w:tcW w:w="850" w:type="dxa"/>
          </w:tcPr>
          <w:p w:rsidR="007D7DF8" w:rsidRDefault="007D7DF8">
            <w:pPr>
              <w:pStyle w:val="ConsPlusNormal"/>
            </w:pPr>
          </w:p>
        </w:tc>
        <w:tc>
          <w:tcPr>
            <w:tcW w:w="907" w:type="dxa"/>
          </w:tcPr>
          <w:p w:rsidR="007D7DF8" w:rsidRDefault="007D7DF8">
            <w:pPr>
              <w:pStyle w:val="ConsPlusNormal"/>
            </w:pPr>
          </w:p>
        </w:tc>
        <w:tc>
          <w:tcPr>
            <w:tcW w:w="850" w:type="dxa"/>
          </w:tcPr>
          <w:p w:rsidR="007D7DF8" w:rsidRDefault="007D7DF8">
            <w:pPr>
              <w:pStyle w:val="ConsPlusNormal"/>
            </w:pPr>
          </w:p>
        </w:tc>
        <w:tc>
          <w:tcPr>
            <w:tcW w:w="850" w:type="dxa"/>
          </w:tcPr>
          <w:p w:rsidR="007D7DF8" w:rsidRDefault="007D7DF8">
            <w:pPr>
              <w:pStyle w:val="ConsPlusNormal"/>
            </w:pPr>
          </w:p>
        </w:tc>
        <w:tc>
          <w:tcPr>
            <w:tcW w:w="737" w:type="dxa"/>
          </w:tcPr>
          <w:p w:rsidR="007D7DF8" w:rsidRDefault="007D7DF8">
            <w:pPr>
              <w:pStyle w:val="ConsPlusNormal"/>
            </w:pPr>
          </w:p>
        </w:tc>
        <w:tc>
          <w:tcPr>
            <w:tcW w:w="964" w:type="dxa"/>
          </w:tcPr>
          <w:p w:rsidR="007D7DF8" w:rsidRDefault="007D7DF8">
            <w:pPr>
              <w:pStyle w:val="ConsPlusNormal"/>
            </w:pPr>
          </w:p>
        </w:tc>
        <w:tc>
          <w:tcPr>
            <w:tcW w:w="964" w:type="dxa"/>
          </w:tcPr>
          <w:p w:rsidR="007D7DF8" w:rsidRDefault="007D7DF8">
            <w:pPr>
              <w:pStyle w:val="ConsPlusNormal"/>
            </w:pPr>
          </w:p>
        </w:tc>
        <w:tc>
          <w:tcPr>
            <w:tcW w:w="1587" w:type="dxa"/>
          </w:tcPr>
          <w:p w:rsidR="007D7DF8" w:rsidRDefault="007D7DF8">
            <w:pPr>
              <w:pStyle w:val="ConsPlusNormal"/>
            </w:pPr>
          </w:p>
        </w:tc>
      </w:tr>
    </w:tbl>
    <w:p w:rsidR="007D7DF8" w:rsidRDefault="007D7D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644"/>
        <w:gridCol w:w="340"/>
        <w:gridCol w:w="3966"/>
      </w:tblGrid>
      <w:tr w:rsidR="007D7DF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(ф.и.о.)</w:t>
            </w:r>
          </w:p>
        </w:tc>
      </w:tr>
      <w:tr w:rsidR="007D7DF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Главный бухгалтер</w:t>
            </w:r>
          </w:p>
          <w:p w:rsidR="007D7DF8" w:rsidRDefault="007D7DF8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/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(ф.и.о.)</w:t>
            </w:r>
          </w:p>
        </w:tc>
      </w:tr>
      <w:tr w:rsidR="007D7DF8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"__" __________ 20__ г.</w:t>
            </w:r>
          </w:p>
        </w:tc>
      </w:tr>
      <w:tr w:rsidR="007D7DF8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right"/>
        <w:outlineLvl w:val="1"/>
      </w:pPr>
      <w:r>
        <w:t>Приложение N 2</w:t>
      </w:r>
    </w:p>
    <w:p w:rsidR="007D7DF8" w:rsidRDefault="007D7DF8">
      <w:pPr>
        <w:pStyle w:val="ConsPlusNormal"/>
        <w:jc w:val="right"/>
      </w:pPr>
      <w:r>
        <w:t>к Правилам предоставления субсидий</w:t>
      </w:r>
    </w:p>
    <w:p w:rsidR="007D7DF8" w:rsidRDefault="007D7DF8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7D7DF8" w:rsidRDefault="007D7DF8">
      <w:pPr>
        <w:pStyle w:val="ConsPlusNormal"/>
        <w:jc w:val="right"/>
      </w:pPr>
      <w:r>
        <w:t>организациям на компенсацию части</w:t>
      </w:r>
    </w:p>
    <w:p w:rsidR="007D7DF8" w:rsidRDefault="007D7DF8">
      <w:pPr>
        <w:pStyle w:val="ConsPlusNormal"/>
        <w:jc w:val="right"/>
      </w:pPr>
      <w:r>
        <w:t>затрат, связанных с организацией</w:t>
      </w:r>
    </w:p>
    <w:p w:rsidR="007D7DF8" w:rsidRDefault="007D7DF8">
      <w:pPr>
        <w:pStyle w:val="ConsPlusNormal"/>
        <w:jc w:val="right"/>
      </w:pPr>
      <w:r>
        <w:t>и проведением оценки в форме</w:t>
      </w:r>
    </w:p>
    <w:p w:rsidR="007D7DF8" w:rsidRDefault="007D7DF8">
      <w:pPr>
        <w:pStyle w:val="ConsPlusNormal"/>
        <w:jc w:val="right"/>
      </w:pPr>
      <w:r>
        <w:t>испытаний высокоавтоматизированных</w:t>
      </w:r>
    </w:p>
    <w:p w:rsidR="007D7DF8" w:rsidRDefault="007D7DF8">
      <w:pPr>
        <w:pStyle w:val="ConsPlusNormal"/>
        <w:jc w:val="right"/>
      </w:pPr>
      <w:r>
        <w:t>транспортных средств на соответствие</w:t>
      </w:r>
    </w:p>
    <w:p w:rsidR="007D7DF8" w:rsidRDefault="007D7DF8">
      <w:pPr>
        <w:pStyle w:val="ConsPlusNormal"/>
        <w:jc w:val="right"/>
      </w:pPr>
      <w:r>
        <w:t>обязательным требованиям,</w:t>
      </w:r>
    </w:p>
    <w:p w:rsidR="007D7DF8" w:rsidRDefault="007D7DF8">
      <w:pPr>
        <w:pStyle w:val="ConsPlusNormal"/>
        <w:jc w:val="right"/>
      </w:pPr>
      <w:proofErr w:type="gramStart"/>
      <w:r>
        <w:t>установленным техническими регламентами</w:t>
      </w:r>
      <w:proofErr w:type="gramEnd"/>
    </w:p>
    <w:p w:rsidR="007D7DF8" w:rsidRDefault="007D7DF8">
      <w:pPr>
        <w:pStyle w:val="ConsPlusNormal"/>
        <w:jc w:val="right"/>
      </w:pPr>
      <w:r>
        <w:t>Таможенного союза и Правилами</w:t>
      </w:r>
    </w:p>
    <w:p w:rsidR="007D7DF8" w:rsidRDefault="007D7DF8">
      <w:pPr>
        <w:pStyle w:val="ConsPlusNormal"/>
        <w:jc w:val="right"/>
      </w:pPr>
      <w:r>
        <w:t>Организации Объединенных Наций</w:t>
      </w:r>
    </w:p>
    <w:p w:rsidR="007D7DF8" w:rsidRDefault="007D7DF8">
      <w:pPr>
        <w:pStyle w:val="ConsPlusNormal"/>
        <w:jc w:val="both"/>
      </w:pPr>
    </w:p>
    <w:p w:rsidR="007D7DF8" w:rsidRDefault="007D7DF8">
      <w:pPr>
        <w:pStyle w:val="ConsPlusNormal"/>
        <w:jc w:val="right"/>
      </w:pPr>
      <w:r>
        <w:t>(форма)</w:t>
      </w:r>
    </w:p>
    <w:p w:rsidR="007D7DF8" w:rsidRDefault="007D7D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D7D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bookmarkStart w:id="18" w:name="P192"/>
            <w:bookmarkEnd w:id="18"/>
            <w:r>
              <w:t>ОТЧЕТ</w:t>
            </w:r>
          </w:p>
          <w:p w:rsidR="007D7DF8" w:rsidRDefault="007D7DF8">
            <w:pPr>
              <w:pStyle w:val="ConsPlusNormal"/>
              <w:jc w:val="center"/>
            </w:pPr>
            <w:r>
              <w:t>о достижении значения результата предоставления субсидии</w:t>
            </w:r>
          </w:p>
        </w:tc>
      </w:tr>
      <w:tr w:rsidR="007D7DF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(полное и сокращенное наименование организации с указанием ее организационно-правовой формы и местонахождения)</w:t>
            </w:r>
          </w:p>
        </w:tc>
      </w:tr>
      <w:tr w:rsidR="007D7D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с "__" __________ 20__ г. по "__" __________ 20__ г.</w:t>
            </w:r>
          </w:p>
        </w:tc>
      </w:tr>
      <w:tr w:rsidR="007D7D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Перечень заключений о соответствии высокоавтоматизированного транспортного средства с внесенными в его конструкцию изменениями требованиям безопасности, выданных в отчетном периоде</w:t>
            </w:r>
          </w:p>
        </w:tc>
      </w:tr>
    </w:tbl>
    <w:p w:rsidR="007D7DF8" w:rsidRDefault="007D7DF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871"/>
        <w:gridCol w:w="2871"/>
        <w:gridCol w:w="2871"/>
      </w:tblGrid>
      <w:tr w:rsidR="007D7DF8">
        <w:tc>
          <w:tcPr>
            <w:tcW w:w="454" w:type="dxa"/>
          </w:tcPr>
          <w:p w:rsidR="007D7DF8" w:rsidRDefault="007D7DF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71" w:type="dxa"/>
          </w:tcPr>
          <w:p w:rsidR="007D7DF8" w:rsidRDefault="007D7DF8">
            <w:pPr>
              <w:pStyle w:val="ConsPlusNormal"/>
              <w:jc w:val="center"/>
            </w:pPr>
            <w:r>
              <w:t>Наименование заявителя</w:t>
            </w:r>
          </w:p>
        </w:tc>
        <w:tc>
          <w:tcPr>
            <w:tcW w:w="2871" w:type="dxa"/>
          </w:tcPr>
          <w:p w:rsidR="007D7DF8" w:rsidRDefault="007D7DF8">
            <w:pPr>
              <w:pStyle w:val="ConsPlusNormal"/>
              <w:jc w:val="center"/>
            </w:pPr>
            <w:r>
              <w:t>Результаты испытаний</w:t>
            </w:r>
          </w:p>
        </w:tc>
        <w:tc>
          <w:tcPr>
            <w:tcW w:w="2871" w:type="dxa"/>
          </w:tcPr>
          <w:p w:rsidR="007D7DF8" w:rsidRDefault="007D7DF8">
            <w:pPr>
              <w:pStyle w:val="ConsPlusNormal"/>
              <w:jc w:val="center"/>
            </w:pPr>
            <w:r>
              <w:t>Реквизиты заключения</w:t>
            </w:r>
          </w:p>
        </w:tc>
      </w:tr>
      <w:tr w:rsidR="007D7DF8">
        <w:tc>
          <w:tcPr>
            <w:tcW w:w="454" w:type="dxa"/>
            <w:vAlign w:val="center"/>
          </w:tcPr>
          <w:p w:rsidR="007D7DF8" w:rsidRDefault="007D7DF8">
            <w:pPr>
              <w:pStyle w:val="ConsPlusNormal"/>
            </w:pPr>
          </w:p>
        </w:tc>
        <w:tc>
          <w:tcPr>
            <w:tcW w:w="2871" w:type="dxa"/>
            <w:vAlign w:val="center"/>
          </w:tcPr>
          <w:p w:rsidR="007D7DF8" w:rsidRDefault="007D7DF8">
            <w:pPr>
              <w:pStyle w:val="ConsPlusNormal"/>
            </w:pPr>
          </w:p>
        </w:tc>
        <w:tc>
          <w:tcPr>
            <w:tcW w:w="2871" w:type="dxa"/>
            <w:vAlign w:val="center"/>
          </w:tcPr>
          <w:p w:rsidR="007D7DF8" w:rsidRDefault="007D7DF8">
            <w:pPr>
              <w:pStyle w:val="ConsPlusNormal"/>
            </w:pPr>
          </w:p>
        </w:tc>
        <w:tc>
          <w:tcPr>
            <w:tcW w:w="2871" w:type="dxa"/>
            <w:vAlign w:val="center"/>
          </w:tcPr>
          <w:p w:rsidR="007D7DF8" w:rsidRDefault="007D7DF8">
            <w:pPr>
              <w:pStyle w:val="ConsPlusNormal"/>
            </w:pPr>
          </w:p>
        </w:tc>
      </w:tr>
    </w:tbl>
    <w:p w:rsidR="007D7DF8" w:rsidRDefault="007D7D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D7D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Значение показателя, необходимого для достижения результата предоставления субсидии: выдано __________ заключений.</w:t>
            </w:r>
          </w:p>
        </w:tc>
      </w:tr>
    </w:tbl>
    <w:p w:rsidR="007D7DF8" w:rsidRDefault="007D7D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644"/>
        <w:gridCol w:w="340"/>
        <w:gridCol w:w="3966"/>
      </w:tblGrid>
      <w:tr w:rsidR="007D7DF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(ф.и.о.)</w:t>
            </w:r>
          </w:p>
        </w:tc>
      </w:tr>
      <w:tr w:rsidR="007D7DF8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Главный бухгалтер</w:t>
            </w:r>
          </w:p>
          <w:p w:rsidR="007D7DF8" w:rsidRDefault="007D7DF8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DF8" w:rsidRDefault="007D7DF8">
            <w:pPr>
              <w:pStyle w:val="ConsPlusNormal"/>
            </w:pPr>
          </w:p>
        </w:tc>
      </w:tr>
      <w:tr w:rsidR="007D7DF8"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/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center"/>
            </w:pPr>
            <w:r>
              <w:t>(ф.и.о.)</w:t>
            </w:r>
          </w:p>
        </w:tc>
      </w:tr>
      <w:tr w:rsidR="007D7DF8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"__" __________ 20__ г.</w:t>
            </w:r>
          </w:p>
        </w:tc>
      </w:tr>
      <w:tr w:rsidR="007D7DF8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7DF8" w:rsidRDefault="007D7DF8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6939D0" w:rsidRDefault="006939D0" w:rsidP="007D7DF8">
      <w:bookmarkStart w:id="19" w:name="_GoBack"/>
      <w:bookmarkEnd w:id="19"/>
    </w:p>
    <w:sectPr w:rsidR="006939D0" w:rsidSect="00272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DF8"/>
    <w:rsid w:val="006939D0"/>
    <w:rsid w:val="007D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7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7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7D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7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7D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7D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5FDBC738B949CDB88AA7E22E73D877B4BD5C8B202ABE474AD7E7644687470696D8B1BB7FAB4CB04360B49FE2JAA0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5FDBC738B949CDB88AA7E22E73D877B4BC548E272ABE474AD7E7644687470684D8E9B77BAA52B64375E2CEA4F5F262CBB244A52B8B117DJ6A9W" TargetMode="External"/><Relationship Id="rId12" Type="http://schemas.openxmlformats.org/officeDocument/2006/relationships/hyperlink" Target="consultantplus://offline/ref=DB5FDBC738B949CDB88AA7E22E73D877B4BD528A2321BE474AD7E7644687470684D8E9B77FAC52B14475E2CEA4F5F262CBB244A52B8B117DJ6A9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5FDBC738B949CDB88AA7E22E73D877B6BB558E2D28BE474AD7E7644687470696D8B1BB7FAB4CB04360B49FE2JAA0W" TargetMode="External"/><Relationship Id="rId11" Type="http://schemas.openxmlformats.org/officeDocument/2006/relationships/hyperlink" Target="consultantplus://offline/ref=DB5FDBC738B949CDB88AA7E22E73D877B4BC578D212CBE474AD7E7644687470684D8E9B77AA953BB112FF2CAEDA0F87CCCAA5AA1358BJ1A1W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DB5FDBC738B949CDB88AA7E22E73D877B6BB558E2D28BE474AD7E7644687470696D8B1BB7FAB4CB04360B49FE2JAA0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5FDBC738B949CDB88AA7E22E73D877B6BB558E2D28BE474AD7E7644687470696D8B1BB7FAB4CB04360B49FE2JAA0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3129</Words>
  <Characters>17837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2020-06-06T22:00:00Z</dcterms:created>
  <dcterms:modified xsi:type="dcterms:W3CDTF">2020-06-06T22:00:00Z</dcterms:modified>
</cp:coreProperties>
</file>