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CF4" w:rsidRDefault="004F4CF4">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4F4CF4" w:rsidRDefault="004F4CF4">
      <w:pPr>
        <w:pStyle w:val="ConsPlusNormal"/>
        <w:jc w:val="both"/>
        <w:outlineLvl w:val="0"/>
      </w:pPr>
    </w:p>
    <w:p w:rsidR="004F4CF4" w:rsidRDefault="004F4CF4">
      <w:pPr>
        <w:pStyle w:val="ConsPlusTitle"/>
        <w:jc w:val="center"/>
        <w:outlineLvl w:val="0"/>
      </w:pPr>
      <w:r>
        <w:t>ПРАВИТЕЛЬСТВО РОССИЙСКОЙ ФЕДЕРАЦИИ</w:t>
      </w:r>
    </w:p>
    <w:p w:rsidR="004F4CF4" w:rsidRDefault="004F4CF4">
      <w:pPr>
        <w:pStyle w:val="ConsPlusTitle"/>
        <w:jc w:val="center"/>
      </w:pPr>
    </w:p>
    <w:p w:rsidR="004F4CF4" w:rsidRDefault="004F4CF4">
      <w:pPr>
        <w:pStyle w:val="ConsPlusTitle"/>
        <w:jc w:val="center"/>
      </w:pPr>
      <w:r>
        <w:t>ПОСТАНОВЛЕНИЕ</w:t>
      </w:r>
    </w:p>
    <w:p w:rsidR="004F4CF4" w:rsidRDefault="004F4CF4">
      <w:pPr>
        <w:pStyle w:val="ConsPlusTitle"/>
        <w:jc w:val="center"/>
      </w:pPr>
      <w:r>
        <w:t>от 2 сентября 2020 г. N 1338</w:t>
      </w:r>
    </w:p>
    <w:p w:rsidR="004F4CF4" w:rsidRDefault="004F4CF4">
      <w:pPr>
        <w:pStyle w:val="ConsPlusTitle"/>
        <w:jc w:val="center"/>
      </w:pPr>
    </w:p>
    <w:p w:rsidR="004F4CF4" w:rsidRDefault="004F4CF4">
      <w:pPr>
        <w:pStyle w:val="ConsPlusTitle"/>
        <w:jc w:val="center"/>
      </w:pPr>
      <w:r>
        <w:t>ОБ УТВЕРЖДЕНИИ ПРАВИЛ</w:t>
      </w:r>
    </w:p>
    <w:p w:rsidR="004F4CF4" w:rsidRDefault="004F4CF4">
      <w:pPr>
        <w:pStyle w:val="ConsPlusTitle"/>
        <w:jc w:val="center"/>
      </w:pPr>
      <w:r>
        <w:t>ПРЕДОСТАВЛЕНИЯ ИЗ ФЕДЕРАЛЬНОГО БЮДЖЕТА СУБСИДИЙ</w:t>
      </w:r>
    </w:p>
    <w:p w:rsidR="004F4CF4" w:rsidRDefault="004F4CF4">
      <w:pPr>
        <w:pStyle w:val="ConsPlusTitle"/>
        <w:jc w:val="center"/>
      </w:pPr>
      <w:r>
        <w:t>НА ВОЗМЕЩЕНИЕ ЗАТРАТ ПО УПЛАТЕ СТРАХОВЫХ ВЗНОСОВ,</w:t>
      </w:r>
    </w:p>
    <w:p w:rsidR="004F4CF4" w:rsidRDefault="004F4CF4">
      <w:pPr>
        <w:pStyle w:val="ConsPlusTitle"/>
        <w:jc w:val="center"/>
      </w:pPr>
      <w:proofErr w:type="gramStart"/>
      <w:r>
        <w:t>ВОЗНИКАЮЩИХ У ЮРИДИЧЕСКИХ ЛИЦ, ИНДИВИДУАЛЬНЫХ</w:t>
      </w:r>
      <w:proofErr w:type="gramEnd"/>
    </w:p>
    <w:p w:rsidR="004F4CF4" w:rsidRDefault="004F4CF4">
      <w:pPr>
        <w:pStyle w:val="ConsPlusTitle"/>
        <w:jc w:val="center"/>
      </w:pPr>
      <w:r>
        <w:t>ПРЕДПРИНИМАТЕЛЕЙ, ЯВЛЯЮЩИХСЯ РЕЗИДЕНТАМИ</w:t>
      </w:r>
    </w:p>
    <w:p w:rsidR="004F4CF4" w:rsidRDefault="004F4CF4">
      <w:pPr>
        <w:pStyle w:val="ConsPlusTitle"/>
        <w:jc w:val="center"/>
      </w:pPr>
      <w:r>
        <w:t>АРКТИЧЕСКОЙ ЗОНЫ РОССИЙСКОЙ ФЕДЕРАЦИИ</w:t>
      </w:r>
    </w:p>
    <w:p w:rsidR="004F4CF4" w:rsidRDefault="004F4CF4">
      <w:pPr>
        <w:pStyle w:val="ConsPlusNormal"/>
        <w:jc w:val="both"/>
      </w:pPr>
    </w:p>
    <w:p w:rsidR="004F4CF4" w:rsidRDefault="004F4CF4">
      <w:pPr>
        <w:pStyle w:val="ConsPlusNormal"/>
        <w:ind w:firstLine="540"/>
        <w:jc w:val="both"/>
      </w:pPr>
      <w:r>
        <w:t>Правительство Российской Федерации постановляет:</w:t>
      </w:r>
    </w:p>
    <w:p w:rsidR="004F4CF4" w:rsidRDefault="004F4CF4">
      <w:pPr>
        <w:pStyle w:val="ConsPlusNormal"/>
        <w:spacing w:before="220"/>
        <w:ind w:firstLine="540"/>
        <w:jc w:val="both"/>
      </w:pPr>
      <w:r>
        <w:t xml:space="preserve">Утвердить прилагаемые </w:t>
      </w:r>
      <w:hyperlink w:anchor="P29" w:history="1">
        <w:r>
          <w:rPr>
            <w:color w:val="0000FF"/>
          </w:rPr>
          <w:t>Правила</w:t>
        </w:r>
      </w:hyperlink>
      <w:r>
        <w:t xml:space="preserve"> предоставления из федерального бюджета субсидий на возмещение затрат по уплате страховых взносов, возникающих у юридических лиц, индивидуальных предпринимателей, являющихся резидентами Арктической зоны Российской Федерации.</w:t>
      </w:r>
    </w:p>
    <w:p w:rsidR="004F4CF4" w:rsidRDefault="004F4CF4">
      <w:pPr>
        <w:pStyle w:val="ConsPlusNormal"/>
        <w:jc w:val="both"/>
      </w:pPr>
    </w:p>
    <w:p w:rsidR="004F4CF4" w:rsidRDefault="004F4CF4">
      <w:pPr>
        <w:pStyle w:val="ConsPlusNormal"/>
        <w:jc w:val="right"/>
      </w:pPr>
      <w:r>
        <w:t>Председатель Правительства</w:t>
      </w:r>
    </w:p>
    <w:p w:rsidR="004F4CF4" w:rsidRDefault="004F4CF4">
      <w:pPr>
        <w:pStyle w:val="ConsPlusNormal"/>
        <w:jc w:val="right"/>
      </w:pPr>
      <w:r>
        <w:t>Российской Федерации</w:t>
      </w:r>
    </w:p>
    <w:p w:rsidR="004F4CF4" w:rsidRDefault="004F4CF4">
      <w:pPr>
        <w:pStyle w:val="ConsPlusNormal"/>
        <w:jc w:val="right"/>
      </w:pPr>
      <w:r>
        <w:t>М.МИШУСТИН</w:t>
      </w: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right"/>
        <w:outlineLvl w:val="0"/>
      </w:pPr>
      <w:r>
        <w:t>Утверждены</w:t>
      </w:r>
    </w:p>
    <w:p w:rsidR="004F4CF4" w:rsidRDefault="004F4CF4">
      <w:pPr>
        <w:pStyle w:val="ConsPlusNormal"/>
        <w:jc w:val="right"/>
      </w:pPr>
      <w:r>
        <w:t>постановлением Правительства</w:t>
      </w:r>
    </w:p>
    <w:p w:rsidR="004F4CF4" w:rsidRDefault="004F4CF4">
      <w:pPr>
        <w:pStyle w:val="ConsPlusNormal"/>
        <w:jc w:val="right"/>
      </w:pPr>
      <w:r>
        <w:t>Российской Федерации</w:t>
      </w:r>
    </w:p>
    <w:p w:rsidR="004F4CF4" w:rsidRDefault="004F4CF4">
      <w:pPr>
        <w:pStyle w:val="ConsPlusNormal"/>
        <w:jc w:val="right"/>
      </w:pPr>
      <w:r>
        <w:t>от 2 сентября 2020 г. N 1338</w:t>
      </w:r>
    </w:p>
    <w:p w:rsidR="004F4CF4" w:rsidRDefault="004F4CF4">
      <w:pPr>
        <w:pStyle w:val="ConsPlusNormal"/>
        <w:jc w:val="both"/>
      </w:pPr>
    </w:p>
    <w:p w:rsidR="004F4CF4" w:rsidRDefault="004F4CF4">
      <w:pPr>
        <w:pStyle w:val="ConsPlusTitle"/>
        <w:jc w:val="center"/>
      </w:pPr>
      <w:bookmarkStart w:id="0" w:name="P29"/>
      <w:bookmarkEnd w:id="0"/>
      <w:r>
        <w:t>ПРАВИЛА</w:t>
      </w:r>
    </w:p>
    <w:p w:rsidR="004F4CF4" w:rsidRDefault="004F4CF4">
      <w:pPr>
        <w:pStyle w:val="ConsPlusTitle"/>
        <w:jc w:val="center"/>
      </w:pPr>
      <w:r>
        <w:t>ПРЕДОСТАВЛЕНИЯ ИЗ ФЕДЕРАЛЬНОГО БЮДЖЕТА СУБСИДИЙ</w:t>
      </w:r>
    </w:p>
    <w:p w:rsidR="004F4CF4" w:rsidRDefault="004F4CF4">
      <w:pPr>
        <w:pStyle w:val="ConsPlusTitle"/>
        <w:jc w:val="center"/>
      </w:pPr>
      <w:r>
        <w:t>НА ВОЗМЕЩЕНИЕ ЗАТРАТ ПО УПЛАТЕ СТРАХОВЫХ ВЗНОСОВ,</w:t>
      </w:r>
    </w:p>
    <w:p w:rsidR="004F4CF4" w:rsidRDefault="004F4CF4">
      <w:pPr>
        <w:pStyle w:val="ConsPlusTitle"/>
        <w:jc w:val="center"/>
      </w:pPr>
      <w:proofErr w:type="gramStart"/>
      <w:r>
        <w:t>ВОЗНИКАЮЩИХ У ЮРИДИЧЕСКИХ ЛИЦ, ИНДИВИДУАЛЬНЫХ</w:t>
      </w:r>
      <w:proofErr w:type="gramEnd"/>
    </w:p>
    <w:p w:rsidR="004F4CF4" w:rsidRDefault="004F4CF4">
      <w:pPr>
        <w:pStyle w:val="ConsPlusTitle"/>
        <w:jc w:val="center"/>
      </w:pPr>
      <w:r>
        <w:t>ПРЕДПРИНИМАТЕЛЕЙ, ЯВЛЯЮЩИХСЯ РЕЗИДЕНТАМИ</w:t>
      </w:r>
    </w:p>
    <w:p w:rsidR="004F4CF4" w:rsidRDefault="004F4CF4">
      <w:pPr>
        <w:pStyle w:val="ConsPlusTitle"/>
        <w:jc w:val="center"/>
      </w:pPr>
      <w:r>
        <w:t>АРКТИЧЕСКОЙ ЗОНЫ РОССИЙСКОЙ ФЕДЕРАЦИИ</w:t>
      </w:r>
    </w:p>
    <w:p w:rsidR="004F4CF4" w:rsidRDefault="004F4CF4">
      <w:pPr>
        <w:pStyle w:val="ConsPlusNormal"/>
        <w:jc w:val="both"/>
      </w:pPr>
    </w:p>
    <w:p w:rsidR="004F4CF4" w:rsidRDefault="004F4CF4">
      <w:pPr>
        <w:pStyle w:val="ConsPlusNormal"/>
        <w:ind w:firstLine="540"/>
        <w:jc w:val="both"/>
      </w:pPr>
      <w:bookmarkStart w:id="1" w:name="P36"/>
      <w:bookmarkEnd w:id="1"/>
      <w:r>
        <w:t xml:space="preserve">1. </w:t>
      </w:r>
      <w:proofErr w:type="gramStart"/>
      <w:r>
        <w:t xml:space="preserve">Настоящие Правила устанавливают цели, условия и порядок предоставления из федерального бюджета субсидий на </w:t>
      </w:r>
      <w:hyperlink r:id="rId6" w:history="1">
        <w:r>
          <w:rPr>
            <w:color w:val="0000FF"/>
          </w:rPr>
          <w:t>возмещение</w:t>
        </w:r>
      </w:hyperlink>
      <w:r>
        <w:t xml:space="preserve"> затрат по уплате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и обязательное медицинское страхование (далее - страховые взносы), возникающих у юридических лиц, индивидуальных предпринимателей, являющихся резидентами Арктической зоны Российской Федерации (далее - субсидии).</w:t>
      </w:r>
      <w:proofErr w:type="gramEnd"/>
    </w:p>
    <w:p w:rsidR="004F4CF4" w:rsidRDefault="004F4CF4">
      <w:pPr>
        <w:pStyle w:val="ConsPlusNormal"/>
        <w:spacing w:before="220"/>
        <w:ind w:firstLine="540"/>
        <w:jc w:val="both"/>
      </w:pPr>
      <w:bookmarkStart w:id="2" w:name="P37"/>
      <w:bookmarkEnd w:id="2"/>
      <w:r>
        <w:t xml:space="preserve">2. </w:t>
      </w:r>
      <w:proofErr w:type="gramStart"/>
      <w:r>
        <w:t xml:space="preserve">Предоставление субсидий осуществляется акционерному обществу "Корпорация развития Дальнего Востока" (далее - управляющая компания) для последующего возмещения затрат по уплате страховых взносов, подлежащих уплате юридическими лицами, индивидуальными предпринимателями, являющимися резидентами Арктической зоны Российской Федерации, в </w:t>
      </w:r>
      <w:r>
        <w:lastRenderedPageBreak/>
        <w:t>отношении работников, принятых на работу со дня получения ими уведомления управляющей компании о включении их в реестр резидентов Арктической зоны Российской Федерации, в форме авансового платежа (далее</w:t>
      </w:r>
      <w:proofErr w:type="gramEnd"/>
      <w:r>
        <w:t xml:space="preserve"> - авансовый платеж) в размере 75 процентов сумм страховых взносов, подлежащих уплате в соответствии с исчислениями указанных лиц.</w:t>
      </w:r>
    </w:p>
    <w:p w:rsidR="004F4CF4" w:rsidRDefault="004F4CF4">
      <w:pPr>
        <w:pStyle w:val="ConsPlusNormal"/>
        <w:spacing w:before="220"/>
        <w:ind w:firstLine="540"/>
        <w:jc w:val="both"/>
      </w:pPr>
      <w:r>
        <w:t xml:space="preserve">3. Условиями возмещения затрат, указанных в </w:t>
      </w:r>
      <w:hyperlink w:anchor="P37" w:history="1">
        <w:r>
          <w:rPr>
            <w:color w:val="0000FF"/>
          </w:rPr>
          <w:t>пункте 2</w:t>
        </w:r>
      </w:hyperlink>
      <w:r>
        <w:t xml:space="preserve"> настоящих Правил, являются:</w:t>
      </w:r>
    </w:p>
    <w:p w:rsidR="004F4CF4" w:rsidRDefault="004F4CF4">
      <w:pPr>
        <w:pStyle w:val="ConsPlusNormal"/>
        <w:spacing w:before="220"/>
        <w:ind w:firstLine="540"/>
        <w:jc w:val="both"/>
      </w:pPr>
      <w:r>
        <w:t>а) наличие юридических лиц, индивидуальных предпринимателей, государственная регистрация которых осуществлена в Арктической зоне Российской Федерации, в реестре резидентов Арктической зоны Российской Федерации и наличие заключенных этими лицами с управляющей компанией соглашений об осуществлении инвестиционной деятельности;</w:t>
      </w:r>
    </w:p>
    <w:p w:rsidR="004F4CF4" w:rsidRDefault="004F4CF4">
      <w:pPr>
        <w:pStyle w:val="ConsPlusNormal"/>
        <w:spacing w:before="220"/>
        <w:ind w:firstLine="540"/>
        <w:jc w:val="both"/>
      </w:pPr>
      <w:r>
        <w:t>б) осуществление юридическими лицами, индивидуальными предпринимателями, являющимися резидентами Арктической зоны Российской Федерации, исчислений страховых взносов и их уплата в размере, обеспечивающем исполнение обязательств в соответствии с законодательством Российской Федерации о налогах и сборах;</w:t>
      </w:r>
    </w:p>
    <w:p w:rsidR="004F4CF4" w:rsidRDefault="004F4CF4">
      <w:pPr>
        <w:pStyle w:val="ConsPlusNormal"/>
        <w:spacing w:before="220"/>
        <w:ind w:firstLine="540"/>
        <w:jc w:val="both"/>
      </w:pPr>
      <w:proofErr w:type="gramStart"/>
      <w:r>
        <w:t>в) представление юридическими лицами, индивидуальными предпринимателями, являющимися резидентами Арктической зоны Российской Федерации, в отношении работников, принятых на работу со дня получения ими уведомления управляющей компании о включении их в реестр резидентов Арктической зоны Российской Федерации, в управляющую компанию не позднее 5-го числа месяца, следующего за отчетным месяцем, сведений о размерах исчислений страховых взносов, подлежащих уплате за отчетный месяц, по форме</w:t>
      </w:r>
      <w:proofErr w:type="gramEnd"/>
      <w:r>
        <w:t xml:space="preserve">, </w:t>
      </w:r>
      <w:proofErr w:type="gramStart"/>
      <w:r>
        <w:t xml:space="preserve">установленной в </w:t>
      </w:r>
      <w:hyperlink w:anchor="P133" w:history="1">
        <w:r>
          <w:rPr>
            <w:color w:val="0000FF"/>
          </w:rPr>
          <w:t>приложении N 1</w:t>
        </w:r>
      </w:hyperlink>
      <w:r>
        <w:t xml:space="preserve"> (далее - сведения о размерах исчислений страховых взносов).</w:t>
      </w:r>
      <w:proofErr w:type="gramEnd"/>
    </w:p>
    <w:p w:rsidR="004F4CF4" w:rsidRDefault="004F4CF4">
      <w:pPr>
        <w:pStyle w:val="ConsPlusNormal"/>
        <w:spacing w:before="220"/>
        <w:ind w:firstLine="540"/>
        <w:jc w:val="both"/>
      </w:pPr>
      <w:r>
        <w:t xml:space="preserve">4. </w:t>
      </w:r>
      <w:proofErr w:type="gramStart"/>
      <w:r>
        <w:t xml:space="preserve">Субсидии предоставляются управляющей компании в пределах бюджетных ассигнований, предусмотренных Министерству Российской Федерации по развитию Дальнего Востока и Арктики в федеральном бюджете, и лимитов бюджетных обязательств,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 на цели, указанные в </w:t>
      </w:r>
      <w:hyperlink w:anchor="P36" w:history="1">
        <w:r>
          <w:rPr>
            <w:color w:val="0000FF"/>
          </w:rPr>
          <w:t>пункте 1</w:t>
        </w:r>
      </w:hyperlink>
      <w:r>
        <w:t xml:space="preserve"> настоящих Правил.</w:t>
      </w:r>
      <w:proofErr w:type="gramEnd"/>
    </w:p>
    <w:p w:rsidR="004F4CF4" w:rsidRDefault="004F4CF4">
      <w:pPr>
        <w:pStyle w:val="ConsPlusNormal"/>
        <w:spacing w:before="220"/>
        <w:ind w:firstLine="540"/>
        <w:jc w:val="both"/>
      </w:pPr>
      <w:r>
        <w:t>5. Субсидии предоставляются управляющей компании на основании соглашения о предоставлении субсидий, заключенного между Министерством Российской Федерации по развитию Дальнего Востока и Арктики и управляющей компанией в соответствии с типовой формой, установленной Министерством финансов Российской Федерации (далее - соглашение), в котором предусматриваются в том числе:</w:t>
      </w:r>
    </w:p>
    <w:p w:rsidR="004F4CF4" w:rsidRDefault="004F4CF4">
      <w:pPr>
        <w:pStyle w:val="ConsPlusNormal"/>
        <w:spacing w:before="220"/>
        <w:ind w:firstLine="540"/>
        <w:jc w:val="both"/>
      </w:pPr>
      <w:r>
        <w:t>а) цель, размер предоставляемой субсидии и значения результатов предоставления субсидии;</w:t>
      </w:r>
    </w:p>
    <w:p w:rsidR="004F4CF4" w:rsidRDefault="004F4CF4">
      <w:pPr>
        <w:pStyle w:val="ConsPlusNormal"/>
        <w:spacing w:before="220"/>
        <w:ind w:firstLine="540"/>
        <w:jc w:val="both"/>
      </w:pPr>
      <w:r>
        <w:t>б) условия предоставления субсидии;</w:t>
      </w:r>
    </w:p>
    <w:p w:rsidR="004F4CF4" w:rsidRDefault="004F4CF4">
      <w:pPr>
        <w:pStyle w:val="ConsPlusNormal"/>
        <w:spacing w:before="220"/>
        <w:ind w:firstLine="540"/>
        <w:jc w:val="both"/>
      </w:pPr>
      <w:r>
        <w:t>в) порядок и сроки представления отчетов об осуществлении расходов, источником финансового обеспечения которых являются субсидии, и о достижении значений результатов предоставления субсидии;</w:t>
      </w:r>
    </w:p>
    <w:p w:rsidR="004F4CF4" w:rsidRDefault="004F4CF4">
      <w:pPr>
        <w:pStyle w:val="ConsPlusNormal"/>
        <w:spacing w:before="220"/>
        <w:ind w:firstLine="540"/>
        <w:jc w:val="both"/>
      </w:pPr>
      <w:r>
        <w:t>г) обязательство управляющей компании по ведению обособленного учета операций по предоставлению субсидии;</w:t>
      </w:r>
    </w:p>
    <w:p w:rsidR="004F4CF4" w:rsidRDefault="004F4CF4">
      <w:pPr>
        <w:pStyle w:val="ConsPlusNormal"/>
        <w:spacing w:before="220"/>
        <w:ind w:firstLine="540"/>
        <w:jc w:val="both"/>
      </w:pPr>
      <w:r>
        <w:t xml:space="preserve">д) обязательство управляющей компании обеспечить достижение значений результатов предоставления субсидии и ответственность управляющей компании </w:t>
      </w:r>
      <w:proofErr w:type="gramStart"/>
      <w:r>
        <w:t>за</w:t>
      </w:r>
      <w:proofErr w:type="gramEnd"/>
      <w:r>
        <w:t xml:space="preserve"> </w:t>
      </w:r>
      <w:proofErr w:type="gramStart"/>
      <w:r>
        <w:t>их</w:t>
      </w:r>
      <w:proofErr w:type="gramEnd"/>
      <w:r>
        <w:t xml:space="preserve"> </w:t>
      </w:r>
      <w:proofErr w:type="spellStart"/>
      <w:r>
        <w:t>недостижение</w:t>
      </w:r>
      <w:proofErr w:type="spellEnd"/>
      <w:r>
        <w:t>;</w:t>
      </w:r>
    </w:p>
    <w:p w:rsidR="004F4CF4" w:rsidRDefault="004F4CF4">
      <w:pPr>
        <w:pStyle w:val="ConsPlusNormal"/>
        <w:spacing w:before="220"/>
        <w:ind w:firstLine="540"/>
        <w:jc w:val="both"/>
      </w:pPr>
      <w:r>
        <w:t xml:space="preserve">е) обязательство управляющей компании представлять в Министерство Российской Федерации по развитию Дальнего Востока и Арктики годовой поквартальный прогноз расходов, источником финансового обеспечения которых является субсидия (далее - поквартальный прогноз расходов), в соответствии с </w:t>
      </w:r>
      <w:hyperlink w:anchor="P87" w:history="1">
        <w:r>
          <w:rPr>
            <w:color w:val="0000FF"/>
          </w:rPr>
          <w:t>пунктом 13</w:t>
        </w:r>
      </w:hyperlink>
      <w:r>
        <w:t xml:space="preserve"> настоящих Правил и прогноз размера субсидии на </w:t>
      </w:r>
      <w:r>
        <w:lastRenderedPageBreak/>
        <w:t xml:space="preserve">очередной финансовый </w:t>
      </w:r>
      <w:proofErr w:type="gramStart"/>
      <w:r>
        <w:t>год</w:t>
      </w:r>
      <w:proofErr w:type="gramEnd"/>
      <w:r>
        <w:t xml:space="preserve"> и плановый период, а также формы их представления;</w:t>
      </w:r>
    </w:p>
    <w:p w:rsidR="004F4CF4" w:rsidRDefault="004F4CF4">
      <w:pPr>
        <w:pStyle w:val="ConsPlusNormal"/>
        <w:spacing w:before="220"/>
        <w:ind w:firstLine="540"/>
        <w:jc w:val="both"/>
      </w:pPr>
      <w:r>
        <w:t>ж) ответственность сторон за нарушения условий соглашения;</w:t>
      </w:r>
    </w:p>
    <w:p w:rsidR="004F4CF4" w:rsidRDefault="004F4CF4">
      <w:pPr>
        <w:pStyle w:val="ConsPlusNormal"/>
        <w:spacing w:before="220"/>
        <w:ind w:firstLine="540"/>
        <w:jc w:val="both"/>
      </w:pPr>
      <w:r>
        <w:t>з) запрет приобретения за счет полученных средств иностранной валюты;</w:t>
      </w:r>
    </w:p>
    <w:p w:rsidR="004F4CF4" w:rsidRDefault="004F4CF4">
      <w:pPr>
        <w:pStyle w:val="ConsPlusNormal"/>
        <w:spacing w:before="220"/>
        <w:ind w:firstLine="540"/>
        <w:jc w:val="both"/>
      </w:pPr>
      <w:r>
        <w:t>и) согласие управляющей компании на осуществление Министерством Российской Федерации по развитию Дальнего Востока и Арктики и органами государственного финансового контроля проверок соблюдения целей, условий и порядка предоставления субсидии.</w:t>
      </w:r>
    </w:p>
    <w:p w:rsidR="004F4CF4" w:rsidRDefault="004F4CF4">
      <w:pPr>
        <w:pStyle w:val="ConsPlusNormal"/>
        <w:spacing w:before="220"/>
        <w:ind w:firstLine="540"/>
        <w:jc w:val="both"/>
      </w:pPr>
      <w:bookmarkStart w:id="3" w:name="P53"/>
      <w:bookmarkEnd w:id="3"/>
      <w:r>
        <w:t>6. Для заключения соглашения или дополнения к соглашению о размере субсидий на очередной финансовый год управляющая компания представляет в Министерство Российской Федерации по развитию Дальнего Востока и Арктики следующие документы:</w:t>
      </w:r>
    </w:p>
    <w:p w:rsidR="004F4CF4" w:rsidRDefault="004F4CF4">
      <w:pPr>
        <w:pStyle w:val="ConsPlusNormal"/>
        <w:spacing w:before="220"/>
        <w:ind w:firstLine="540"/>
        <w:jc w:val="both"/>
      </w:pPr>
      <w:r>
        <w:t>а) справка, подписанная ее руководителем (иным уполномоченным лицом), подтверждающая, что на 1-е число месяца, предшествующего месяцу, в котором планируется заключение соглашения или дополнения к соглашению о размере субсидий на очередной финансовый год, управляющая компания:</w:t>
      </w:r>
    </w:p>
    <w:p w:rsidR="004F4CF4" w:rsidRDefault="004F4CF4">
      <w:pPr>
        <w:pStyle w:val="ConsPlusNormal"/>
        <w:spacing w:before="220"/>
        <w:ind w:firstLine="540"/>
        <w:jc w:val="both"/>
      </w:pPr>
      <w:r>
        <w:t>не находится в процессе реорганизации,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4F4CF4" w:rsidRDefault="004F4CF4">
      <w:pPr>
        <w:pStyle w:val="ConsPlusNormal"/>
        <w:spacing w:before="220"/>
        <w:ind w:firstLine="540"/>
        <w:jc w:val="both"/>
      </w:pPr>
      <w:r>
        <w:t xml:space="preserve">не имеет просроченной задолженности по возврату в федеральный бюджет субсидий, бюджетных инвестиций, </w:t>
      </w:r>
      <w:proofErr w:type="gramStart"/>
      <w:r>
        <w:t>предоставленных</w:t>
      </w:r>
      <w:proofErr w:type="gramEnd"/>
      <w:r>
        <w:t xml:space="preserve"> в том числе в соответствии с иными нормативными правовыми актами, и иной просроченной задолженности перед федеральным бюджетом;</w:t>
      </w:r>
    </w:p>
    <w:p w:rsidR="004F4CF4" w:rsidRDefault="004F4CF4">
      <w:pPr>
        <w:pStyle w:val="ConsPlusNormal"/>
        <w:spacing w:before="220"/>
        <w:ind w:firstLine="540"/>
        <w:jc w:val="both"/>
      </w:pPr>
      <w:r>
        <w:t xml:space="preserve">не получает средства из федерального бюджета в соответствии с иными нормативными правовыми актами на цели, указанные в </w:t>
      </w:r>
      <w:hyperlink w:anchor="P36" w:history="1">
        <w:r>
          <w:rPr>
            <w:color w:val="0000FF"/>
          </w:rPr>
          <w:t>пункте 1</w:t>
        </w:r>
      </w:hyperlink>
      <w:r>
        <w:t xml:space="preserve"> настоящих Правил;</w:t>
      </w:r>
    </w:p>
    <w:p w:rsidR="004F4CF4" w:rsidRDefault="004F4CF4">
      <w:pPr>
        <w:pStyle w:val="ConsPlusNormal"/>
        <w:spacing w:before="220"/>
        <w:ind w:firstLine="540"/>
        <w:jc w:val="both"/>
      </w:pPr>
      <w:proofErr w:type="gramStart"/>
      <w:r>
        <w:t xml:space="preserve">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7"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w:t>
      </w:r>
      <w:proofErr w:type="gramEnd"/>
      <w:r>
        <w:t xml:space="preserve"> юридических лиц, в совокупности превышает 50 процентов;</w:t>
      </w:r>
    </w:p>
    <w:p w:rsidR="004F4CF4" w:rsidRDefault="004F4CF4">
      <w:pPr>
        <w:pStyle w:val="ConsPlusNormal"/>
        <w:spacing w:before="220"/>
        <w:ind w:firstLine="540"/>
        <w:jc w:val="both"/>
      </w:pPr>
      <w:r>
        <w:t>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4F4CF4" w:rsidRDefault="004F4CF4">
      <w:pPr>
        <w:pStyle w:val="ConsPlusNormal"/>
        <w:spacing w:before="220"/>
        <w:ind w:firstLine="540"/>
        <w:jc w:val="both"/>
      </w:pPr>
      <w:r>
        <w:t>б) поквартальный прогноз расходов.</w:t>
      </w:r>
    </w:p>
    <w:p w:rsidR="004F4CF4" w:rsidRDefault="004F4CF4">
      <w:pPr>
        <w:pStyle w:val="ConsPlusNormal"/>
        <w:spacing w:before="220"/>
        <w:ind w:firstLine="540"/>
        <w:jc w:val="both"/>
      </w:pPr>
      <w:r>
        <w:t xml:space="preserve">7. Министерство Российской Федерации по развитию Дальнего Востока и Арктики в течение 10 рабочих дней рассматривает документы, указанные в </w:t>
      </w:r>
      <w:hyperlink w:anchor="P53" w:history="1">
        <w:r>
          <w:rPr>
            <w:color w:val="0000FF"/>
          </w:rPr>
          <w:t>пункте 6</w:t>
        </w:r>
      </w:hyperlink>
      <w:r>
        <w:t xml:space="preserve"> настоящих Правил, и при отсутствии оснований для отказа заключает с управляющей компанией соглашение или дополнение к соглашению о размере субсидий на очередной финансовый год.</w:t>
      </w:r>
    </w:p>
    <w:p w:rsidR="004F4CF4" w:rsidRDefault="004F4CF4">
      <w:pPr>
        <w:pStyle w:val="ConsPlusNormal"/>
        <w:spacing w:before="220"/>
        <w:ind w:firstLine="540"/>
        <w:jc w:val="both"/>
      </w:pPr>
      <w:bookmarkStart w:id="4" w:name="P62"/>
      <w:bookmarkEnd w:id="4"/>
      <w:r>
        <w:t>8. Основаниями для отказа в заключени</w:t>
      </w:r>
      <w:proofErr w:type="gramStart"/>
      <w:r>
        <w:t>и</w:t>
      </w:r>
      <w:proofErr w:type="gramEnd"/>
      <w:r>
        <w:t xml:space="preserve"> соглашения или дополнения к соглашению о размере субсидий на очередной финансовый год являются:</w:t>
      </w:r>
    </w:p>
    <w:p w:rsidR="004F4CF4" w:rsidRDefault="004F4CF4">
      <w:pPr>
        <w:pStyle w:val="ConsPlusNormal"/>
        <w:spacing w:before="220"/>
        <w:ind w:firstLine="540"/>
        <w:jc w:val="both"/>
      </w:pPr>
      <w:r>
        <w:t xml:space="preserve">а) непредставление (представление в неполном объеме) управляющей компанией документов, указанных в </w:t>
      </w:r>
      <w:hyperlink w:anchor="P53" w:history="1">
        <w:r>
          <w:rPr>
            <w:color w:val="0000FF"/>
          </w:rPr>
          <w:t>пункте 6</w:t>
        </w:r>
      </w:hyperlink>
      <w:r>
        <w:t xml:space="preserve"> настоящих Правил;</w:t>
      </w:r>
    </w:p>
    <w:p w:rsidR="004F4CF4" w:rsidRDefault="004F4CF4">
      <w:pPr>
        <w:pStyle w:val="ConsPlusNormal"/>
        <w:spacing w:before="220"/>
        <w:ind w:firstLine="540"/>
        <w:jc w:val="both"/>
      </w:pPr>
      <w:r>
        <w:t xml:space="preserve">б) недостоверность содержащейся в представленных управляющей компанией документах </w:t>
      </w:r>
      <w:r>
        <w:lastRenderedPageBreak/>
        <w:t>информации.</w:t>
      </w:r>
    </w:p>
    <w:p w:rsidR="004F4CF4" w:rsidRDefault="004F4CF4">
      <w:pPr>
        <w:pStyle w:val="ConsPlusNormal"/>
        <w:spacing w:before="220"/>
        <w:ind w:firstLine="540"/>
        <w:jc w:val="both"/>
      </w:pPr>
      <w:r>
        <w:t>9. В случае принятия решения об отказе в заключени</w:t>
      </w:r>
      <w:proofErr w:type="gramStart"/>
      <w:r>
        <w:t>и</w:t>
      </w:r>
      <w:proofErr w:type="gramEnd"/>
      <w:r>
        <w:t xml:space="preserve"> соглашения или дополнения к соглашению о размере субсидий на очередной финансовый год, основания для которого определены в соответствии с </w:t>
      </w:r>
      <w:hyperlink w:anchor="P62" w:history="1">
        <w:r>
          <w:rPr>
            <w:color w:val="0000FF"/>
          </w:rPr>
          <w:t>пунктом 8</w:t>
        </w:r>
      </w:hyperlink>
      <w:r>
        <w:t xml:space="preserve"> настоящих Правил, Министерство Российской Федерации по развитию Дальнего Востока и Арктики возвращает документы управляющей компании (с указанием причин возврата) в течение 5 рабочих дней со дня принятия такого решения.</w:t>
      </w:r>
    </w:p>
    <w:p w:rsidR="004F4CF4" w:rsidRDefault="004F4CF4">
      <w:pPr>
        <w:pStyle w:val="ConsPlusNormal"/>
        <w:spacing w:before="220"/>
        <w:ind w:firstLine="540"/>
        <w:jc w:val="both"/>
      </w:pPr>
      <w:r>
        <w:t>10. Юридические лица, индивидуальные предприниматели, являющиеся резидентами Арктической зоны Российской Федерации, заключают с управляющей компанией договор, в котором предусматриваются:</w:t>
      </w:r>
    </w:p>
    <w:p w:rsidR="004F4CF4" w:rsidRDefault="004F4CF4">
      <w:pPr>
        <w:pStyle w:val="ConsPlusNormal"/>
        <w:spacing w:before="220"/>
        <w:ind w:firstLine="540"/>
        <w:jc w:val="both"/>
      </w:pPr>
      <w:r>
        <w:t>а) обязательство юридических лиц, индивидуальных предпринимателей, являющихся резидентами Арктической зоны Российской Федерации, осуществлять исчисление страховых взносов и их уплату в размере, обеспечивающем исполнение обязательств в соответствии с законодательством Российской Федерации о налогах и сборах;</w:t>
      </w:r>
    </w:p>
    <w:p w:rsidR="004F4CF4" w:rsidRDefault="004F4CF4">
      <w:pPr>
        <w:pStyle w:val="ConsPlusNormal"/>
        <w:spacing w:before="220"/>
        <w:ind w:firstLine="540"/>
        <w:jc w:val="both"/>
      </w:pPr>
      <w:r>
        <w:t xml:space="preserve">б) обязательство юридических лиц, индивидуальных предпринимателей, являющихся резидентами Арктической зоны Российской Федерации, представлять в управляющую компанию не позднее 5-го числа месяца, следующего за отчетным месяцем, </w:t>
      </w:r>
      <w:hyperlink w:anchor="P133" w:history="1">
        <w:r>
          <w:rPr>
            <w:color w:val="0000FF"/>
          </w:rPr>
          <w:t>сведения</w:t>
        </w:r>
      </w:hyperlink>
      <w:r>
        <w:t xml:space="preserve"> о размерах исчислений страховых </w:t>
      </w:r>
      <w:proofErr w:type="gramStart"/>
      <w:r>
        <w:t>взносов</w:t>
      </w:r>
      <w:proofErr w:type="gramEnd"/>
      <w:r>
        <w:t xml:space="preserve"> с приложением заверенных в установленном порядке копий документов, подтверждающих прием работников на работу со дня получения ими уведомления управляющей компании о включении их в реестр резидентов Арктической зоны Российской Федерации;</w:t>
      </w:r>
    </w:p>
    <w:p w:rsidR="004F4CF4" w:rsidRDefault="004F4CF4">
      <w:pPr>
        <w:pStyle w:val="ConsPlusNormal"/>
        <w:spacing w:before="220"/>
        <w:ind w:firstLine="540"/>
        <w:jc w:val="both"/>
      </w:pPr>
      <w:proofErr w:type="gramStart"/>
      <w:r>
        <w:t>в) обязательство юридических лиц, индивидуальных предпринимателей, являющихся резидентами Арктической зоны Российской Федерации, о выдаче управляющей компании в порядке и случаях, установленных законодательством Российской Федерации, доверенности на право совершения действий и представления интересов в отношениях с налоговыми органами, иными участниками отношений, регулируемых законодательством Российской Федерации о налогах и сборах и связанных с реализацией настоящих Правил, с указанием действий, на совершение которых</w:t>
      </w:r>
      <w:proofErr w:type="gramEnd"/>
      <w:r>
        <w:t xml:space="preserve"> она уполномочена (при необходимости);</w:t>
      </w:r>
    </w:p>
    <w:p w:rsidR="004F4CF4" w:rsidRDefault="004F4CF4">
      <w:pPr>
        <w:pStyle w:val="ConsPlusNormal"/>
        <w:spacing w:before="220"/>
        <w:ind w:firstLine="540"/>
        <w:jc w:val="both"/>
      </w:pPr>
      <w:r>
        <w:t>г) обязательство юридических лиц, индивидуальных предпринимателей, являющихся резидентами Арктической зоны Российской Федерации, по ведению раздельного аналитического учета операций по уплате страховых взносов в отношении работников, принятых на работу со дня получения ими уведомления управляющей компании о включении их в реестр резидентов Арктической зоны Российской Федерации;</w:t>
      </w:r>
    </w:p>
    <w:p w:rsidR="004F4CF4" w:rsidRDefault="004F4CF4">
      <w:pPr>
        <w:pStyle w:val="ConsPlusNormal"/>
        <w:spacing w:before="220"/>
        <w:ind w:firstLine="540"/>
        <w:jc w:val="both"/>
      </w:pPr>
      <w:r>
        <w:t>д) обязательство юридических лиц, индивидуальных предпринимателей, являющихся резидентами Арктической зоны Российской Федерации, по возврату произведенных управляющей компанией расходов, источником финансового обеспечения которых являлись субсидии, за месяц, за который такими лицами не были уплачены страховые взносы в размере, обеспечивающем исполнение обязательств в соответствии с законодательством Российской Федерации о налогах и сборах;</w:t>
      </w:r>
    </w:p>
    <w:p w:rsidR="004F4CF4" w:rsidRDefault="004F4CF4">
      <w:pPr>
        <w:pStyle w:val="ConsPlusNormal"/>
        <w:spacing w:before="220"/>
        <w:ind w:firstLine="540"/>
        <w:jc w:val="both"/>
      </w:pPr>
      <w:r>
        <w:t xml:space="preserve">е) обязательство юридических лиц, индивидуальных предпринимателей, являющихся резидентами Арктической зоны Российской Федерации, представлять в управляющую компанию поквартальный прогноз исчислений страховых взносов и их прогноз на очередной финансовый </w:t>
      </w:r>
      <w:proofErr w:type="gramStart"/>
      <w:r>
        <w:t>год</w:t>
      </w:r>
      <w:proofErr w:type="gramEnd"/>
      <w:r>
        <w:t xml:space="preserve"> и плановый период;</w:t>
      </w:r>
    </w:p>
    <w:p w:rsidR="004F4CF4" w:rsidRDefault="004F4CF4">
      <w:pPr>
        <w:pStyle w:val="ConsPlusNormal"/>
        <w:spacing w:before="220"/>
        <w:ind w:firstLine="540"/>
        <w:jc w:val="both"/>
      </w:pPr>
      <w:r>
        <w:t>ж) формы поквартального прогноза исчислений страховых взносов и их прогноза на очередной финансовый год и плановый период;</w:t>
      </w:r>
    </w:p>
    <w:p w:rsidR="004F4CF4" w:rsidRDefault="004F4CF4">
      <w:pPr>
        <w:pStyle w:val="ConsPlusNormal"/>
        <w:spacing w:before="220"/>
        <w:ind w:firstLine="540"/>
        <w:jc w:val="both"/>
      </w:pPr>
      <w:r>
        <w:t xml:space="preserve">з) обязательство юридических лиц, индивидуальных предпринимателей, являющихся резидентами Арктической зоны Российской Федерации, по созданию новых постоянных рабочих </w:t>
      </w:r>
      <w:r>
        <w:lastRenderedPageBreak/>
        <w:t>мест;</w:t>
      </w:r>
    </w:p>
    <w:p w:rsidR="004F4CF4" w:rsidRDefault="004F4CF4">
      <w:pPr>
        <w:pStyle w:val="ConsPlusNormal"/>
        <w:spacing w:before="220"/>
        <w:ind w:firstLine="540"/>
        <w:jc w:val="both"/>
      </w:pPr>
      <w:r>
        <w:t>и) обязательство управляющей компании по возмещению расходов юридических лиц, индивидуальных предпринимателей, являющихся резидентами Арктической зоны Российской Федерации, возникающих в случае несвоевременной уплаты управляющей компанией страховых взносов в соответствии с настоящими Правилами, и ответственность за несоблюдение указанного обязательства;</w:t>
      </w:r>
    </w:p>
    <w:p w:rsidR="004F4CF4" w:rsidRDefault="004F4CF4">
      <w:pPr>
        <w:pStyle w:val="ConsPlusNormal"/>
        <w:spacing w:before="220"/>
        <w:ind w:firstLine="540"/>
        <w:jc w:val="both"/>
      </w:pPr>
      <w:r>
        <w:t>к) иные положения.</w:t>
      </w:r>
    </w:p>
    <w:p w:rsidR="004F4CF4" w:rsidRDefault="004F4CF4">
      <w:pPr>
        <w:pStyle w:val="ConsPlusNormal"/>
        <w:spacing w:before="220"/>
        <w:ind w:firstLine="540"/>
        <w:jc w:val="both"/>
      </w:pPr>
      <w:bookmarkStart w:id="5" w:name="P77"/>
      <w:bookmarkEnd w:id="5"/>
      <w:r>
        <w:t>11. Размер субсидий на очередной финансовый год и плановый период определяется по формуле:</w:t>
      </w:r>
    </w:p>
    <w:p w:rsidR="004F4CF4" w:rsidRDefault="004F4CF4">
      <w:pPr>
        <w:pStyle w:val="ConsPlusNormal"/>
        <w:jc w:val="both"/>
      </w:pPr>
    </w:p>
    <w:p w:rsidR="004F4CF4" w:rsidRDefault="004F4CF4">
      <w:pPr>
        <w:pStyle w:val="ConsPlusNormal"/>
        <w:jc w:val="center"/>
      </w:pPr>
      <w:r w:rsidRPr="001E4824">
        <w:rPr>
          <w:position w:val="-11"/>
        </w:rPr>
        <w:pict>
          <v:shape id="_x0000_i1025" style="width:178.5pt;height:22.5pt" coordsize="" o:spt="100" adj="0,,0" path="" filled="f" stroked="f">
            <v:stroke joinstyle="miter"/>
            <v:imagedata r:id="rId8" o:title="base_1_361481_32768"/>
            <v:formulas/>
            <v:path o:connecttype="segments"/>
          </v:shape>
        </w:pict>
      </w:r>
    </w:p>
    <w:p w:rsidR="004F4CF4" w:rsidRDefault="004F4CF4">
      <w:pPr>
        <w:pStyle w:val="ConsPlusNormal"/>
        <w:jc w:val="both"/>
      </w:pPr>
    </w:p>
    <w:p w:rsidR="004F4CF4" w:rsidRDefault="004F4CF4">
      <w:pPr>
        <w:pStyle w:val="ConsPlusNormal"/>
        <w:ind w:firstLine="540"/>
        <w:jc w:val="both"/>
      </w:pPr>
      <w:r>
        <w:t>где:</w:t>
      </w:r>
    </w:p>
    <w:p w:rsidR="004F4CF4" w:rsidRDefault="004F4CF4">
      <w:pPr>
        <w:pStyle w:val="ConsPlusNormal"/>
        <w:spacing w:before="220"/>
        <w:ind w:firstLine="540"/>
        <w:jc w:val="both"/>
      </w:pPr>
      <w:proofErr w:type="spellStart"/>
      <w:r>
        <w:t>S</w:t>
      </w:r>
      <w:r>
        <w:rPr>
          <w:vertAlign w:val="subscript"/>
        </w:rPr>
        <w:t>i</w:t>
      </w:r>
      <w:proofErr w:type="spellEnd"/>
      <w:r>
        <w:t xml:space="preserve"> - размер субсидий на год;</w:t>
      </w:r>
    </w:p>
    <w:p w:rsidR="004F4CF4" w:rsidRDefault="004F4CF4">
      <w:pPr>
        <w:pStyle w:val="ConsPlusNormal"/>
        <w:spacing w:before="220"/>
        <w:ind w:firstLine="540"/>
        <w:jc w:val="both"/>
      </w:pPr>
      <w:r>
        <w:t>P</w:t>
      </w:r>
      <w:r>
        <w:rPr>
          <w:vertAlign w:val="subscript"/>
        </w:rPr>
        <w:t>1</w:t>
      </w:r>
      <w:r>
        <w:t xml:space="preserve"> - годовой прогноз исчислений страховых взносов на обязательное пенсионное страхование из расчета на одного работника;</w:t>
      </w:r>
    </w:p>
    <w:p w:rsidR="004F4CF4" w:rsidRDefault="004F4CF4">
      <w:pPr>
        <w:pStyle w:val="ConsPlusNormal"/>
        <w:spacing w:before="220"/>
        <w:ind w:firstLine="540"/>
        <w:jc w:val="both"/>
      </w:pPr>
      <w:r>
        <w:t>P</w:t>
      </w:r>
      <w:r>
        <w:rPr>
          <w:vertAlign w:val="subscript"/>
        </w:rPr>
        <w:t>2</w:t>
      </w:r>
      <w:r>
        <w:t xml:space="preserve"> - годовой прогноз исчислений страховых взносов на обязательное социальное страхование на случай временной нетрудоспособности и в связи с материнством из расчета на одного работника;</w:t>
      </w:r>
    </w:p>
    <w:p w:rsidR="004F4CF4" w:rsidRDefault="004F4CF4">
      <w:pPr>
        <w:pStyle w:val="ConsPlusNormal"/>
        <w:spacing w:before="220"/>
        <w:ind w:firstLine="540"/>
        <w:jc w:val="both"/>
      </w:pPr>
      <w:r>
        <w:t>P</w:t>
      </w:r>
      <w:r>
        <w:rPr>
          <w:vertAlign w:val="subscript"/>
        </w:rPr>
        <w:t>3</w:t>
      </w:r>
      <w:r>
        <w:t xml:space="preserve"> - годовой прогноз исчислений страховых взносов на обязательное медицинское страхование из расчета на одного работника.</w:t>
      </w:r>
    </w:p>
    <w:p w:rsidR="004F4CF4" w:rsidRDefault="004F4CF4">
      <w:pPr>
        <w:pStyle w:val="ConsPlusNormal"/>
        <w:spacing w:before="220"/>
        <w:ind w:firstLine="540"/>
        <w:jc w:val="both"/>
      </w:pPr>
      <w:r>
        <w:t>12. Перечисление субсидий осуществляется в форме авансового платежа на счет управляющей компании, открытый территориальным органом Федерального казначейства в учреждении Центрального банка Российской Федерации для учета операций со средствами юридических лиц, не являющихся участниками бюджетного процесса, не позднее 2-го рабочего дня после представления управляющей компанией в территориальный орган Федерального казначейства платежного поручения.</w:t>
      </w:r>
    </w:p>
    <w:p w:rsidR="004F4CF4" w:rsidRDefault="004F4CF4">
      <w:pPr>
        <w:pStyle w:val="ConsPlusNormal"/>
        <w:spacing w:before="220"/>
        <w:ind w:firstLine="540"/>
        <w:jc w:val="both"/>
      </w:pPr>
      <w:bookmarkStart w:id="6" w:name="P87"/>
      <w:bookmarkEnd w:id="6"/>
      <w:r>
        <w:t>13. Предоставление субсидий и расходы, источником финансового обеспечения которых являются субсидии, осуществляется управляющей компанией в соответствии с поквартальным прогнозом расходов, который представляется управляющей компанией в Министерство Российской Федерации по развитию Дальнего Востока и Арктики (в письменной форме и электронном виде) в следующие сроки:</w:t>
      </w:r>
    </w:p>
    <w:p w:rsidR="004F4CF4" w:rsidRDefault="004F4CF4">
      <w:pPr>
        <w:pStyle w:val="ConsPlusNormal"/>
        <w:spacing w:before="220"/>
        <w:ind w:firstLine="540"/>
        <w:jc w:val="both"/>
      </w:pPr>
      <w:r>
        <w:t>а) ежегодно, не позднее 3-го рабочего дня со дня принятия федерального закона о федеральном бюджете на очередной финансовый год и плановый период;</w:t>
      </w:r>
    </w:p>
    <w:p w:rsidR="004F4CF4" w:rsidRDefault="004F4CF4">
      <w:pPr>
        <w:pStyle w:val="ConsPlusNormal"/>
        <w:spacing w:before="220"/>
        <w:ind w:firstLine="540"/>
        <w:jc w:val="both"/>
      </w:pPr>
      <w:r>
        <w:t>б) ежеквартально, не позднее 3-го числа месяца, предшествующего кварталу.</w:t>
      </w:r>
    </w:p>
    <w:p w:rsidR="004F4CF4" w:rsidRDefault="004F4CF4">
      <w:pPr>
        <w:pStyle w:val="ConsPlusNormal"/>
        <w:spacing w:before="220"/>
        <w:ind w:firstLine="540"/>
        <w:jc w:val="both"/>
      </w:pPr>
      <w:bookmarkStart w:id="7" w:name="P90"/>
      <w:bookmarkEnd w:id="7"/>
      <w:r>
        <w:t xml:space="preserve">14. Юридические лица, индивидуальные предприниматели, являющиеся резидентами Арктической зоны Российской Федерации, представляют в управляющую компанию не позднее 5-го числа месяца, следующего за отчетным месяцем, </w:t>
      </w:r>
      <w:hyperlink w:anchor="P133" w:history="1">
        <w:r>
          <w:rPr>
            <w:color w:val="0000FF"/>
          </w:rPr>
          <w:t>сведения</w:t>
        </w:r>
      </w:hyperlink>
      <w:r>
        <w:t xml:space="preserve"> о размерах исчислений страховых взносов.</w:t>
      </w:r>
    </w:p>
    <w:p w:rsidR="004F4CF4" w:rsidRDefault="004F4CF4">
      <w:pPr>
        <w:pStyle w:val="ConsPlusNormal"/>
        <w:spacing w:before="220"/>
        <w:ind w:firstLine="540"/>
        <w:jc w:val="both"/>
      </w:pPr>
      <w:r>
        <w:t>15. Управляющая компания в течение 2 дней:</w:t>
      </w:r>
    </w:p>
    <w:p w:rsidR="004F4CF4" w:rsidRDefault="004F4CF4">
      <w:pPr>
        <w:pStyle w:val="ConsPlusNormal"/>
        <w:spacing w:before="220"/>
        <w:ind w:firstLine="540"/>
        <w:jc w:val="both"/>
      </w:pPr>
      <w:r>
        <w:t xml:space="preserve">а) регистрирует в порядке очередности </w:t>
      </w:r>
      <w:hyperlink w:anchor="P133" w:history="1">
        <w:r>
          <w:rPr>
            <w:color w:val="0000FF"/>
          </w:rPr>
          <w:t>сведения</w:t>
        </w:r>
      </w:hyperlink>
      <w:r>
        <w:t xml:space="preserve"> о размерах исчислений страховых взносов, представленные в соответствии с </w:t>
      </w:r>
      <w:hyperlink w:anchor="P90" w:history="1">
        <w:r>
          <w:rPr>
            <w:color w:val="0000FF"/>
          </w:rPr>
          <w:t>пунктом 14</w:t>
        </w:r>
      </w:hyperlink>
      <w:r>
        <w:t xml:space="preserve"> настоящих Правил;</w:t>
      </w:r>
    </w:p>
    <w:p w:rsidR="004F4CF4" w:rsidRDefault="004F4CF4">
      <w:pPr>
        <w:pStyle w:val="ConsPlusNormal"/>
        <w:spacing w:before="220"/>
        <w:ind w:firstLine="540"/>
        <w:jc w:val="both"/>
      </w:pPr>
      <w:r>
        <w:lastRenderedPageBreak/>
        <w:t>б) проверяет полноту содержащихся в них сведений;</w:t>
      </w:r>
    </w:p>
    <w:p w:rsidR="004F4CF4" w:rsidRDefault="004F4CF4">
      <w:pPr>
        <w:pStyle w:val="ConsPlusNormal"/>
        <w:spacing w:before="220"/>
        <w:ind w:firstLine="540"/>
        <w:jc w:val="both"/>
      </w:pPr>
      <w:r>
        <w:t>в) проверяет наличие средств субсидий на лицевом счете управляющей компании.</w:t>
      </w:r>
    </w:p>
    <w:p w:rsidR="004F4CF4" w:rsidRDefault="004F4CF4">
      <w:pPr>
        <w:pStyle w:val="ConsPlusNormal"/>
        <w:spacing w:before="220"/>
        <w:ind w:firstLine="540"/>
        <w:jc w:val="both"/>
      </w:pPr>
      <w:bookmarkStart w:id="8" w:name="P95"/>
      <w:bookmarkEnd w:id="8"/>
      <w:r>
        <w:t xml:space="preserve">16. Основаниями для возврата </w:t>
      </w:r>
      <w:hyperlink w:anchor="P133" w:history="1">
        <w:r>
          <w:rPr>
            <w:color w:val="0000FF"/>
          </w:rPr>
          <w:t>сведений</w:t>
        </w:r>
      </w:hyperlink>
      <w:r>
        <w:t xml:space="preserve"> о размерах исчислений страховых взносов являются:</w:t>
      </w:r>
    </w:p>
    <w:p w:rsidR="004F4CF4" w:rsidRDefault="004F4CF4">
      <w:pPr>
        <w:pStyle w:val="ConsPlusNormal"/>
        <w:spacing w:before="220"/>
        <w:ind w:firstLine="540"/>
        <w:jc w:val="both"/>
      </w:pPr>
      <w:r>
        <w:t xml:space="preserve">а) недостаточность или недостоверность информации, содержащейся в представленных </w:t>
      </w:r>
      <w:hyperlink w:anchor="P133" w:history="1">
        <w:r>
          <w:rPr>
            <w:color w:val="0000FF"/>
          </w:rPr>
          <w:t>сведениях</w:t>
        </w:r>
      </w:hyperlink>
      <w:r>
        <w:t xml:space="preserve"> о размерах исчислений страховых взносов;</w:t>
      </w:r>
    </w:p>
    <w:p w:rsidR="004F4CF4" w:rsidRDefault="004F4CF4">
      <w:pPr>
        <w:pStyle w:val="ConsPlusNormal"/>
        <w:spacing w:before="220"/>
        <w:ind w:firstLine="540"/>
        <w:jc w:val="both"/>
      </w:pPr>
      <w:r>
        <w:t xml:space="preserve">б) отсутствие на лицевом счете управляющей компании средств субсидий, необходимых в соответствии со </w:t>
      </w:r>
      <w:hyperlink w:anchor="P133" w:history="1">
        <w:r>
          <w:rPr>
            <w:color w:val="0000FF"/>
          </w:rPr>
          <w:t>сведениями</w:t>
        </w:r>
      </w:hyperlink>
      <w:r>
        <w:t xml:space="preserve"> о размерах исчислений страховых взносов.</w:t>
      </w:r>
    </w:p>
    <w:p w:rsidR="004F4CF4" w:rsidRDefault="004F4CF4">
      <w:pPr>
        <w:pStyle w:val="ConsPlusNormal"/>
        <w:spacing w:before="220"/>
        <w:ind w:firstLine="540"/>
        <w:jc w:val="both"/>
      </w:pPr>
      <w:r>
        <w:t xml:space="preserve">17. В случае принятия решения о возврате </w:t>
      </w:r>
      <w:hyperlink w:anchor="P133" w:history="1">
        <w:r>
          <w:rPr>
            <w:color w:val="0000FF"/>
          </w:rPr>
          <w:t>сведений</w:t>
        </w:r>
      </w:hyperlink>
      <w:r>
        <w:t xml:space="preserve"> о размерах исчислений страховых взносов, </w:t>
      </w:r>
      <w:proofErr w:type="gramStart"/>
      <w:r>
        <w:t>основания</w:t>
      </w:r>
      <w:proofErr w:type="gramEnd"/>
      <w:r>
        <w:t xml:space="preserve"> для возврата которых определены </w:t>
      </w:r>
      <w:hyperlink w:anchor="P95" w:history="1">
        <w:r>
          <w:rPr>
            <w:color w:val="0000FF"/>
          </w:rPr>
          <w:t>пунктом 16</w:t>
        </w:r>
      </w:hyperlink>
      <w:r>
        <w:t xml:space="preserve"> настоящих Правил, управляющая компания в течение дня со дня принятия решения уведомляет и возвращает представленные </w:t>
      </w:r>
      <w:hyperlink w:anchor="P133" w:history="1">
        <w:r>
          <w:rPr>
            <w:color w:val="0000FF"/>
          </w:rPr>
          <w:t>сведения</w:t>
        </w:r>
      </w:hyperlink>
      <w:r>
        <w:t xml:space="preserve"> о размерах исчислений страховых взносов.</w:t>
      </w:r>
    </w:p>
    <w:p w:rsidR="004F4CF4" w:rsidRDefault="004F4CF4">
      <w:pPr>
        <w:pStyle w:val="ConsPlusNormal"/>
        <w:spacing w:before="220"/>
        <w:ind w:firstLine="540"/>
        <w:jc w:val="both"/>
      </w:pPr>
      <w:r>
        <w:t xml:space="preserve">В этом случае уплата страховых взносов за юридических лиц, индивидуальных предпринимателей, являющихся резидентами Арктической зоны Российской Федерации, за счет средств, источником финансового обеспечения которых являются </w:t>
      </w:r>
      <w:proofErr w:type="gramStart"/>
      <w:r>
        <w:t>субсидии, управляющей компанией не осуществляется</w:t>
      </w:r>
      <w:proofErr w:type="gramEnd"/>
      <w:r>
        <w:t>.</w:t>
      </w:r>
    </w:p>
    <w:p w:rsidR="004F4CF4" w:rsidRDefault="004F4CF4">
      <w:pPr>
        <w:pStyle w:val="ConsPlusNormal"/>
        <w:spacing w:before="220"/>
        <w:ind w:firstLine="540"/>
        <w:jc w:val="both"/>
      </w:pPr>
      <w:r>
        <w:t xml:space="preserve">18. </w:t>
      </w:r>
      <w:proofErr w:type="gramStart"/>
      <w:r>
        <w:t xml:space="preserve">В случае принятия </w:t>
      </w:r>
      <w:hyperlink w:anchor="P133" w:history="1">
        <w:r>
          <w:rPr>
            <w:color w:val="0000FF"/>
          </w:rPr>
          <w:t>сведений</w:t>
        </w:r>
      </w:hyperlink>
      <w:r>
        <w:t xml:space="preserve"> о размерах исчислений страховых взносов управляющая компания осуществляет за счет средств, источником финансового обеспечения которых являются субсидии, уплату страховых взносов за юридических лиц, индивидуальных предпринимателей, являющихся резидентами Арктической зоны Российской Федерации, в размере, указанном в </w:t>
      </w:r>
      <w:hyperlink w:anchor="P37" w:history="1">
        <w:r>
          <w:rPr>
            <w:color w:val="0000FF"/>
          </w:rPr>
          <w:t>пункте 2</w:t>
        </w:r>
      </w:hyperlink>
      <w:r>
        <w:t xml:space="preserve"> настоящих Правил, и в срок, установленный законодательством Российской Федерации о налогах и сборах.</w:t>
      </w:r>
      <w:proofErr w:type="gramEnd"/>
    </w:p>
    <w:p w:rsidR="004F4CF4" w:rsidRDefault="004F4CF4">
      <w:pPr>
        <w:pStyle w:val="ConsPlusNormal"/>
        <w:spacing w:before="220"/>
        <w:ind w:firstLine="540"/>
        <w:jc w:val="both"/>
      </w:pPr>
      <w:r>
        <w:t xml:space="preserve">19. </w:t>
      </w:r>
      <w:proofErr w:type="gramStart"/>
      <w:r>
        <w:t xml:space="preserve">В целях планирования размера субсидий на очередной финансовый год и плановый период управляющая компания представляет в Министерство Российской Федерации по развитию Дальнего Востока и Арктики информацию о прогнозе размера субсидий на очередной финансовый год и плановый период, рассчитанного в соответствии с </w:t>
      </w:r>
      <w:hyperlink w:anchor="P77" w:history="1">
        <w:r>
          <w:rPr>
            <w:color w:val="0000FF"/>
          </w:rPr>
          <w:t>пунктом 11</w:t>
        </w:r>
      </w:hyperlink>
      <w:r>
        <w:t xml:space="preserve"> настоящих Правил, по форме, установленной соглашением (в письменной форме и электронном виде), не позднее 30 апреля и</w:t>
      </w:r>
      <w:proofErr w:type="gramEnd"/>
      <w:r>
        <w:t xml:space="preserve"> 1 июля текущего финансового года.</w:t>
      </w:r>
    </w:p>
    <w:p w:rsidR="004F4CF4" w:rsidRDefault="004F4CF4">
      <w:pPr>
        <w:pStyle w:val="ConsPlusNormal"/>
        <w:spacing w:before="220"/>
        <w:ind w:firstLine="540"/>
        <w:jc w:val="both"/>
      </w:pPr>
      <w:bookmarkStart w:id="9" w:name="P102"/>
      <w:bookmarkEnd w:id="9"/>
      <w:r>
        <w:t>20. Юридические лица, индивидуальные предприниматели, являющиеся резидентами Арктической зоны Российской Федерации, не позднее 5-го числа 2-го месяца, следующего за отчетным кварталом, запрашивают в территориальных налоговых органах справки о состоянии расчетов по страховым взносам по состоянию на 1-е число 2-го месяца, следующего за отчетным кварталом (далее - справки).</w:t>
      </w:r>
    </w:p>
    <w:p w:rsidR="004F4CF4" w:rsidRDefault="004F4CF4">
      <w:pPr>
        <w:pStyle w:val="ConsPlusNormal"/>
        <w:spacing w:before="220"/>
        <w:ind w:firstLine="540"/>
        <w:jc w:val="both"/>
      </w:pPr>
      <w:bookmarkStart w:id="10" w:name="P103"/>
      <w:bookmarkEnd w:id="10"/>
      <w:r>
        <w:t xml:space="preserve">21. </w:t>
      </w:r>
      <w:proofErr w:type="gramStart"/>
      <w:r>
        <w:t xml:space="preserve">Юридические лица, индивидуальные предприниматели, являющиеся резидентами Арктической зоны Российской Федерации, в течение 3 рабочих дней со дня поступления справок, указанных в </w:t>
      </w:r>
      <w:hyperlink w:anchor="P102" w:history="1">
        <w:r>
          <w:rPr>
            <w:color w:val="0000FF"/>
          </w:rPr>
          <w:t>пункте 20</w:t>
        </w:r>
      </w:hyperlink>
      <w:r>
        <w:t xml:space="preserve"> настоящих Правил, направляют их в управляющую компанию с приложением копий документов, подтверждающих уплату страховых взносов в размере, обеспечивающем исполнение обязательств в соответствии с законодательством Российской Федерации о налогах и сборах, и пояснительной запиской к ним.</w:t>
      </w:r>
      <w:proofErr w:type="gramEnd"/>
    </w:p>
    <w:p w:rsidR="004F4CF4" w:rsidRDefault="004F4CF4">
      <w:pPr>
        <w:pStyle w:val="ConsPlusNormal"/>
        <w:spacing w:before="220"/>
        <w:ind w:firstLine="540"/>
        <w:jc w:val="both"/>
      </w:pPr>
      <w:r>
        <w:t xml:space="preserve">22. </w:t>
      </w:r>
      <w:proofErr w:type="gramStart"/>
      <w:r>
        <w:t xml:space="preserve">Управляющая компания не позднее 5 рабочих дней со дня поступления справок, указанных в </w:t>
      </w:r>
      <w:hyperlink w:anchor="P103" w:history="1">
        <w:r>
          <w:rPr>
            <w:color w:val="0000FF"/>
          </w:rPr>
          <w:t>пункте 21</w:t>
        </w:r>
      </w:hyperlink>
      <w:r>
        <w:t xml:space="preserve"> настоящих Правил, на основе ежемесячно представляемых юридическими лицами, индивидуальными предпринимателями, являющимися резидентами Арктической зоны Российской Федерации, </w:t>
      </w:r>
      <w:hyperlink w:anchor="P133" w:history="1">
        <w:r>
          <w:rPr>
            <w:color w:val="0000FF"/>
          </w:rPr>
          <w:t>сведений</w:t>
        </w:r>
      </w:hyperlink>
      <w:r>
        <w:t xml:space="preserve"> о размерах исчислений страховых взносов и платежных документов по расходам, источником финансового обеспечения которых являлись субсидии, представляет в Министерство Российской Федерации по развитию Дальнего Востока и Арктики </w:t>
      </w:r>
      <w:r>
        <w:lastRenderedPageBreak/>
        <w:t>отчет</w:t>
      </w:r>
      <w:proofErr w:type="gramEnd"/>
      <w:r>
        <w:t xml:space="preserve"> об осуществлении расходов, источником финансового обеспечения которых являются субсидии, за отчетный квартал по форме, установленной соглашением.</w:t>
      </w:r>
    </w:p>
    <w:p w:rsidR="004F4CF4" w:rsidRDefault="004F4CF4">
      <w:pPr>
        <w:pStyle w:val="ConsPlusNormal"/>
        <w:spacing w:before="220"/>
        <w:ind w:firstLine="540"/>
        <w:jc w:val="both"/>
      </w:pPr>
      <w:r>
        <w:t>23. Результатами предоставления субсидий, значения которых устанавливаются в соглашении, являются:</w:t>
      </w:r>
    </w:p>
    <w:p w:rsidR="004F4CF4" w:rsidRDefault="004F4CF4">
      <w:pPr>
        <w:pStyle w:val="ConsPlusNormal"/>
        <w:spacing w:before="220"/>
        <w:ind w:firstLine="540"/>
        <w:jc w:val="both"/>
      </w:pPr>
      <w:proofErr w:type="gramStart"/>
      <w:r>
        <w:t>а) уплата юридическими лицами, индивидуальными предпринимателями, являющимися резидентами Арктической зоны Российской Федерации, страховых взносов в порядке и размерах, установленных законодательством Российской Федерации о налогах и сборах;</w:t>
      </w:r>
      <w:proofErr w:type="gramEnd"/>
    </w:p>
    <w:p w:rsidR="004F4CF4" w:rsidRDefault="004F4CF4">
      <w:pPr>
        <w:pStyle w:val="ConsPlusNormal"/>
        <w:spacing w:before="220"/>
        <w:ind w:firstLine="540"/>
        <w:jc w:val="both"/>
      </w:pPr>
      <w:bookmarkStart w:id="11" w:name="P107"/>
      <w:bookmarkEnd w:id="11"/>
      <w:r>
        <w:t>б) прирост новых постоянных рабочих мест, создаваемых юридическими лицами, индивидуальными предпринимателями, являющимися резидентами Арктической зоны Российской Федерации.</w:t>
      </w:r>
    </w:p>
    <w:p w:rsidR="004F4CF4" w:rsidRDefault="004F4CF4">
      <w:pPr>
        <w:pStyle w:val="ConsPlusNormal"/>
        <w:spacing w:before="220"/>
        <w:ind w:firstLine="540"/>
        <w:jc w:val="both"/>
      </w:pPr>
      <w:r>
        <w:t>24. Достижение установленных соглашением значений результатов предоставления субсидий оценивается Министерством Российской Федерации по развитию Дальнего Востока и Арктики на основании:</w:t>
      </w:r>
    </w:p>
    <w:p w:rsidR="004F4CF4" w:rsidRDefault="004F4CF4">
      <w:pPr>
        <w:pStyle w:val="ConsPlusNormal"/>
        <w:spacing w:before="220"/>
        <w:ind w:firstLine="540"/>
        <w:jc w:val="both"/>
      </w:pPr>
      <w:proofErr w:type="gramStart"/>
      <w:r>
        <w:t>а) выполненных юридическими лицами, индивидуальными предпринимателями, являющимися резидентами Арктической зоны Российской Федерации, установленных законодательством Российской Федерации о налогах и сборах обязательств по уплате страховых взносов;</w:t>
      </w:r>
      <w:proofErr w:type="gramEnd"/>
    </w:p>
    <w:p w:rsidR="004F4CF4" w:rsidRDefault="004F4CF4">
      <w:pPr>
        <w:pStyle w:val="ConsPlusNormal"/>
        <w:spacing w:before="220"/>
        <w:ind w:firstLine="540"/>
        <w:jc w:val="both"/>
      </w:pPr>
      <w:r>
        <w:t xml:space="preserve">б) сравнения фактически достигнутых значений результата предоставления субсидий, указанного в </w:t>
      </w:r>
      <w:hyperlink w:anchor="P107" w:history="1">
        <w:r>
          <w:rPr>
            <w:color w:val="0000FF"/>
          </w:rPr>
          <w:t>подпункте "б" пункта 23</w:t>
        </w:r>
      </w:hyperlink>
      <w:r>
        <w:t xml:space="preserve"> настоящих Правил, и его плановых значений, предусмотренных соглашением.</w:t>
      </w:r>
    </w:p>
    <w:p w:rsidR="004F4CF4" w:rsidRDefault="004F4CF4">
      <w:pPr>
        <w:pStyle w:val="ConsPlusNormal"/>
        <w:spacing w:before="220"/>
        <w:ind w:firstLine="540"/>
        <w:jc w:val="both"/>
      </w:pPr>
      <w:r>
        <w:t xml:space="preserve">25. Управляющая компания не позднее 15 марта года, следующего за годом получения субсидий, представляет в Министерство Российской Федерации по развитию Дальнего Востока и Арктики отчет о достижении значений результатов предоставления субсидии по форме, установленной в </w:t>
      </w:r>
      <w:hyperlink w:anchor="P221" w:history="1">
        <w:r>
          <w:rPr>
            <w:color w:val="0000FF"/>
          </w:rPr>
          <w:t>приложении N 2</w:t>
        </w:r>
      </w:hyperlink>
      <w:r>
        <w:t>.</w:t>
      </w:r>
    </w:p>
    <w:p w:rsidR="004F4CF4" w:rsidRDefault="004F4CF4">
      <w:pPr>
        <w:pStyle w:val="ConsPlusNormal"/>
        <w:spacing w:before="220"/>
        <w:ind w:firstLine="540"/>
        <w:jc w:val="both"/>
      </w:pPr>
      <w:r>
        <w:t xml:space="preserve">26. </w:t>
      </w:r>
      <w:proofErr w:type="gramStart"/>
      <w:r>
        <w:t xml:space="preserve">В случае установления по результатам проверок, проведенных Министерством Российской Федерации по развитию Дальнего Востока и Арктики и (или) органом государственного финансового контроля, факта нарушения управляющей компанией целей, условий и порядка, установленных при предоставлении субсидий, а также </w:t>
      </w:r>
      <w:proofErr w:type="spellStart"/>
      <w:r>
        <w:t>недостижения</w:t>
      </w:r>
      <w:proofErr w:type="spellEnd"/>
      <w:r>
        <w:t xml:space="preserve"> установленных соглашением значений, необходимых для достижения результатов предоставления субсидий, соответствующие средства подлежат возврату в доход федерального бюджета:</w:t>
      </w:r>
      <w:proofErr w:type="gramEnd"/>
    </w:p>
    <w:p w:rsidR="004F4CF4" w:rsidRDefault="004F4CF4">
      <w:pPr>
        <w:pStyle w:val="ConsPlusNormal"/>
        <w:spacing w:before="220"/>
        <w:ind w:firstLine="540"/>
        <w:jc w:val="both"/>
      </w:pPr>
      <w:r>
        <w:t>а) на основании требования Министерства Российской Федерации по развитию Дальнего Востока и Арктики - не позднее 10-го рабочего дня со дня получения управляющей компанией указанного требования;</w:t>
      </w:r>
    </w:p>
    <w:p w:rsidR="004F4CF4" w:rsidRDefault="004F4CF4">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4F4CF4" w:rsidRDefault="004F4CF4">
      <w:pPr>
        <w:pStyle w:val="ConsPlusNormal"/>
        <w:spacing w:before="220"/>
        <w:ind w:firstLine="540"/>
        <w:jc w:val="both"/>
      </w:pPr>
      <w:r>
        <w:t xml:space="preserve">27. </w:t>
      </w:r>
      <w:proofErr w:type="gramStart"/>
      <w:r>
        <w:t>Контроль за</w:t>
      </w:r>
      <w:proofErr w:type="gramEnd"/>
      <w:r>
        <w:t xml:space="preserve"> соблюдением целей, условий и порядка предоставления субсидий осуществляется Министерством Российской Федерации по развитию Дальнего Востока и Арктики и органом государственного финансового контроля.</w:t>
      </w: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right"/>
        <w:outlineLvl w:val="1"/>
      </w:pPr>
      <w:r>
        <w:lastRenderedPageBreak/>
        <w:t>Приложение N 1</w:t>
      </w:r>
    </w:p>
    <w:p w:rsidR="004F4CF4" w:rsidRDefault="004F4CF4">
      <w:pPr>
        <w:pStyle w:val="ConsPlusNormal"/>
        <w:jc w:val="right"/>
      </w:pPr>
      <w:r>
        <w:t>к Правилам предоставления</w:t>
      </w:r>
    </w:p>
    <w:p w:rsidR="004F4CF4" w:rsidRDefault="004F4CF4">
      <w:pPr>
        <w:pStyle w:val="ConsPlusNormal"/>
        <w:jc w:val="right"/>
      </w:pPr>
      <w:r>
        <w:t>из федерального бюджета субсидий</w:t>
      </w:r>
    </w:p>
    <w:p w:rsidR="004F4CF4" w:rsidRDefault="004F4CF4">
      <w:pPr>
        <w:pStyle w:val="ConsPlusNormal"/>
        <w:jc w:val="right"/>
      </w:pPr>
      <w:r>
        <w:t>на возмещение затрат по уплате</w:t>
      </w:r>
    </w:p>
    <w:p w:rsidR="004F4CF4" w:rsidRDefault="004F4CF4">
      <w:pPr>
        <w:pStyle w:val="ConsPlusNormal"/>
        <w:jc w:val="right"/>
      </w:pPr>
      <w:r>
        <w:t>страховых взносов, возникающих</w:t>
      </w:r>
    </w:p>
    <w:p w:rsidR="004F4CF4" w:rsidRDefault="004F4CF4">
      <w:pPr>
        <w:pStyle w:val="ConsPlusNormal"/>
        <w:jc w:val="right"/>
      </w:pPr>
      <w:r>
        <w:t>у юридических лиц, индивидуальных</w:t>
      </w:r>
    </w:p>
    <w:p w:rsidR="004F4CF4" w:rsidRDefault="004F4CF4">
      <w:pPr>
        <w:pStyle w:val="ConsPlusNormal"/>
        <w:jc w:val="right"/>
      </w:pPr>
      <w:r>
        <w:t>предпринимателей, являющихся</w:t>
      </w:r>
    </w:p>
    <w:p w:rsidR="004F4CF4" w:rsidRDefault="004F4CF4">
      <w:pPr>
        <w:pStyle w:val="ConsPlusNormal"/>
        <w:jc w:val="right"/>
      </w:pPr>
      <w:r>
        <w:t>резидентами Арктической зоны</w:t>
      </w:r>
    </w:p>
    <w:p w:rsidR="004F4CF4" w:rsidRDefault="004F4CF4">
      <w:pPr>
        <w:pStyle w:val="ConsPlusNormal"/>
        <w:jc w:val="right"/>
      </w:pPr>
      <w:r>
        <w:t>Российской Федерации</w:t>
      </w:r>
    </w:p>
    <w:p w:rsidR="004F4CF4" w:rsidRDefault="004F4CF4">
      <w:pPr>
        <w:pStyle w:val="ConsPlusNormal"/>
        <w:jc w:val="both"/>
      </w:pPr>
    </w:p>
    <w:p w:rsidR="004F4CF4" w:rsidRDefault="004F4CF4">
      <w:pPr>
        <w:pStyle w:val="ConsPlusNormal"/>
        <w:jc w:val="right"/>
      </w:pPr>
      <w:r>
        <w:t>(форма)</w:t>
      </w:r>
    </w:p>
    <w:p w:rsidR="004F4CF4" w:rsidRDefault="004F4CF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0"/>
        <w:gridCol w:w="8107"/>
        <w:gridCol w:w="453"/>
      </w:tblGrid>
      <w:tr w:rsidR="004F4CF4">
        <w:tc>
          <w:tcPr>
            <w:tcW w:w="9070" w:type="dxa"/>
            <w:gridSpan w:val="3"/>
            <w:tcBorders>
              <w:top w:val="nil"/>
              <w:left w:val="nil"/>
              <w:bottom w:val="nil"/>
              <w:right w:val="nil"/>
            </w:tcBorders>
          </w:tcPr>
          <w:p w:rsidR="004F4CF4" w:rsidRDefault="004F4CF4">
            <w:pPr>
              <w:pStyle w:val="ConsPlusNormal"/>
              <w:jc w:val="center"/>
            </w:pPr>
            <w:bookmarkStart w:id="12" w:name="P133"/>
            <w:bookmarkEnd w:id="12"/>
            <w:r>
              <w:t>Сведения</w:t>
            </w:r>
          </w:p>
          <w:p w:rsidR="004F4CF4" w:rsidRDefault="004F4CF4">
            <w:pPr>
              <w:pStyle w:val="ConsPlusNormal"/>
              <w:jc w:val="center"/>
            </w:pPr>
            <w:r>
              <w:t>о размерах исчислений страховых взносов, подлежащих уплате за отчетный месяц</w:t>
            </w:r>
          </w:p>
          <w:p w:rsidR="004F4CF4" w:rsidRDefault="004F4CF4">
            <w:pPr>
              <w:pStyle w:val="ConsPlusNormal"/>
              <w:jc w:val="center"/>
            </w:pPr>
            <w:r>
              <w:t>от "__" _____________________ 20__ г.</w:t>
            </w:r>
          </w:p>
        </w:tc>
      </w:tr>
      <w:tr w:rsidR="004F4CF4">
        <w:tc>
          <w:tcPr>
            <w:tcW w:w="510" w:type="dxa"/>
            <w:tcBorders>
              <w:top w:val="nil"/>
              <w:left w:val="nil"/>
              <w:bottom w:val="nil"/>
              <w:right w:val="nil"/>
            </w:tcBorders>
          </w:tcPr>
          <w:p w:rsidR="004F4CF4" w:rsidRDefault="004F4CF4">
            <w:pPr>
              <w:pStyle w:val="ConsPlusNormal"/>
            </w:pPr>
          </w:p>
        </w:tc>
        <w:tc>
          <w:tcPr>
            <w:tcW w:w="8107" w:type="dxa"/>
            <w:tcBorders>
              <w:top w:val="nil"/>
              <w:left w:val="nil"/>
              <w:bottom w:val="single" w:sz="4" w:space="0" w:color="auto"/>
              <w:right w:val="nil"/>
            </w:tcBorders>
          </w:tcPr>
          <w:p w:rsidR="004F4CF4" w:rsidRDefault="004F4CF4">
            <w:pPr>
              <w:pStyle w:val="ConsPlusNormal"/>
            </w:pPr>
          </w:p>
        </w:tc>
        <w:tc>
          <w:tcPr>
            <w:tcW w:w="453" w:type="dxa"/>
            <w:tcBorders>
              <w:top w:val="nil"/>
              <w:left w:val="nil"/>
              <w:bottom w:val="nil"/>
              <w:right w:val="nil"/>
            </w:tcBorders>
          </w:tcPr>
          <w:p w:rsidR="004F4CF4" w:rsidRDefault="004F4CF4">
            <w:pPr>
              <w:pStyle w:val="ConsPlusNormal"/>
            </w:pPr>
          </w:p>
        </w:tc>
      </w:tr>
      <w:tr w:rsidR="004F4CF4">
        <w:tc>
          <w:tcPr>
            <w:tcW w:w="510" w:type="dxa"/>
            <w:tcBorders>
              <w:top w:val="nil"/>
              <w:left w:val="nil"/>
              <w:bottom w:val="nil"/>
              <w:right w:val="nil"/>
            </w:tcBorders>
          </w:tcPr>
          <w:p w:rsidR="004F4CF4" w:rsidRDefault="004F4CF4">
            <w:pPr>
              <w:pStyle w:val="ConsPlusNormal"/>
            </w:pPr>
          </w:p>
        </w:tc>
        <w:tc>
          <w:tcPr>
            <w:tcW w:w="8107" w:type="dxa"/>
            <w:tcBorders>
              <w:top w:val="single" w:sz="4" w:space="0" w:color="auto"/>
              <w:left w:val="nil"/>
              <w:bottom w:val="nil"/>
              <w:right w:val="nil"/>
            </w:tcBorders>
          </w:tcPr>
          <w:p w:rsidR="004F4CF4" w:rsidRDefault="004F4CF4">
            <w:pPr>
              <w:pStyle w:val="ConsPlusNormal"/>
              <w:jc w:val="center"/>
            </w:pPr>
            <w:r>
              <w:t>(наименование юридического лица, индивидуального предпринимателя)</w:t>
            </w:r>
          </w:p>
        </w:tc>
        <w:tc>
          <w:tcPr>
            <w:tcW w:w="453" w:type="dxa"/>
            <w:tcBorders>
              <w:top w:val="nil"/>
              <w:left w:val="nil"/>
              <w:bottom w:val="nil"/>
              <w:right w:val="nil"/>
            </w:tcBorders>
          </w:tcPr>
          <w:p w:rsidR="004F4CF4" w:rsidRDefault="004F4CF4">
            <w:pPr>
              <w:pStyle w:val="ConsPlusNormal"/>
            </w:pPr>
          </w:p>
        </w:tc>
      </w:tr>
    </w:tbl>
    <w:p w:rsidR="004F4CF4" w:rsidRDefault="004F4CF4">
      <w:pPr>
        <w:pStyle w:val="ConsPlusNormal"/>
        <w:jc w:val="both"/>
      </w:pPr>
    </w:p>
    <w:p w:rsidR="004F4CF4" w:rsidRDefault="004F4CF4">
      <w:pPr>
        <w:sectPr w:rsidR="004F4CF4" w:rsidSect="0013590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622"/>
        <w:gridCol w:w="510"/>
        <w:gridCol w:w="510"/>
        <w:gridCol w:w="510"/>
        <w:gridCol w:w="1135"/>
        <w:gridCol w:w="566"/>
        <w:gridCol w:w="454"/>
        <w:gridCol w:w="567"/>
        <w:gridCol w:w="737"/>
        <w:gridCol w:w="507"/>
        <w:gridCol w:w="679"/>
        <w:gridCol w:w="679"/>
        <w:gridCol w:w="624"/>
        <w:gridCol w:w="623"/>
        <w:gridCol w:w="396"/>
        <w:gridCol w:w="906"/>
        <w:gridCol w:w="1303"/>
        <w:gridCol w:w="1303"/>
        <w:gridCol w:w="1190"/>
        <w:gridCol w:w="907"/>
        <w:gridCol w:w="734"/>
      </w:tblGrid>
      <w:tr w:rsidR="004F4CF4">
        <w:tc>
          <w:tcPr>
            <w:tcW w:w="397" w:type="dxa"/>
            <w:vMerge w:val="restart"/>
          </w:tcPr>
          <w:p w:rsidR="004F4CF4" w:rsidRDefault="004F4CF4">
            <w:pPr>
              <w:pStyle w:val="ConsPlusNormal"/>
              <w:jc w:val="center"/>
            </w:pPr>
            <w:r>
              <w:lastRenderedPageBreak/>
              <w:t xml:space="preserve">N </w:t>
            </w:r>
            <w:proofErr w:type="gramStart"/>
            <w:r>
              <w:t>п</w:t>
            </w:r>
            <w:proofErr w:type="gramEnd"/>
            <w:r>
              <w:t>/п</w:t>
            </w:r>
          </w:p>
        </w:tc>
        <w:tc>
          <w:tcPr>
            <w:tcW w:w="1642" w:type="dxa"/>
            <w:gridSpan w:val="3"/>
          </w:tcPr>
          <w:p w:rsidR="004F4CF4" w:rsidRDefault="004F4CF4">
            <w:pPr>
              <w:pStyle w:val="ConsPlusNormal"/>
              <w:jc w:val="center"/>
            </w:pPr>
            <w:r>
              <w:t>Плательщик</w:t>
            </w:r>
          </w:p>
        </w:tc>
        <w:tc>
          <w:tcPr>
            <w:tcW w:w="510" w:type="dxa"/>
            <w:vMerge w:val="restart"/>
          </w:tcPr>
          <w:p w:rsidR="004F4CF4" w:rsidRDefault="004F4CF4">
            <w:pPr>
              <w:pStyle w:val="ConsPlusNormal"/>
              <w:jc w:val="center"/>
            </w:pPr>
            <w:r>
              <w:t>Код по БК</w:t>
            </w:r>
          </w:p>
        </w:tc>
        <w:tc>
          <w:tcPr>
            <w:tcW w:w="3966" w:type="dxa"/>
            <w:gridSpan w:val="6"/>
          </w:tcPr>
          <w:p w:rsidR="004F4CF4" w:rsidRDefault="004F4CF4">
            <w:pPr>
              <w:pStyle w:val="ConsPlusNormal"/>
              <w:jc w:val="center"/>
            </w:pPr>
            <w:r>
              <w:t>Реквизиты получателя платежа</w:t>
            </w:r>
          </w:p>
        </w:tc>
        <w:tc>
          <w:tcPr>
            <w:tcW w:w="3907" w:type="dxa"/>
            <w:gridSpan w:val="6"/>
          </w:tcPr>
          <w:p w:rsidR="004F4CF4" w:rsidRDefault="004F4CF4">
            <w:pPr>
              <w:pStyle w:val="ConsPlusNormal"/>
              <w:jc w:val="center"/>
            </w:pPr>
            <w:r>
              <w:t>Реквизиты налоговых платежей</w:t>
            </w:r>
          </w:p>
        </w:tc>
        <w:tc>
          <w:tcPr>
            <w:tcW w:w="3796" w:type="dxa"/>
            <w:gridSpan w:val="3"/>
          </w:tcPr>
          <w:p w:rsidR="004F4CF4" w:rsidRDefault="004F4CF4">
            <w:pPr>
              <w:pStyle w:val="ConsPlusNormal"/>
              <w:jc w:val="center"/>
            </w:pPr>
            <w:r>
              <w:t xml:space="preserve">Сумма (рублей) </w:t>
            </w:r>
            <w:hyperlink w:anchor="P203" w:history="1">
              <w:r>
                <w:rPr>
                  <w:color w:val="0000FF"/>
                </w:rPr>
                <w:t>&lt;*&gt;</w:t>
              </w:r>
            </w:hyperlink>
          </w:p>
        </w:tc>
        <w:tc>
          <w:tcPr>
            <w:tcW w:w="907" w:type="dxa"/>
            <w:vMerge w:val="restart"/>
          </w:tcPr>
          <w:p w:rsidR="004F4CF4" w:rsidRDefault="004F4CF4">
            <w:pPr>
              <w:pStyle w:val="ConsPlusNormal"/>
              <w:jc w:val="center"/>
            </w:pPr>
            <w:r>
              <w:t>Назначение платежа</w:t>
            </w:r>
          </w:p>
        </w:tc>
        <w:tc>
          <w:tcPr>
            <w:tcW w:w="734" w:type="dxa"/>
            <w:vMerge w:val="restart"/>
          </w:tcPr>
          <w:p w:rsidR="004F4CF4" w:rsidRDefault="004F4CF4">
            <w:pPr>
              <w:pStyle w:val="ConsPlusNormal"/>
              <w:jc w:val="center"/>
            </w:pPr>
            <w:r>
              <w:t>Примечание</w:t>
            </w:r>
          </w:p>
        </w:tc>
      </w:tr>
      <w:tr w:rsidR="004F4CF4">
        <w:tc>
          <w:tcPr>
            <w:tcW w:w="397" w:type="dxa"/>
            <w:vMerge/>
          </w:tcPr>
          <w:p w:rsidR="004F4CF4" w:rsidRDefault="004F4CF4"/>
        </w:tc>
        <w:tc>
          <w:tcPr>
            <w:tcW w:w="622" w:type="dxa"/>
            <w:vMerge w:val="restart"/>
          </w:tcPr>
          <w:p w:rsidR="004F4CF4" w:rsidRDefault="004F4CF4">
            <w:pPr>
              <w:pStyle w:val="ConsPlusNormal"/>
              <w:jc w:val="center"/>
            </w:pPr>
            <w:r>
              <w:t>наименование</w:t>
            </w:r>
          </w:p>
        </w:tc>
        <w:tc>
          <w:tcPr>
            <w:tcW w:w="510" w:type="dxa"/>
            <w:vMerge w:val="restart"/>
          </w:tcPr>
          <w:p w:rsidR="004F4CF4" w:rsidRDefault="004F4CF4">
            <w:pPr>
              <w:pStyle w:val="ConsPlusNormal"/>
              <w:jc w:val="center"/>
            </w:pPr>
            <w:r>
              <w:t>ИНН</w:t>
            </w:r>
          </w:p>
        </w:tc>
        <w:tc>
          <w:tcPr>
            <w:tcW w:w="510" w:type="dxa"/>
            <w:vMerge w:val="restart"/>
          </w:tcPr>
          <w:p w:rsidR="004F4CF4" w:rsidRDefault="004F4CF4">
            <w:pPr>
              <w:pStyle w:val="ConsPlusNormal"/>
              <w:jc w:val="center"/>
            </w:pPr>
            <w:r>
              <w:t>КПП</w:t>
            </w:r>
          </w:p>
        </w:tc>
        <w:tc>
          <w:tcPr>
            <w:tcW w:w="510" w:type="dxa"/>
            <w:vMerge/>
          </w:tcPr>
          <w:p w:rsidR="004F4CF4" w:rsidRDefault="004F4CF4"/>
        </w:tc>
        <w:tc>
          <w:tcPr>
            <w:tcW w:w="1135" w:type="dxa"/>
            <w:vMerge w:val="restart"/>
          </w:tcPr>
          <w:p w:rsidR="004F4CF4" w:rsidRDefault="004F4CF4">
            <w:pPr>
              <w:pStyle w:val="ConsPlusNormal"/>
              <w:jc w:val="center"/>
            </w:pPr>
            <w:r>
              <w:t>наименование органа Федерального казначейства (наименование администратора поступлений)</w:t>
            </w:r>
          </w:p>
        </w:tc>
        <w:tc>
          <w:tcPr>
            <w:tcW w:w="1020" w:type="dxa"/>
            <w:gridSpan w:val="2"/>
          </w:tcPr>
          <w:p w:rsidR="004F4CF4" w:rsidRDefault="004F4CF4">
            <w:pPr>
              <w:pStyle w:val="ConsPlusNormal"/>
              <w:jc w:val="center"/>
            </w:pPr>
            <w:r>
              <w:t>администратор поступлений</w:t>
            </w:r>
          </w:p>
        </w:tc>
        <w:tc>
          <w:tcPr>
            <w:tcW w:w="567" w:type="dxa"/>
            <w:vMerge w:val="restart"/>
          </w:tcPr>
          <w:p w:rsidR="004F4CF4" w:rsidRDefault="004F4CF4">
            <w:pPr>
              <w:pStyle w:val="ConsPlusNormal"/>
              <w:jc w:val="center"/>
            </w:pPr>
            <w:r>
              <w:t>номер банковского счета</w:t>
            </w:r>
          </w:p>
        </w:tc>
        <w:tc>
          <w:tcPr>
            <w:tcW w:w="737" w:type="dxa"/>
            <w:vMerge w:val="restart"/>
          </w:tcPr>
          <w:p w:rsidR="004F4CF4" w:rsidRDefault="004F4CF4">
            <w:pPr>
              <w:pStyle w:val="ConsPlusNormal"/>
              <w:jc w:val="center"/>
            </w:pPr>
            <w:r>
              <w:t>наименование банка</w:t>
            </w:r>
          </w:p>
        </w:tc>
        <w:tc>
          <w:tcPr>
            <w:tcW w:w="507" w:type="dxa"/>
            <w:vMerge w:val="restart"/>
          </w:tcPr>
          <w:p w:rsidR="004F4CF4" w:rsidRDefault="004F4CF4">
            <w:pPr>
              <w:pStyle w:val="ConsPlusNormal"/>
              <w:jc w:val="center"/>
            </w:pPr>
            <w:r>
              <w:t>БИК</w:t>
            </w:r>
          </w:p>
        </w:tc>
        <w:tc>
          <w:tcPr>
            <w:tcW w:w="679" w:type="dxa"/>
            <w:vMerge w:val="restart"/>
          </w:tcPr>
          <w:p w:rsidR="004F4CF4" w:rsidRDefault="004F4CF4">
            <w:pPr>
              <w:pStyle w:val="ConsPlusNormal"/>
              <w:jc w:val="center"/>
            </w:pPr>
            <w:r>
              <w:t xml:space="preserve">код по </w:t>
            </w:r>
            <w:hyperlink r:id="rId9" w:history="1">
              <w:r>
                <w:rPr>
                  <w:color w:val="0000FF"/>
                </w:rPr>
                <w:t>ОКТМО</w:t>
              </w:r>
            </w:hyperlink>
          </w:p>
        </w:tc>
        <w:tc>
          <w:tcPr>
            <w:tcW w:w="679" w:type="dxa"/>
            <w:vMerge w:val="restart"/>
          </w:tcPr>
          <w:p w:rsidR="004F4CF4" w:rsidRDefault="004F4CF4">
            <w:pPr>
              <w:pStyle w:val="ConsPlusNormal"/>
              <w:jc w:val="center"/>
            </w:pPr>
            <w:r>
              <w:t>основание платежа</w:t>
            </w:r>
          </w:p>
        </w:tc>
        <w:tc>
          <w:tcPr>
            <w:tcW w:w="624" w:type="dxa"/>
            <w:vMerge w:val="restart"/>
          </w:tcPr>
          <w:p w:rsidR="004F4CF4" w:rsidRDefault="004F4CF4">
            <w:pPr>
              <w:pStyle w:val="ConsPlusNormal"/>
              <w:jc w:val="center"/>
            </w:pPr>
            <w:r>
              <w:t>налоговый период</w:t>
            </w:r>
          </w:p>
        </w:tc>
        <w:tc>
          <w:tcPr>
            <w:tcW w:w="1019" w:type="dxa"/>
            <w:gridSpan w:val="2"/>
          </w:tcPr>
          <w:p w:rsidR="004F4CF4" w:rsidRDefault="004F4CF4">
            <w:pPr>
              <w:pStyle w:val="ConsPlusNormal"/>
              <w:jc w:val="center"/>
            </w:pPr>
            <w:r>
              <w:t>документ-основание</w:t>
            </w:r>
          </w:p>
        </w:tc>
        <w:tc>
          <w:tcPr>
            <w:tcW w:w="906" w:type="dxa"/>
            <w:vMerge w:val="restart"/>
          </w:tcPr>
          <w:p w:rsidR="004F4CF4" w:rsidRDefault="004F4CF4">
            <w:pPr>
              <w:pStyle w:val="ConsPlusNormal"/>
              <w:jc w:val="center"/>
            </w:pPr>
            <w:r>
              <w:t>тип платежа</w:t>
            </w:r>
          </w:p>
        </w:tc>
        <w:tc>
          <w:tcPr>
            <w:tcW w:w="1303" w:type="dxa"/>
            <w:vMerge w:val="restart"/>
          </w:tcPr>
          <w:p w:rsidR="004F4CF4" w:rsidRDefault="004F4CF4">
            <w:pPr>
              <w:pStyle w:val="ConsPlusNormal"/>
              <w:jc w:val="center"/>
            </w:pPr>
            <w:r>
              <w:t>исчислено юридическим лицом, индивидуальным предпринимателем, являющимся резидентом Арктической зоны Российской Федерации</w:t>
            </w:r>
          </w:p>
        </w:tc>
        <w:tc>
          <w:tcPr>
            <w:tcW w:w="1303" w:type="dxa"/>
            <w:vMerge w:val="restart"/>
          </w:tcPr>
          <w:p w:rsidR="004F4CF4" w:rsidRDefault="004F4CF4">
            <w:pPr>
              <w:pStyle w:val="ConsPlusNormal"/>
              <w:jc w:val="center"/>
            </w:pPr>
            <w:r>
              <w:t>за счет средств юридического лица, индивидуального предпринимателя, являющегося резидентом Арктической зоны Российской Федерации</w:t>
            </w:r>
          </w:p>
        </w:tc>
        <w:tc>
          <w:tcPr>
            <w:tcW w:w="1190" w:type="dxa"/>
            <w:vMerge w:val="restart"/>
          </w:tcPr>
          <w:p w:rsidR="004F4CF4" w:rsidRDefault="004F4CF4">
            <w:pPr>
              <w:pStyle w:val="ConsPlusNormal"/>
              <w:jc w:val="center"/>
            </w:pPr>
            <w:r>
              <w:t>за счет средств управляющей компании, источником финансового обеспечения которых являются субсидии</w:t>
            </w:r>
          </w:p>
        </w:tc>
        <w:tc>
          <w:tcPr>
            <w:tcW w:w="907" w:type="dxa"/>
            <w:vMerge/>
          </w:tcPr>
          <w:p w:rsidR="004F4CF4" w:rsidRDefault="004F4CF4"/>
        </w:tc>
        <w:tc>
          <w:tcPr>
            <w:tcW w:w="734" w:type="dxa"/>
            <w:vMerge/>
          </w:tcPr>
          <w:p w:rsidR="004F4CF4" w:rsidRDefault="004F4CF4"/>
        </w:tc>
      </w:tr>
      <w:tr w:rsidR="004F4CF4">
        <w:tc>
          <w:tcPr>
            <w:tcW w:w="397" w:type="dxa"/>
            <w:vMerge/>
          </w:tcPr>
          <w:p w:rsidR="004F4CF4" w:rsidRDefault="004F4CF4"/>
        </w:tc>
        <w:tc>
          <w:tcPr>
            <w:tcW w:w="622" w:type="dxa"/>
            <w:vMerge/>
          </w:tcPr>
          <w:p w:rsidR="004F4CF4" w:rsidRDefault="004F4CF4"/>
        </w:tc>
        <w:tc>
          <w:tcPr>
            <w:tcW w:w="510" w:type="dxa"/>
            <w:vMerge/>
          </w:tcPr>
          <w:p w:rsidR="004F4CF4" w:rsidRDefault="004F4CF4"/>
        </w:tc>
        <w:tc>
          <w:tcPr>
            <w:tcW w:w="510" w:type="dxa"/>
            <w:vMerge/>
          </w:tcPr>
          <w:p w:rsidR="004F4CF4" w:rsidRDefault="004F4CF4"/>
        </w:tc>
        <w:tc>
          <w:tcPr>
            <w:tcW w:w="510" w:type="dxa"/>
            <w:vMerge/>
          </w:tcPr>
          <w:p w:rsidR="004F4CF4" w:rsidRDefault="004F4CF4"/>
        </w:tc>
        <w:tc>
          <w:tcPr>
            <w:tcW w:w="1135" w:type="dxa"/>
            <w:vMerge/>
          </w:tcPr>
          <w:p w:rsidR="004F4CF4" w:rsidRDefault="004F4CF4"/>
        </w:tc>
        <w:tc>
          <w:tcPr>
            <w:tcW w:w="566" w:type="dxa"/>
          </w:tcPr>
          <w:p w:rsidR="004F4CF4" w:rsidRDefault="004F4CF4">
            <w:pPr>
              <w:pStyle w:val="ConsPlusNormal"/>
              <w:jc w:val="center"/>
            </w:pPr>
            <w:r>
              <w:t>ИНН</w:t>
            </w:r>
          </w:p>
        </w:tc>
        <w:tc>
          <w:tcPr>
            <w:tcW w:w="454" w:type="dxa"/>
          </w:tcPr>
          <w:p w:rsidR="004F4CF4" w:rsidRDefault="004F4CF4">
            <w:pPr>
              <w:pStyle w:val="ConsPlusNormal"/>
              <w:jc w:val="center"/>
            </w:pPr>
            <w:r>
              <w:t>КПП</w:t>
            </w:r>
          </w:p>
        </w:tc>
        <w:tc>
          <w:tcPr>
            <w:tcW w:w="567" w:type="dxa"/>
            <w:vMerge/>
          </w:tcPr>
          <w:p w:rsidR="004F4CF4" w:rsidRDefault="004F4CF4"/>
        </w:tc>
        <w:tc>
          <w:tcPr>
            <w:tcW w:w="737" w:type="dxa"/>
            <w:vMerge/>
          </w:tcPr>
          <w:p w:rsidR="004F4CF4" w:rsidRDefault="004F4CF4"/>
        </w:tc>
        <w:tc>
          <w:tcPr>
            <w:tcW w:w="507" w:type="dxa"/>
            <w:vMerge/>
          </w:tcPr>
          <w:p w:rsidR="004F4CF4" w:rsidRDefault="004F4CF4"/>
        </w:tc>
        <w:tc>
          <w:tcPr>
            <w:tcW w:w="679" w:type="dxa"/>
            <w:vMerge/>
          </w:tcPr>
          <w:p w:rsidR="004F4CF4" w:rsidRDefault="004F4CF4"/>
        </w:tc>
        <w:tc>
          <w:tcPr>
            <w:tcW w:w="679" w:type="dxa"/>
            <w:vMerge/>
          </w:tcPr>
          <w:p w:rsidR="004F4CF4" w:rsidRDefault="004F4CF4"/>
        </w:tc>
        <w:tc>
          <w:tcPr>
            <w:tcW w:w="624" w:type="dxa"/>
            <w:vMerge/>
          </w:tcPr>
          <w:p w:rsidR="004F4CF4" w:rsidRDefault="004F4CF4"/>
        </w:tc>
        <w:tc>
          <w:tcPr>
            <w:tcW w:w="623" w:type="dxa"/>
          </w:tcPr>
          <w:p w:rsidR="004F4CF4" w:rsidRDefault="004F4CF4">
            <w:pPr>
              <w:pStyle w:val="ConsPlusNormal"/>
              <w:jc w:val="center"/>
            </w:pPr>
            <w:r>
              <w:t>номер</w:t>
            </w:r>
          </w:p>
        </w:tc>
        <w:tc>
          <w:tcPr>
            <w:tcW w:w="396" w:type="dxa"/>
          </w:tcPr>
          <w:p w:rsidR="004F4CF4" w:rsidRDefault="004F4CF4">
            <w:pPr>
              <w:pStyle w:val="ConsPlusNormal"/>
              <w:jc w:val="center"/>
            </w:pPr>
            <w:r>
              <w:t>дата</w:t>
            </w:r>
          </w:p>
        </w:tc>
        <w:tc>
          <w:tcPr>
            <w:tcW w:w="906" w:type="dxa"/>
            <w:vMerge/>
          </w:tcPr>
          <w:p w:rsidR="004F4CF4" w:rsidRDefault="004F4CF4"/>
        </w:tc>
        <w:tc>
          <w:tcPr>
            <w:tcW w:w="1303" w:type="dxa"/>
            <w:vMerge/>
          </w:tcPr>
          <w:p w:rsidR="004F4CF4" w:rsidRDefault="004F4CF4"/>
        </w:tc>
        <w:tc>
          <w:tcPr>
            <w:tcW w:w="1303" w:type="dxa"/>
            <w:vMerge/>
          </w:tcPr>
          <w:p w:rsidR="004F4CF4" w:rsidRDefault="004F4CF4"/>
        </w:tc>
        <w:tc>
          <w:tcPr>
            <w:tcW w:w="1190" w:type="dxa"/>
            <w:vMerge/>
          </w:tcPr>
          <w:p w:rsidR="004F4CF4" w:rsidRDefault="004F4CF4"/>
        </w:tc>
        <w:tc>
          <w:tcPr>
            <w:tcW w:w="907" w:type="dxa"/>
            <w:vMerge/>
          </w:tcPr>
          <w:p w:rsidR="004F4CF4" w:rsidRDefault="004F4CF4"/>
        </w:tc>
        <w:tc>
          <w:tcPr>
            <w:tcW w:w="734" w:type="dxa"/>
            <w:vMerge/>
          </w:tcPr>
          <w:p w:rsidR="004F4CF4" w:rsidRDefault="004F4CF4"/>
        </w:tc>
      </w:tr>
    </w:tbl>
    <w:p w:rsidR="004F4CF4" w:rsidRDefault="004F4CF4">
      <w:pPr>
        <w:sectPr w:rsidR="004F4CF4">
          <w:pgSz w:w="16838" w:h="11905" w:orient="landscape"/>
          <w:pgMar w:top="1701" w:right="1134" w:bottom="850" w:left="1134" w:header="0" w:footer="0" w:gutter="0"/>
          <w:cols w:space="720"/>
        </w:sectPr>
      </w:pPr>
    </w:p>
    <w:p w:rsidR="004F4CF4" w:rsidRDefault="004F4CF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871"/>
        <w:gridCol w:w="510"/>
        <w:gridCol w:w="396"/>
        <w:gridCol w:w="2211"/>
        <w:gridCol w:w="340"/>
        <w:gridCol w:w="3288"/>
      </w:tblGrid>
      <w:tr w:rsidR="004F4CF4">
        <w:tc>
          <w:tcPr>
            <w:tcW w:w="454" w:type="dxa"/>
            <w:tcBorders>
              <w:top w:val="nil"/>
              <w:left w:val="nil"/>
              <w:bottom w:val="nil"/>
              <w:right w:val="nil"/>
            </w:tcBorders>
          </w:tcPr>
          <w:p w:rsidR="004F4CF4" w:rsidRDefault="004F4CF4">
            <w:pPr>
              <w:pStyle w:val="ConsPlusNormal"/>
            </w:pPr>
          </w:p>
        </w:tc>
        <w:tc>
          <w:tcPr>
            <w:tcW w:w="1871" w:type="dxa"/>
            <w:tcBorders>
              <w:top w:val="nil"/>
              <w:left w:val="nil"/>
              <w:bottom w:val="nil"/>
              <w:right w:val="nil"/>
            </w:tcBorders>
          </w:tcPr>
          <w:p w:rsidR="004F4CF4" w:rsidRDefault="004F4CF4">
            <w:pPr>
              <w:pStyle w:val="ConsPlusNormal"/>
              <w:jc w:val="both"/>
            </w:pPr>
            <w:r>
              <w:t xml:space="preserve">Приложение: </w:t>
            </w:r>
            <w:proofErr w:type="gramStart"/>
            <w:r>
              <w:t>на</w:t>
            </w:r>
            <w:proofErr w:type="gramEnd"/>
          </w:p>
        </w:tc>
        <w:tc>
          <w:tcPr>
            <w:tcW w:w="510" w:type="dxa"/>
            <w:tcBorders>
              <w:top w:val="nil"/>
              <w:left w:val="nil"/>
              <w:bottom w:val="nil"/>
              <w:right w:val="nil"/>
            </w:tcBorders>
          </w:tcPr>
          <w:p w:rsidR="004F4CF4" w:rsidRDefault="004F4CF4">
            <w:pPr>
              <w:pStyle w:val="ConsPlusNormal"/>
              <w:jc w:val="both"/>
            </w:pPr>
          </w:p>
        </w:tc>
        <w:tc>
          <w:tcPr>
            <w:tcW w:w="6235" w:type="dxa"/>
            <w:gridSpan w:val="4"/>
            <w:tcBorders>
              <w:top w:val="nil"/>
              <w:left w:val="nil"/>
              <w:bottom w:val="nil"/>
              <w:right w:val="nil"/>
            </w:tcBorders>
          </w:tcPr>
          <w:p w:rsidR="004F4CF4" w:rsidRDefault="004F4CF4">
            <w:pPr>
              <w:pStyle w:val="ConsPlusNormal"/>
              <w:jc w:val="both"/>
            </w:pPr>
            <w:r>
              <w:t>л. в 1 экз.</w:t>
            </w:r>
          </w:p>
        </w:tc>
      </w:tr>
      <w:tr w:rsidR="004F4CF4">
        <w:tc>
          <w:tcPr>
            <w:tcW w:w="454" w:type="dxa"/>
            <w:tcBorders>
              <w:top w:val="nil"/>
              <w:left w:val="nil"/>
              <w:bottom w:val="nil"/>
              <w:right w:val="nil"/>
            </w:tcBorders>
          </w:tcPr>
          <w:p w:rsidR="004F4CF4" w:rsidRDefault="004F4CF4">
            <w:pPr>
              <w:pStyle w:val="ConsPlusNormal"/>
            </w:pPr>
          </w:p>
        </w:tc>
        <w:tc>
          <w:tcPr>
            <w:tcW w:w="8616" w:type="dxa"/>
            <w:gridSpan w:val="6"/>
            <w:tcBorders>
              <w:top w:val="nil"/>
              <w:left w:val="nil"/>
              <w:bottom w:val="nil"/>
              <w:right w:val="nil"/>
            </w:tcBorders>
          </w:tcPr>
          <w:p w:rsidR="004F4CF4" w:rsidRDefault="004F4CF4">
            <w:pPr>
              <w:pStyle w:val="ConsPlusNormal"/>
              <w:jc w:val="both"/>
            </w:pPr>
            <w:r>
              <w:t>Руководитель</w:t>
            </w:r>
          </w:p>
        </w:tc>
      </w:tr>
      <w:tr w:rsidR="004F4CF4">
        <w:tc>
          <w:tcPr>
            <w:tcW w:w="454" w:type="dxa"/>
            <w:tcBorders>
              <w:top w:val="nil"/>
              <w:left w:val="nil"/>
              <w:bottom w:val="nil"/>
              <w:right w:val="nil"/>
            </w:tcBorders>
          </w:tcPr>
          <w:p w:rsidR="004F4CF4" w:rsidRDefault="004F4CF4">
            <w:pPr>
              <w:pStyle w:val="ConsPlusNormal"/>
            </w:pPr>
          </w:p>
        </w:tc>
        <w:tc>
          <w:tcPr>
            <w:tcW w:w="2381" w:type="dxa"/>
            <w:gridSpan w:val="2"/>
            <w:tcBorders>
              <w:top w:val="nil"/>
              <w:left w:val="nil"/>
              <w:bottom w:val="single" w:sz="4" w:space="0" w:color="auto"/>
              <w:right w:val="nil"/>
            </w:tcBorders>
          </w:tcPr>
          <w:p w:rsidR="004F4CF4" w:rsidRDefault="004F4CF4">
            <w:pPr>
              <w:pStyle w:val="ConsPlusNormal"/>
            </w:pPr>
          </w:p>
        </w:tc>
        <w:tc>
          <w:tcPr>
            <w:tcW w:w="396" w:type="dxa"/>
            <w:tcBorders>
              <w:top w:val="nil"/>
              <w:left w:val="nil"/>
              <w:bottom w:val="nil"/>
              <w:right w:val="nil"/>
            </w:tcBorders>
          </w:tcPr>
          <w:p w:rsidR="004F4CF4" w:rsidRDefault="004F4CF4">
            <w:pPr>
              <w:pStyle w:val="ConsPlusNormal"/>
            </w:pPr>
          </w:p>
        </w:tc>
        <w:tc>
          <w:tcPr>
            <w:tcW w:w="5839" w:type="dxa"/>
            <w:gridSpan w:val="3"/>
            <w:tcBorders>
              <w:top w:val="nil"/>
              <w:left w:val="nil"/>
              <w:bottom w:val="nil"/>
              <w:right w:val="nil"/>
            </w:tcBorders>
          </w:tcPr>
          <w:p w:rsidR="004F4CF4" w:rsidRDefault="004F4CF4">
            <w:pPr>
              <w:pStyle w:val="ConsPlusNormal"/>
            </w:pPr>
          </w:p>
        </w:tc>
      </w:tr>
      <w:tr w:rsidR="004F4CF4">
        <w:tc>
          <w:tcPr>
            <w:tcW w:w="454" w:type="dxa"/>
            <w:tcBorders>
              <w:top w:val="nil"/>
              <w:left w:val="nil"/>
              <w:bottom w:val="nil"/>
              <w:right w:val="nil"/>
            </w:tcBorders>
          </w:tcPr>
          <w:p w:rsidR="004F4CF4" w:rsidRDefault="004F4CF4">
            <w:pPr>
              <w:pStyle w:val="ConsPlusNormal"/>
            </w:pPr>
          </w:p>
        </w:tc>
        <w:tc>
          <w:tcPr>
            <w:tcW w:w="2381" w:type="dxa"/>
            <w:gridSpan w:val="2"/>
            <w:tcBorders>
              <w:top w:val="single" w:sz="4" w:space="0" w:color="auto"/>
              <w:left w:val="nil"/>
              <w:bottom w:val="nil"/>
              <w:right w:val="nil"/>
            </w:tcBorders>
          </w:tcPr>
          <w:p w:rsidR="004F4CF4" w:rsidRDefault="004F4CF4">
            <w:pPr>
              <w:pStyle w:val="ConsPlusNormal"/>
              <w:jc w:val="both"/>
            </w:pPr>
            <w:r>
              <w:t>(должность)</w:t>
            </w:r>
          </w:p>
        </w:tc>
        <w:tc>
          <w:tcPr>
            <w:tcW w:w="396" w:type="dxa"/>
            <w:tcBorders>
              <w:top w:val="nil"/>
              <w:left w:val="nil"/>
              <w:bottom w:val="nil"/>
              <w:right w:val="nil"/>
            </w:tcBorders>
          </w:tcPr>
          <w:p w:rsidR="004F4CF4" w:rsidRDefault="004F4CF4">
            <w:pPr>
              <w:pStyle w:val="ConsPlusNormal"/>
            </w:pPr>
          </w:p>
        </w:tc>
        <w:tc>
          <w:tcPr>
            <w:tcW w:w="2211" w:type="dxa"/>
            <w:tcBorders>
              <w:top w:val="single" w:sz="4" w:space="0" w:color="auto"/>
              <w:left w:val="nil"/>
              <w:bottom w:val="nil"/>
              <w:right w:val="nil"/>
            </w:tcBorders>
          </w:tcPr>
          <w:p w:rsidR="004F4CF4" w:rsidRDefault="004F4CF4">
            <w:pPr>
              <w:pStyle w:val="ConsPlusNormal"/>
              <w:jc w:val="center"/>
            </w:pPr>
            <w:r>
              <w:t>(подпись)</w:t>
            </w:r>
          </w:p>
        </w:tc>
        <w:tc>
          <w:tcPr>
            <w:tcW w:w="340" w:type="dxa"/>
            <w:tcBorders>
              <w:top w:val="nil"/>
              <w:left w:val="nil"/>
              <w:bottom w:val="nil"/>
              <w:right w:val="nil"/>
            </w:tcBorders>
          </w:tcPr>
          <w:p w:rsidR="004F4CF4" w:rsidRDefault="004F4CF4">
            <w:pPr>
              <w:pStyle w:val="ConsPlusNormal"/>
            </w:pPr>
          </w:p>
        </w:tc>
        <w:tc>
          <w:tcPr>
            <w:tcW w:w="3288" w:type="dxa"/>
            <w:tcBorders>
              <w:top w:val="single" w:sz="4" w:space="0" w:color="auto"/>
              <w:left w:val="nil"/>
              <w:bottom w:val="nil"/>
              <w:right w:val="nil"/>
            </w:tcBorders>
          </w:tcPr>
          <w:p w:rsidR="004F4CF4" w:rsidRDefault="004F4CF4">
            <w:pPr>
              <w:pStyle w:val="ConsPlusNormal"/>
              <w:jc w:val="center"/>
            </w:pPr>
            <w:r>
              <w:t>(фамилия, имя, отчество)</w:t>
            </w:r>
          </w:p>
        </w:tc>
      </w:tr>
    </w:tbl>
    <w:p w:rsidR="004F4CF4" w:rsidRDefault="004F4CF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2153"/>
        <w:gridCol w:w="396"/>
        <w:gridCol w:w="2211"/>
        <w:gridCol w:w="340"/>
        <w:gridCol w:w="3514"/>
      </w:tblGrid>
      <w:tr w:rsidR="004F4CF4">
        <w:tc>
          <w:tcPr>
            <w:tcW w:w="454" w:type="dxa"/>
            <w:tcBorders>
              <w:top w:val="nil"/>
              <w:left w:val="nil"/>
              <w:bottom w:val="nil"/>
              <w:right w:val="nil"/>
            </w:tcBorders>
          </w:tcPr>
          <w:p w:rsidR="004F4CF4" w:rsidRDefault="004F4CF4">
            <w:pPr>
              <w:pStyle w:val="ConsPlusNormal"/>
            </w:pPr>
          </w:p>
        </w:tc>
        <w:tc>
          <w:tcPr>
            <w:tcW w:w="8614" w:type="dxa"/>
            <w:gridSpan w:val="5"/>
            <w:tcBorders>
              <w:top w:val="nil"/>
              <w:left w:val="nil"/>
              <w:bottom w:val="nil"/>
              <w:right w:val="nil"/>
            </w:tcBorders>
          </w:tcPr>
          <w:p w:rsidR="004F4CF4" w:rsidRDefault="004F4CF4">
            <w:pPr>
              <w:pStyle w:val="ConsPlusNormal"/>
              <w:jc w:val="both"/>
            </w:pPr>
            <w:r>
              <w:t>Главный бухгалтер</w:t>
            </w:r>
          </w:p>
        </w:tc>
      </w:tr>
      <w:tr w:rsidR="004F4CF4">
        <w:tc>
          <w:tcPr>
            <w:tcW w:w="454" w:type="dxa"/>
            <w:tcBorders>
              <w:top w:val="nil"/>
              <w:left w:val="nil"/>
              <w:bottom w:val="nil"/>
              <w:right w:val="nil"/>
            </w:tcBorders>
          </w:tcPr>
          <w:p w:rsidR="004F4CF4" w:rsidRDefault="004F4CF4">
            <w:pPr>
              <w:pStyle w:val="ConsPlusNormal"/>
            </w:pPr>
          </w:p>
        </w:tc>
        <w:tc>
          <w:tcPr>
            <w:tcW w:w="2153" w:type="dxa"/>
            <w:tcBorders>
              <w:top w:val="nil"/>
              <w:left w:val="nil"/>
              <w:bottom w:val="single" w:sz="4" w:space="0" w:color="auto"/>
              <w:right w:val="nil"/>
            </w:tcBorders>
          </w:tcPr>
          <w:p w:rsidR="004F4CF4" w:rsidRDefault="004F4CF4">
            <w:pPr>
              <w:pStyle w:val="ConsPlusNormal"/>
            </w:pPr>
          </w:p>
        </w:tc>
        <w:tc>
          <w:tcPr>
            <w:tcW w:w="396" w:type="dxa"/>
            <w:tcBorders>
              <w:top w:val="nil"/>
              <w:left w:val="nil"/>
              <w:bottom w:val="nil"/>
              <w:right w:val="nil"/>
            </w:tcBorders>
          </w:tcPr>
          <w:p w:rsidR="004F4CF4" w:rsidRDefault="004F4CF4">
            <w:pPr>
              <w:pStyle w:val="ConsPlusNormal"/>
            </w:pPr>
          </w:p>
        </w:tc>
        <w:tc>
          <w:tcPr>
            <w:tcW w:w="6065" w:type="dxa"/>
            <w:gridSpan w:val="3"/>
            <w:tcBorders>
              <w:top w:val="nil"/>
              <w:left w:val="nil"/>
              <w:bottom w:val="nil"/>
              <w:right w:val="nil"/>
            </w:tcBorders>
          </w:tcPr>
          <w:p w:rsidR="004F4CF4" w:rsidRDefault="004F4CF4">
            <w:pPr>
              <w:pStyle w:val="ConsPlusNormal"/>
            </w:pPr>
          </w:p>
        </w:tc>
      </w:tr>
      <w:tr w:rsidR="004F4CF4">
        <w:tc>
          <w:tcPr>
            <w:tcW w:w="454" w:type="dxa"/>
            <w:tcBorders>
              <w:top w:val="nil"/>
              <w:left w:val="nil"/>
              <w:bottom w:val="nil"/>
              <w:right w:val="nil"/>
            </w:tcBorders>
          </w:tcPr>
          <w:p w:rsidR="004F4CF4" w:rsidRDefault="004F4CF4">
            <w:pPr>
              <w:pStyle w:val="ConsPlusNormal"/>
            </w:pPr>
          </w:p>
        </w:tc>
        <w:tc>
          <w:tcPr>
            <w:tcW w:w="2153" w:type="dxa"/>
            <w:tcBorders>
              <w:top w:val="single" w:sz="4" w:space="0" w:color="auto"/>
              <w:left w:val="nil"/>
              <w:bottom w:val="nil"/>
              <w:right w:val="nil"/>
            </w:tcBorders>
          </w:tcPr>
          <w:p w:rsidR="004F4CF4" w:rsidRDefault="004F4CF4">
            <w:pPr>
              <w:pStyle w:val="ConsPlusNormal"/>
              <w:jc w:val="both"/>
            </w:pPr>
            <w:r>
              <w:t>(должность)</w:t>
            </w:r>
          </w:p>
        </w:tc>
        <w:tc>
          <w:tcPr>
            <w:tcW w:w="396" w:type="dxa"/>
            <w:tcBorders>
              <w:top w:val="nil"/>
              <w:left w:val="nil"/>
              <w:bottom w:val="nil"/>
              <w:right w:val="nil"/>
            </w:tcBorders>
          </w:tcPr>
          <w:p w:rsidR="004F4CF4" w:rsidRDefault="004F4CF4">
            <w:pPr>
              <w:pStyle w:val="ConsPlusNormal"/>
            </w:pPr>
          </w:p>
        </w:tc>
        <w:tc>
          <w:tcPr>
            <w:tcW w:w="2211" w:type="dxa"/>
            <w:tcBorders>
              <w:top w:val="single" w:sz="4" w:space="0" w:color="auto"/>
              <w:left w:val="nil"/>
              <w:bottom w:val="nil"/>
              <w:right w:val="nil"/>
            </w:tcBorders>
          </w:tcPr>
          <w:p w:rsidR="004F4CF4" w:rsidRDefault="004F4CF4">
            <w:pPr>
              <w:pStyle w:val="ConsPlusNormal"/>
              <w:jc w:val="center"/>
            </w:pPr>
            <w:r>
              <w:t>(подпись)</w:t>
            </w:r>
          </w:p>
        </w:tc>
        <w:tc>
          <w:tcPr>
            <w:tcW w:w="340" w:type="dxa"/>
            <w:tcBorders>
              <w:top w:val="nil"/>
              <w:left w:val="nil"/>
              <w:bottom w:val="nil"/>
              <w:right w:val="nil"/>
            </w:tcBorders>
          </w:tcPr>
          <w:p w:rsidR="004F4CF4" w:rsidRDefault="004F4CF4">
            <w:pPr>
              <w:pStyle w:val="ConsPlusNormal"/>
            </w:pPr>
          </w:p>
        </w:tc>
        <w:tc>
          <w:tcPr>
            <w:tcW w:w="3514" w:type="dxa"/>
            <w:tcBorders>
              <w:top w:val="single" w:sz="4" w:space="0" w:color="auto"/>
              <w:left w:val="nil"/>
              <w:bottom w:val="nil"/>
              <w:right w:val="nil"/>
            </w:tcBorders>
          </w:tcPr>
          <w:p w:rsidR="004F4CF4" w:rsidRDefault="004F4CF4">
            <w:pPr>
              <w:pStyle w:val="ConsPlusNormal"/>
              <w:jc w:val="center"/>
            </w:pPr>
            <w:r>
              <w:t>(фамилия, имя, отчество)</w:t>
            </w:r>
          </w:p>
        </w:tc>
      </w:tr>
    </w:tbl>
    <w:p w:rsidR="004F4CF4" w:rsidRDefault="004F4CF4">
      <w:pPr>
        <w:pStyle w:val="ConsPlusNormal"/>
        <w:jc w:val="both"/>
      </w:pPr>
    </w:p>
    <w:p w:rsidR="004F4CF4" w:rsidRDefault="004F4CF4">
      <w:pPr>
        <w:pStyle w:val="ConsPlusNormal"/>
        <w:ind w:firstLine="540"/>
        <w:jc w:val="both"/>
      </w:pPr>
      <w:r>
        <w:t>--------------------------------</w:t>
      </w:r>
    </w:p>
    <w:p w:rsidR="004F4CF4" w:rsidRDefault="004F4CF4">
      <w:pPr>
        <w:pStyle w:val="ConsPlusNormal"/>
        <w:spacing w:before="220"/>
        <w:ind w:firstLine="540"/>
        <w:jc w:val="both"/>
      </w:pPr>
      <w:bookmarkStart w:id="13" w:name="P203"/>
      <w:bookmarkEnd w:id="13"/>
      <w:r>
        <w:t>&lt;*&gt; Значение округляется с точностью до 2-го знака после запятой по математическим правилам округления.</w:t>
      </w: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both"/>
      </w:pPr>
    </w:p>
    <w:p w:rsidR="004F4CF4" w:rsidRDefault="004F4CF4">
      <w:pPr>
        <w:pStyle w:val="ConsPlusNormal"/>
        <w:jc w:val="right"/>
        <w:outlineLvl w:val="1"/>
      </w:pPr>
      <w:r>
        <w:t>Приложение N 2</w:t>
      </w:r>
    </w:p>
    <w:p w:rsidR="004F4CF4" w:rsidRDefault="004F4CF4">
      <w:pPr>
        <w:pStyle w:val="ConsPlusNormal"/>
        <w:jc w:val="right"/>
      </w:pPr>
      <w:r>
        <w:t>к Правилам предоставления</w:t>
      </w:r>
    </w:p>
    <w:p w:rsidR="004F4CF4" w:rsidRDefault="004F4CF4">
      <w:pPr>
        <w:pStyle w:val="ConsPlusNormal"/>
        <w:jc w:val="right"/>
      </w:pPr>
      <w:r>
        <w:t>из федерального бюджета субсидий</w:t>
      </w:r>
    </w:p>
    <w:p w:rsidR="004F4CF4" w:rsidRDefault="004F4CF4">
      <w:pPr>
        <w:pStyle w:val="ConsPlusNormal"/>
        <w:jc w:val="right"/>
      </w:pPr>
      <w:r>
        <w:t>на возмещение затрат по уплате</w:t>
      </w:r>
    </w:p>
    <w:p w:rsidR="004F4CF4" w:rsidRDefault="004F4CF4">
      <w:pPr>
        <w:pStyle w:val="ConsPlusNormal"/>
        <w:jc w:val="right"/>
      </w:pPr>
      <w:r>
        <w:t>страховых взносов, возникающих</w:t>
      </w:r>
    </w:p>
    <w:p w:rsidR="004F4CF4" w:rsidRDefault="004F4CF4">
      <w:pPr>
        <w:pStyle w:val="ConsPlusNormal"/>
        <w:jc w:val="right"/>
      </w:pPr>
      <w:r>
        <w:t>у юридических лиц, индивидуальных</w:t>
      </w:r>
    </w:p>
    <w:p w:rsidR="004F4CF4" w:rsidRDefault="004F4CF4">
      <w:pPr>
        <w:pStyle w:val="ConsPlusNormal"/>
        <w:jc w:val="right"/>
      </w:pPr>
      <w:r>
        <w:t>предпринимателей, являющихся</w:t>
      </w:r>
    </w:p>
    <w:p w:rsidR="004F4CF4" w:rsidRDefault="004F4CF4">
      <w:pPr>
        <w:pStyle w:val="ConsPlusNormal"/>
        <w:jc w:val="right"/>
      </w:pPr>
      <w:r>
        <w:t>резидентами Арктической зоны</w:t>
      </w:r>
    </w:p>
    <w:p w:rsidR="004F4CF4" w:rsidRDefault="004F4CF4">
      <w:pPr>
        <w:pStyle w:val="ConsPlusNormal"/>
        <w:jc w:val="right"/>
      </w:pPr>
      <w:r>
        <w:t>Российской Федерации</w:t>
      </w:r>
    </w:p>
    <w:p w:rsidR="004F4CF4" w:rsidRDefault="004F4CF4">
      <w:pPr>
        <w:pStyle w:val="ConsPlusNormal"/>
        <w:jc w:val="both"/>
      </w:pPr>
    </w:p>
    <w:p w:rsidR="004F4CF4" w:rsidRDefault="004F4CF4">
      <w:pPr>
        <w:pStyle w:val="ConsPlusNormal"/>
        <w:jc w:val="right"/>
      </w:pPr>
      <w:r>
        <w:t>(форма)</w:t>
      </w:r>
    </w:p>
    <w:p w:rsidR="004F4CF4" w:rsidRDefault="004F4CF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0"/>
        <w:gridCol w:w="8107"/>
        <w:gridCol w:w="453"/>
      </w:tblGrid>
      <w:tr w:rsidR="004F4CF4">
        <w:tc>
          <w:tcPr>
            <w:tcW w:w="9070" w:type="dxa"/>
            <w:gridSpan w:val="3"/>
            <w:tcBorders>
              <w:top w:val="nil"/>
              <w:left w:val="nil"/>
              <w:bottom w:val="nil"/>
              <w:right w:val="nil"/>
            </w:tcBorders>
          </w:tcPr>
          <w:p w:rsidR="004F4CF4" w:rsidRDefault="004F4CF4">
            <w:pPr>
              <w:pStyle w:val="ConsPlusNormal"/>
              <w:jc w:val="center"/>
            </w:pPr>
            <w:bookmarkStart w:id="14" w:name="P221"/>
            <w:bookmarkEnd w:id="14"/>
            <w:r>
              <w:t>Отчет о достижении значений результатов предоставления субсидии</w:t>
            </w:r>
          </w:p>
          <w:p w:rsidR="004F4CF4" w:rsidRDefault="004F4CF4">
            <w:pPr>
              <w:pStyle w:val="ConsPlusNormal"/>
              <w:jc w:val="center"/>
            </w:pPr>
            <w:r>
              <w:t>от "__" _____________________ 20__ г.</w:t>
            </w:r>
          </w:p>
        </w:tc>
      </w:tr>
      <w:tr w:rsidR="004F4CF4">
        <w:tc>
          <w:tcPr>
            <w:tcW w:w="510" w:type="dxa"/>
            <w:tcBorders>
              <w:top w:val="nil"/>
              <w:left w:val="nil"/>
              <w:bottom w:val="nil"/>
              <w:right w:val="nil"/>
            </w:tcBorders>
          </w:tcPr>
          <w:p w:rsidR="004F4CF4" w:rsidRDefault="004F4CF4">
            <w:pPr>
              <w:pStyle w:val="ConsPlusNormal"/>
            </w:pPr>
          </w:p>
        </w:tc>
        <w:tc>
          <w:tcPr>
            <w:tcW w:w="8107" w:type="dxa"/>
            <w:tcBorders>
              <w:top w:val="nil"/>
              <w:left w:val="nil"/>
              <w:bottom w:val="single" w:sz="4" w:space="0" w:color="auto"/>
              <w:right w:val="nil"/>
            </w:tcBorders>
          </w:tcPr>
          <w:p w:rsidR="004F4CF4" w:rsidRDefault="004F4CF4">
            <w:pPr>
              <w:pStyle w:val="ConsPlusNormal"/>
            </w:pPr>
          </w:p>
        </w:tc>
        <w:tc>
          <w:tcPr>
            <w:tcW w:w="453" w:type="dxa"/>
            <w:tcBorders>
              <w:top w:val="nil"/>
              <w:left w:val="nil"/>
              <w:bottom w:val="nil"/>
              <w:right w:val="nil"/>
            </w:tcBorders>
          </w:tcPr>
          <w:p w:rsidR="004F4CF4" w:rsidRDefault="004F4CF4">
            <w:pPr>
              <w:pStyle w:val="ConsPlusNormal"/>
            </w:pPr>
          </w:p>
        </w:tc>
      </w:tr>
      <w:tr w:rsidR="004F4CF4">
        <w:tc>
          <w:tcPr>
            <w:tcW w:w="510" w:type="dxa"/>
            <w:tcBorders>
              <w:top w:val="nil"/>
              <w:left w:val="nil"/>
              <w:bottom w:val="nil"/>
              <w:right w:val="nil"/>
            </w:tcBorders>
          </w:tcPr>
          <w:p w:rsidR="004F4CF4" w:rsidRDefault="004F4CF4">
            <w:pPr>
              <w:pStyle w:val="ConsPlusNormal"/>
            </w:pPr>
          </w:p>
        </w:tc>
        <w:tc>
          <w:tcPr>
            <w:tcW w:w="8107" w:type="dxa"/>
            <w:tcBorders>
              <w:top w:val="single" w:sz="4" w:space="0" w:color="auto"/>
              <w:left w:val="nil"/>
              <w:bottom w:val="nil"/>
              <w:right w:val="nil"/>
            </w:tcBorders>
          </w:tcPr>
          <w:p w:rsidR="004F4CF4" w:rsidRDefault="004F4CF4">
            <w:pPr>
              <w:pStyle w:val="ConsPlusNormal"/>
              <w:jc w:val="center"/>
            </w:pPr>
            <w:r>
              <w:t>(периодичность)</w:t>
            </w:r>
          </w:p>
        </w:tc>
        <w:tc>
          <w:tcPr>
            <w:tcW w:w="453" w:type="dxa"/>
            <w:tcBorders>
              <w:top w:val="nil"/>
              <w:left w:val="nil"/>
              <w:bottom w:val="nil"/>
              <w:right w:val="nil"/>
            </w:tcBorders>
          </w:tcPr>
          <w:p w:rsidR="004F4CF4" w:rsidRDefault="004F4CF4">
            <w:pPr>
              <w:pStyle w:val="ConsPlusNormal"/>
            </w:pPr>
          </w:p>
        </w:tc>
      </w:tr>
    </w:tbl>
    <w:p w:rsidR="004F4CF4" w:rsidRDefault="004F4CF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1417"/>
        <w:gridCol w:w="964"/>
        <w:gridCol w:w="794"/>
        <w:gridCol w:w="1928"/>
        <w:gridCol w:w="1925"/>
        <w:gridCol w:w="793"/>
        <w:gridCol w:w="907"/>
      </w:tblGrid>
      <w:tr w:rsidR="004F4CF4">
        <w:tc>
          <w:tcPr>
            <w:tcW w:w="1757" w:type="dxa"/>
            <w:gridSpan w:val="2"/>
            <w:tcBorders>
              <w:left w:val="nil"/>
            </w:tcBorders>
          </w:tcPr>
          <w:p w:rsidR="004F4CF4" w:rsidRDefault="004F4CF4">
            <w:pPr>
              <w:pStyle w:val="ConsPlusNormal"/>
              <w:jc w:val="center"/>
            </w:pPr>
            <w:r>
              <w:t>Наименование результата предоставления субсидий</w:t>
            </w:r>
          </w:p>
        </w:tc>
        <w:tc>
          <w:tcPr>
            <w:tcW w:w="964" w:type="dxa"/>
          </w:tcPr>
          <w:p w:rsidR="004F4CF4" w:rsidRDefault="004F4CF4">
            <w:pPr>
              <w:pStyle w:val="ConsPlusNormal"/>
              <w:jc w:val="center"/>
            </w:pPr>
            <w:r>
              <w:t>Единица измерения</w:t>
            </w:r>
          </w:p>
        </w:tc>
        <w:tc>
          <w:tcPr>
            <w:tcW w:w="794" w:type="dxa"/>
          </w:tcPr>
          <w:p w:rsidR="004F4CF4" w:rsidRDefault="004F4CF4">
            <w:pPr>
              <w:pStyle w:val="ConsPlusNormal"/>
              <w:jc w:val="center"/>
            </w:pPr>
            <w:r>
              <w:t>Реквизиты соглашения</w:t>
            </w:r>
          </w:p>
        </w:tc>
        <w:tc>
          <w:tcPr>
            <w:tcW w:w="1928" w:type="dxa"/>
          </w:tcPr>
          <w:p w:rsidR="004F4CF4" w:rsidRDefault="004F4CF4">
            <w:pPr>
              <w:pStyle w:val="ConsPlusNormal"/>
              <w:jc w:val="center"/>
            </w:pPr>
            <w:r>
              <w:t>Плановое значение результата, установленное на отчетный период</w:t>
            </w:r>
          </w:p>
        </w:tc>
        <w:tc>
          <w:tcPr>
            <w:tcW w:w="1925" w:type="dxa"/>
          </w:tcPr>
          <w:p w:rsidR="004F4CF4" w:rsidRDefault="004F4CF4">
            <w:pPr>
              <w:pStyle w:val="ConsPlusNormal"/>
              <w:jc w:val="center"/>
            </w:pPr>
            <w:r>
              <w:t>Фактическое значение результата, выполненное за отчетный период</w:t>
            </w:r>
          </w:p>
        </w:tc>
        <w:tc>
          <w:tcPr>
            <w:tcW w:w="793" w:type="dxa"/>
          </w:tcPr>
          <w:p w:rsidR="004F4CF4" w:rsidRDefault="004F4CF4">
            <w:pPr>
              <w:pStyle w:val="ConsPlusNormal"/>
              <w:jc w:val="center"/>
            </w:pPr>
            <w:r>
              <w:t>Процент выполнения</w:t>
            </w:r>
          </w:p>
        </w:tc>
        <w:tc>
          <w:tcPr>
            <w:tcW w:w="907" w:type="dxa"/>
          </w:tcPr>
          <w:p w:rsidR="004F4CF4" w:rsidRDefault="004F4CF4">
            <w:pPr>
              <w:pStyle w:val="ConsPlusNormal"/>
              <w:jc w:val="center"/>
            </w:pPr>
            <w:r>
              <w:t xml:space="preserve">Примечание </w:t>
            </w:r>
            <w:hyperlink w:anchor="P273" w:history="1">
              <w:r>
                <w:rPr>
                  <w:color w:val="0000FF"/>
                </w:rPr>
                <w:t>&lt;*&gt;</w:t>
              </w:r>
            </w:hyperlink>
          </w:p>
        </w:tc>
      </w:tr>
      <w:tr w:rsidR="004F4CF4">
        <w:tblPrEx>
          <w:tblBorders>
            <w:right w:val="none" w:sz="0" w:space="0" w:color="auto"/>
          </w:tblBorders>
        </w:tblPrEx>
        <w:tc>
          <w:tcPr>
            <w:tcW w:w="340" w:type="dxa"/>
            <w:tcBorders>
              <w:left w:val="nil"/>
            </w:tcBorders>
          </w:tcPr>
          <w:p w:rsidR="004F4CF4" w:rsidRDefault="004F4CF4">
            <w:pPr>
              <w:pStyle w:val="ConsPlusNormal"/>
              <w:jc w:val="center"/>
            </w:pPr>
            <w:r>
              <w:t>1</w:t>
            </w:r>
          </w:p>
        </w:tc>
        <w:tc>
          <w:tcPr>
            <w:tcW w:w="1417" w:type="dxa"/>
          </w:tcPr>
          <w:p w:rsidR="004F4CF4" w:rsidRDefault="004F4CF4">
            <w:pPr>
              <w:pStyle w:val="ConsPlusNormal"/>
              <w:jc w:val="center"/>
            </w:pPr>
            <w:r>
              <w:t>2</w:t>
            </w:r>
          </w:p>
        </w:tc>
        <w:tc>
          <w:tcPr>
            <w:tcW w:w="964" w:type="dxa"/>
          </w:tcPr>
          <w:p w:rsidR="004F4CF4" w:rsidRDefault="004F4CF4">
            <w:pPr>
              <w:pStyle w:val="ConsPlusNormal"/>
              <w:jc w:val="center"/>
            </w:pPr>
            <w:r>
              <w:t>3</w:t>
            </w:r>
          </w:p>
        </w:tc>
        <w:tc>
          <w:tcPr>
            <w:tcW w:w="794" w:type="dxa"/>
          </w:tcPr>
          <w:p w:rsidR="004F4CF4" w:rsidRDefault="004F4CF4">
            <w:pPr>
              <w:pStyle w:val="ConsPlusNormal"/>
              <w:jc w:val="center"/>
            </w:pPr>
            <w:r>
              <w:t>4</w:t>
            </w:r>
          </w:p>
        </w:tc>
        <w:tc>
          <w:tcPr>
            <w:tcW w:w="1928" w:type="dxa"/>
          </w:tcPr>
          <w:p w:rsidR="004F4CF4" w:rsidRDefault="004F4CF4">
            <w:pPr>
              <w:pStyle w:val="ConsPlusNormal"/>
              <w:jc w:val="center"/>
            </w:pPr>
            <w:r>
              <w:t>5</w:t>
            </w:r>
          </w:p>
        </w:tc>
        <w:tc>
          <w:tcPr>
            <w:tcW w:w="1925" w:type="dxa"/>
          </w:tcPr>
          <w:p w:rsidR="004F4CF4" w:rsidRDefault="004F4CF4">
            <w:pPr>
              <w:pStyle w:val="ConsPlusNormal"/>
              <w:jc w:val="center"/>
            </w:pPr>
            <w:r>
              <w:t>6</w:t>
            </w:r>
          </w:p>
        </w:tc>
        <w:tc>
          <w:tcPr>
            <w:tcW w:w="793" w:type="dxa"/>
          </w:tcPr>
          <w:p w:rsidR="004F4CF4" w:rsidRDefault="004F4CF4">
            <w:pPr>
              <w:pStyle w:val="ConsPlusNormal"/>
              <w:jc w:val="center"/>
            </w:pPr>
            <w:r>
              <w:t>7</w:t>
            </w:r>
          </w:p>
        </w:tc>
        <w:tc>
          <w:tcPr>
            <w:tcW w:w="907" w:type="dxa"/>
            <w:tcBorders>
              <w:right w:val="nil"/>
            </w:tcBorders>
          </w:tcPr>
          <w:p w:rsidR="004F4CF4" w:rsidRDefault="004F4CF4">
            <w:pPr>
              <w:pStyle w:val="ConsPlusNormal"/>
              <w:jc w:val="center"/>
            </w:pPr>
            <w:r>
              <w:t>8</w:t>
            </w:r>
          </w:p>
        </w:tc>
      </w:tr>
    </w:tbl>
    <w:p w:rsidR="004F4CF4" w:rsidRDefault="004F4CF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2153"/>
        <w:gridCol w:w="396"/>
        <w:gridCol w:w="2211"/>
        <w:gridCol w:w="340"/>
        <w:gridCol w:w="3514"/>
      </w:tblGrid>
      <w:tr w:rsidR="004F4CF4">
        <w:tc>
          <w:tcPr>
            <w:tcW w:w="454" w:type="dxa"/>
            <w:tcBorders>
              <w:top w:val="nil"/>
              <w:left w:val="nil"/>
              <w:bottom w:val="nil"/>
              <w:right w:val="nil"/>
            </w:tcBorders>
          </w:tcPr>
          <w:p w:rsidR="004F4CF4" w:rsidRDefault="004F4CF4">
            <w:pPr>
              <w:pStyle w:val="ConsPlusNormal"/>
            </w:pPr>
          </w:p>
        </w:tc>
        <w:tc>
          <w:tcPr>
            <w:tcW w:w="8614" w:type="dxa"/>
            <w:gridSpan w:val="5"/>
            <w:tcBorders>
              <w:top w:val="nil"/>
              <w:left w:val="nil"/>
              <w:bottom w:val="nil"/>
              <w:right w:val="nil"/>
            </w:tcBorders>
          </w:tcPr>
          <w:p w:rsidR="004F4CF4" w:rsidRDefault="004F4CF4">
            <w:pPr>
              <w:pStyle w:val="ConsPlusNormal"/>
              <w:jc w:val="both"/>
            </w:pPr>
            <w:r>
              <w:t>Руководитель</w:t>
            </w:r>
          </w:p>
        </w:tc>
      </w:tr>
      <w:tr w:rsidR="004F4CF4">
        <w:tc>
          <w:tcPr>
            <w:tcW w:w="454" w:type="dxa"/>
            <w:tcBorders>
              <w:top w:val="nil"/>
              <w:left w:val="nil"/>
              <w:bottom w:val="nil"/>
              <w:right w:val="nil"/>
            </w:tcBorders>
          </w:tcPr>
          <w:p w:rsidR="004F4CF4" w:rsidRDefault="004F4CF4">
            <w:pPr>
              <w:pStyle w:val="ConsPlusNormal"/>
            </w:pPr>
          </w:p>
        </w:tc>
        <w:tc>
          <w:tcPr>
            <w:tcW w:w="2153" w:type="dxa"/>
            <w:tcBorders>
              <w:top w:val="nil"/>
              <w:left w:val="nil"/>
              <w:bottom w:val="single" w:sz="4" w:space="0" w:color="auto"/>
              <w:right w:val="nil"/>
            </w:tcBorders>
          </w:tcPr>
          <w:p w:rsidR="004F4CF4" w:rsidRDefault="004F4CF4">
            <w:pPr>
              <w:pStyle w:val="ConsPlusNormal"/>
            </w:pPr>
          </w:p>
        </w:tc>
        <w:tc>
          <w:tcPr>
            <w:tcW w:w="396" w:type="dxa"/>
            <w:tcBorders>
              <w:top w:val="nil"/>
              <w:left w:val="nil"/>
              <w:bottom w:val="nil"/>
              <w:right w:val="nil"/>
            </w:tcBorders>
          </w:tcPr>
          <w:p w:rsidR="004F4CF4" w:rsidRDefault="004F4CF4">
            <w:pPr>
              <w:pStyle w:val="ConsPlusNormal"/>
            </w:pPr>
          </w:p>
        </w:tc>
        <w:tc>
          <w:tcPr>
            <w:tcW w:w="6065" w:type="dxa"/>
            <w:gridSpan w:val="3"/>
            <w:tcBorders>
              <w:top w:val="nil"/>
              <w:left w:val="nil"/>
              <w:bottom w:val="nil"/>
              <w:right w:val="nil"/>
            </w:tcBorders>
          </w:tcPr>
          <w:p w:rsidR="004F4CF4" w:rsidRDefault="004F4CF4">
            <w:pPr>
              <w:pStyle w:val="ConsPlusNormal"/>
            </w:pPr>
          </w:p>
        </w:tc>
      </w:tr>
      <w:tr w:rsidR="004F4CF4">
        <w:tc>
          <w:tcPr>
            <w:tcW w:w="454" w:type="dxa"/>
            <w:tcBorders>
              <w:top w:val="nil"/>
              <w:left w:val="nil"/>
              <w:bottom w:val="nil"/>
              <w:right w:val="nil"/>
            </w:tcBorders>
          </w:tcPr>
          <w:p w:rsidR="004F4CF4" w:rsidRDefault="004F4CF4">
            <w:pPr>
              <w:pStyle w:val="ConsPlusNormal"/>
            </w:pPr>
          </w:p>
        </w:tc>
        <w:tc>
          <w:tcPr>
            <w:tcW w:w="2153" w:type="dxa"/>
            <w:tcBorders>
              <w:top w:val="single" w:sz="4" w:space="0" w:color="auto"/>
              <w:left w:val="nil"/>
              <w:bottom w:val="nil"/>
              <w:right w:val="nil"/>
            </w:tcBorders>
          </w:tcPr>
          <w:p w:rsidR="004F4CF4" w:rsidRDefault="004F4CF4">
            <w:pPr>
              <w:pStyle w:val="ConsPlusNormal"/>
              <w:jc w:val="both"/>
            </w:pPr>
            <w:r>
              <w:t>(должность)</w:t>
            </w:r>
          </w:p>
        </w:tc>
        <w:tc>
          <w:tcPr>
            <w:tcW w:w="396" w:type="dxa"/>
            <w:tcBorders>
              <w:top w:val="nil"/>
              <w:left w:val="nil"/>
              <w:bottom w:val="nil"/>
              <w:right w:val="nil"/>
            </w:tcBorders>
          </w:tcPr>
          <w:p w:rsidR="004F4CF4" w:rsidRDefault="004F4CF4">
            <w:pPr>
              <w:pStyle w:val="ConsPlusNormal"/>
            </w:pPr>
          </w:p>
        </w:tc>
        <w:tc>
          <w:tcPr>
            <w:tcW w:w="2211" w:type="dxa"/>
            <w:tcBorders>
              <w:top w:val="single" w:sz="4" w:space="0" w:color="auto"/>
              <w:left w:val="nil"/>
              <w:bottom w:val="nil"/>
              <w:right w:val="nil"/>
            </w:tcBorders>
          </w:tcPr>
          <w:p w:rsidR="004F4CF4" w:rsidRDefault="004F4CF4">
            <w:pPr>
              <w:pStyle w:val="ConsPlusNormal"/>
              <w:jc w:val="center"/>
            </w:pPr>
            <w:r>
              <w:t>(подпись)</w:t>
            </w:r>
          </w:p>
        </w:tc>
        <w:tc>
          <w:tcPr>
            <w:tcW w:w="340" w:type="dxa"/>
            <w:tcBorders>
              <w:top w:val="nil"/>
              <w:left w:val="nil"/>
              <w:bottom w:val="nil"/>
              <w:right w:val="nil"/>
            </w:tcBorders>
          </w:tcPr>
          <w:p w:rsidR="004F4CF4" w:rsidRDefault="004F4CF4">
            <w:pPr>
              <w:pStyle w:val="ConsPlusNormal"/>
            </w:pPr>
          </w:p>
        </w:tc>
        <w:tc>
          <w:tcPr>
            <w:tcW w:w="3514" w:type="dxa"/>
            <w:tcBorders>
              <w:top w:val="single" w:sz="4" w:space="0" w:color="auto"/>
              <w:left w:val="nil"/>
              <w:bottom w:val="nil"/>
              <w:right w:val="nil"/>
            </w:tcBorders>
          </w:tcPr>
          <w:p w:rsidR="004F4CF4" w:rsidRDefault="004F4CF4">
            <w:pPr>
              <w:pStyle w:val="ConsPlusNormal"/>
              <w:jc w:val="center"/>
            </w:pPr>
            <w:r>
              <w:t>(фамилия, имя, отчество)</w:t>
            </w:r>
          </w:p>
        </w:tc>
      </w:tr>
    </w:tbl>
    <w:p w:rsidR="004F4CF4" w:rsidRDefault="004F4CF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2153"/>
        <w:gridCol w:w="396"/>
        <w:gridCol w:w="2211"/>
        <w:gridCol w:w="340"/>
        <w:gridCol w:w="3514"/>
      </w:tblGrid>
      <w:tr w:rsidR="004F4CF4">
        <w:tc>
          <w:tcPr>
            <w:tcW w:w="454" w:type="dxa"/>
            <w:tcBorders>
              <w:top w:val="nil"/>
              <w:left w:val="nil"/>
              <w:bottom w:val="nil"/>
              <w:right w:val="nil"/>
            </w:tcBorders>
          </w:tcPr>
          <w:p w:rsidR="004F4CF4" w:rsidRDefault="004F4CF4">
            <w:pPr>
              <w:pStyle w:val="ConsPlusNormal"/>
            </w:pPr>
          </w:p>
        </w:tc>
        <w:tc>
          <w:tcPr>
            <w:tcW w:w="8614" w:type="dxa"/>
            <w:gridSpan w:val="5"/>
            <w:tcBorders>
              <w:top w:val="nil"/>
              <w:left w:val="nil"/>
              <w:bottom w:val="nil"/>
              <w:right w:val="nil"/>
            </w:tcBorders>
          </w:tcPr>
          <w:p w:rsidR="004F4CF4" w:rsidRDefault="004F4CF4">
            <w:pPr>
              <w:pStyle w:val="ConsPlusNormal"/>
              <w:jc w:val="both"/>
            </w:pPr>
            <w:r>
              <w:t>Главный бухгалтер</w:t>
            </w:r>
          </w:p>
        </w:tc>
      </w:tr>
      <w:tr w:rsidR="004F4CF4">
        <w:tc>
          <w:tcPr>
            <w:tcW w:w="454" w:type="dxa"/>
            <w:tcBorders>
              <w:top w:val="nil"/>
              <w:left w:val="nil"/>
              <w:bottom w:val="nil"/>
              <w:right w:val="nil"/>
            </w:tcBorders>
          </w:tcPr>
          <w:p w:rsidR="004F4CF4" w:rsidRDefault="004F4CF4">
            <w:pPr>
              <w:pStyle w:val="ConsPlusNormal"/>
            </w:pPr>
          </w:p>
        </w:tc>
        <w:tc>
          <w:tcPr>
            <w:tcW w:w="2153" w:type="dxa"/>
            <w:tcBorders>
              <w:top w:val="nil"/>
              <w:left w:val="nil"/>
              <w:bottom w:val="single" w:sz="4" w:space="0" w:color="auto"/>
              <w:right w:val="nil"/>
            </w:tcBorders>
          </w:tcPr>
          <w:p w:rsidR="004F4CF4" w:rsidRDefault="004F4CF4">
            <w:pPr>
              <w:pStyle w:val="ConsPlusNormal"/>
            </w:pPr>
          </w:p>
        </w:tc>
        <w:tc>
          <w:tcPr>
            <w:tcW w:w="396" w:type="dxa"/>
            <w:tcBorders>
              <w:top w:val="nil"/>
              <w:left w:val="nil"/>
              <w:bottom w:val="nil"/>
              <w:right w:val="nil"/>
            </w:tcBorders>
          </w:tcPr>
          <w:p w:rsidR="004F4CF4" w:rsidRDefault="004F4CF4">
            <w:pPr>
              <w:pStyle w:val="ConsPlusNormal"/>
            </w:pPr>
          </w:p>
        </w:tc>
        <w:tc>
          <w:tcPr>
            <w:tcW w:w="6065" w:type="dxa"/>
            <w:gridSpan w:val="3"/>
            <w:tcBorders>
              <w:top w:val="nil"/>
              <w:left w:val="nil"/>
              <w:bottom w:val="nil"/>
              <w:right w:val="nil"/>
            </w:tcBorders>
          </w:tcPr>
          <w:p w:rsidR="004F4CF4" w:rsidRDefault="004F4CF4">
            <w:pPr>
              <w:pStyle w:val="ConsPlusNormal"/>
            </w:pPr>
          </w:p>
        </w:tc>
      </w:tr>
      <w:tr w:rsidR="004F4CF4">
        <w:tc>
          <w:tcPr>
            <w:tcW w:w="454" w:type="dxa"/>
            <w:tcBorders>
              <w:top w:val="nil"/>
              <w:left w:val="nil"/>
              <w:bottom w:val="nil"/>
              <w:right w:val="nil"/>
            </w:tcBorders>
          </w:tcPr>
          <w:p w:rsidR="004F4CF4" w:rsidRDefault="004F4CF4">
            <w:pPr>
              <w:pStyle w:val="ConsPlusNormal"/>
            </w:pPr>
          </w:p>
        </w:tc>
        <w:tc>
          <w:tcPr>
            <w:tcW w:w="2153" w:type="dxa"/>
            <w:tcBorders>
              <w:top w:val="single" w:sz="4" w:space="0" w:color="auto"/>
              <w:left w:val="nil"/>
              <w:bottom w:val="nil"/>
              <w:right w:val="nil"/>
            </w:tcBorders>
          </w:tcPr>
          <w:p w:rsidR="004F4CF4" w:rsidRDefault="004F4CF4">
            <w:pPr>
              <w:pStyle w:val="ConsPlusNormal"/>
              <w:jc w:val="both"/>
            </w:pPr>
            <w:r>
              <w:t>(должность)</w:t>
            </w:r>
          </w:p>
        </w:tc>
        <w:tc>
          <w:tcPr>
            <w:tcW w:w="396" w:type="dxa"/>
            <w:tcBorders>
              <w:top w:val="nil"/>
              <w:left w:val="nil"/>
              <w:bottom w:val="nil"/>
              <w:right w:val="nil"/>
            </w:tcBorders>
          </w:tcPr>
          <w:p w:rsidR="004F4CF4" w:rsidRDefault="004F4CF4">
            <w:pPr>
              <w:pStyle w:val="ConsPlusNormal"/>
            </w:pPr>
          </w:p>
        </w:tc>
        <w:tc>
          <w:tcPr>
            <w:tcW w:w="2211" w:type="dxa"/>
            <w:tcBorders>
              <w:top w:val="single" w:sz="4" w:space="0" w:color="auto"/>
              <w:left w:val="nil"/>
              <w:bottom w:val="nil"/>
              <w:right w:val="nil"/>
            </w:tcBorders>
          </w:tcPr>
          <w:p w:rsidR="004F4CF4" w:rsidRDefault="004F4CF4">
            <w:pPr>
              <w:pStyle w:val="ConsPlusNormal"/>
              <w:jc w:val="center"/>
            </w:pPr>
            <w:r>
              <w:t>(подпись)</w:t>
            </w:r>
          </w:p>
        </w:tc>
        <w:tc>
          <w:tcPr>
            <w:tcW w:w="340" w:type="dxa"/>
            <w:tcBorders>
              <w:top w:val="nil"/>
              <w:left w:val="nil"/>
              <w:bottom w:val="nil"/>
              <w:right w:val="nil"/>
            </w:tcBorders>
          </w:tcPr>
          <w:p w:rsidR="004F4CF4" w:rsidRDefault="004F4CF4">
            <w:pPr>
              <w:pStyle w:val="ConsPlusNormal"/>
            </w:pPr>
          </w:p>
        </w:tc>
        <w:tc>
          <w:tcPr>
            <w:tcW w:w="3514" w:type="dxa"/>
            <w:tcBorders>
              <w:top w:val="single" w:sz="4" w:space="0" w:color="auto"/>
              <w:left w:val="nil"/>
              <w:bottom w:val="nil"/>
              <w:right w:val="nil"/>
            </w:tcBorders>
          </w:tcPr>
          <w:p w:rsidR="004F4CF4" w:rsidRDefault="004F4CF4">
            <w:pPr>
              <w:pStyle w:val="ConsPlusNormal"/>
              <w:jc w:val="center"/>
            </w:pPr>
            <w:r>
              <w:t>(фамилия, имя, отчество)</w:t>
            </w:r>
          </w:p>
        </w:tc>
      </w:tr>
    </w:tbl>
    <w:p w:rsidR="004F4CF4" w:rsidRDefault="004F4CF4">
      <w:pPr>
        <w:pStyle w:val="ConsPlusNormal"/>
        <w:jc w:val="both"/>
      </w:pPr>
    </w:p>
    <w:p w:rsidR="004F4CF4" w:rsidRDefault="004F4CF4">
      <w:pPr>
        <w:pStyle w:val="ConsPlusNormal"/>
        <w:ind w:firstLine="540"/>
        <w:jc w:val="both"/>
      </w:pPr>
      <w:r>
        <w:t>--------------------------------</w:t>
      </w:r>
    </w:p>
    <w:p w:rsidR="00C437D1" w:rsidRDefault="004F4CF4" w:rsidP="004F4CF4">
      <w:pPr>
        <w:pStyle w:val="ConsPlusNormal"/>
        <w:spacing w:before="220"/>
        <w:ind w:firstLine="540"/>
        <w:jc w:val="both"/>
      </w:pPr>
      <w:bookmarkStart w:id="15" w:name="P273"/>
      <w:bookmarkEnd w:id="15"/>
      <w:r>
        <w:t>&lt;*&gt; Указываются обстоятельства исполнения значения результата, в том числе причины отклонений от плановых значений.</w:t>
      </w:r>
      <w:bookmarkStart w:id="16" w:name="_GoBack"/>
      <w:bookmarkEnd w:id="16"/>
    </w:p>
    <w:sectPr w:rsidR="00C437D1" w:rsidSect="001E482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CF4"/>
    <w:rsid w:val="004F4CF4"/>
    <w:rsid w:val="00C43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4C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4C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4CF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4C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4C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4CF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consultantplus://offline/ref=2C32B2CCB0BA8AF422B02D545EDD71FF9A38E571266AF6DE7A412A5331DE0112A3D38CCDE039C12AAA8BAD81DC9AA0545CBF19uEbD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C32B2CCB0BA8AF422B02D545EDD71FF9B35E1702761F6DE7A412A5331DE0112A3D38CC9EB6D9168F78DF8D586CFA44B5BA11BE48CE23E8CuDbBL" TargetMode="External"/><Relationship Id="rId11" Type="http://schemas.openxmlformats.org/officeDocument/2006/relationships/theme" Target="theme/theme1.xml"/><Relationship Id="rId5" Type="http://schemas.openxmlformats.org/officeDocument/2006/relationships/hyperlink" Target="http://www.consultan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C32B2CCB0BA8AF422B02D545EDD71FF9934EF792168F6DE7A412A5331DE0112B1D3D4C5EA688E6EF698AE84C0u9b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3563</Words>
  <Characters>20313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2020-09-15T11:27:00Z</dcterms:created>
  <dcterms:modified xsi:type="dcterms:W3CDTF">2020-09-15T11:28:00Z</dcterms:modified>
</cp:coreProperties>
</file>