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84C" w:rsidRDefault="00991CAD">
      <w:pPr>
        <w:spacing w:after="0" w:line="3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Формирование модели внутреннего государственного (муниципального) финансового контроля</w:t>
      </w:r>
    </w:p>
    <w:p w:rsidR="0096084C" w:rsidRDefault="0096084C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84C" w:rsidRDefault="0096084C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84C" w:rsidRDefault="00991CAD">
      <w:pPr>
        <w:spacing w:after="0" w:line="34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 Графический проект модели внутреннего государственного (муниципального) финансового контроля</w:t>
      </w:r>
    </w:p>
    <w:p w:rsidR="0096084C" w:rsidRDefault="00991CAD">
      <w:pPr>
        <w:spacing w:after="0" w:line="3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4942205</wp:posOffset>
            </wp:positionH>
            <wp:positionV relativeFrom="paragraph">
              <wp:posOffset>1432560</wp:posOffset>
            </wp:positionV>
            <wp:extent cx="728345" cy="676275"/>
            <wp:effectExtent l="0" t="0" r="0" b="0"/>
            <wp:wrapNone/>
            <wp:docPr id="411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4853940</wp:posOffset>
                </wp:positionH>
                <wp:positionV relativeFrom="paragraph">
                  <wp:posOffset>3479165</wp:posOffset>
                </wp:positionV>
                <wp:extent cx="1208405" cy="821690"/>
                <wp:effectExtent l="0" t="0" r="0" b="0"/>
                <wp:wrapNone/>
                <wp:docPr id="4118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8405" cy="82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 xml:space="preserve">анализ исполнения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 xml:space="preserve">бюджетных полномочий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орВ</w:t>
                            </w:r>
                            <w:proofErr w:type="gramStart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Г</w:t>
                            </w:r>
                            <w:proofErr w:type="spellEnd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М)ФК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82.2pt;margin-top:273.95pt;width:95.15pt;height:64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6YMlgIAAEkFAAAOAAAAZHJzL2Uyb0RvYy54bWysVEtu2zAQ3RfoHQjtFVGK7EhC5CCxrG7S&#10;NkDaA9ASZRGVSIFkLQdFgQLdFugReohuin5yBvlGHdKxYyeboq0WBMmZeTNv5omnZ6u2QUsqFRM8&#10;dfwj7CDKC1Eyvkid169yN3KQ0oSXpBGcps4NVc7Z5OmT075LaCBq0ZRUIgDhKum71Km17hLPU0VN&#10;W6KOREc5GCshW6LhKBdeKUkP6G3jBRiPvV7IspOioErBbbYxOhOLX1W00C+rSlGNmtSB2rRdpV3n&#10;ZvUmpyRZSNLVrLgrg/xFFS1hHJLuoDKiCXor2SOolhVSKFHpo0K0nqgqVlDLAdj4+AGb65p01HKB&#10;5qhu1yb1/2CLF8sriViZOqHvw6w4aWFKw5f1h/Xn4edwu/44fB1uhx/rT8Ov4dvwHR2blvWdSiDy&#10;uruShrTqLkXxRiEupjXhC3oupehrSkoo1Df+3kGAOSgIRfP+uSghHXmrhe3eqpKtAYS+oJUd0s1u&#10;SHSlUQGXfoCjEI8cVIAtCvxxbKfokWQb3Umln1HRIrNJHQkisOhkeam0qYYkWxeTjIucNY0VQsMP&#10;LsBxcwO5IdTYTBV2ru9iHM+iWRS6YTCeuSHOMvc8n4buOPdPRtlxNp1m/nuT1w+TmpUl5SbNVmN+&#10;+GczvFP7Rh07lSnRsNLAmZKUXMynjURLAhrP7Wd7DpZ7N++wDNsE4PKAkh+E+CKI3XwcnbhhHo7c&#10;+ARHLvbji3iMwzjM8kNKl4zTf6eE+tSJR8HITmmv6AfcsP0ecyNJyzS8Ig1rQRE7J5IYCc54aUer&#10;CWs2+71WmPLvWwHj3g7aCtZodKN1vZqvAMUIdy7Km63qz0G3ObOS2jfZYPhfLfLd22IehP0z7Pdf&#10;wMlvAAAA//8DAFBLAwQUAAYACAAAACEA8cjwfeAAAAALAQAADwAAAGRycy9kb3ducmV2LnhtbEyP&#10;wU6DQBCG7ya+w2ZMvBi7qAgFGRpTNam9iX2Ahd0Clp0l7LbFt3c86W0m8+Wf7y9Wsx3EyUy+d4Rw&#10;t4hAGGqc7qlF2H2+3S5B+KBIq8GRQfg2Hlbl5UWhcu3O9GFOVWgFh5DPFUIXwphL6ZvOWOUXbjTE&#10;t72brAq8Tq3UkzpzuB3kfRQl0qqe+EOnRrPuTHOojhbhfRtvd+uN/Dpk/cvNJq0iWSeviNdX8/MT&#10;iGDm8AfDrz6rQ8lOtTuS9mJASJM4ZhThMU4zEExkPIGoEZI0fQBZFvJ/h/IHAAD//wMAUEsBAi0A&#10;FAAGAAgAAAAhALaDOJL+AAAA4QEAABMAAAAAAAAAAAAAAAAAAAAAAFtDb250ZW50X1R5cGVzXS54&#10;bWxQSwECLQAUAAYACAAAACEAOP0h/9YAAACUAQAACwAAAAAAAAAAAAAAAAAvAQAAX3JlbHMvLnJl&#10;bHNQSwECLQAUAAYACAAAACEAIuemDJYCAABJBQAADgAAAAAAAAAAAAAAAAAuAgAAZHJzL2Uyb0Rv&#10;Yy54bWxQSwECLQAUAAYACAAAACEA8cjwfeAAAAALAQAADwAAAAAAAAAAAAAAAADwBAAAZHJzL2Rv&#10;d25yZXYueG1sUEsFBgAAAAAEAAQA8wAAAP0FAAAAAA==&#10;" filled="f" stroked="f">
                <v:textbox style="mso-fit-shape-to-text:t"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 xml:space="preserve">анализ исполнения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 xml:space="preserve">бюджетных полномочий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орВ</w:t>
                      </w:r>
                      <w:proofErr w:type="gramStart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Г</w:t>
                      </w:r>
                      <w:proofErr w:type="spellEnd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(</w:t>
                      </w:r>
                      <w:proofErr w:type="gramEnd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М)ФК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4596765</wp:posOffset>
            </wp:positionH>
            <wp:positionV relativeFrom="paragraph">
              <wp:posOffset>4290695</wp:posOffset>
            </wp:positionV>
            <wp:extent cx="1378585" cy="1550035"/>
            <wp:effectExtent l="38100" t="0" r="12065" b="12065"/>
            <wp:wrapNone/>
            <wp:docPr id="41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2884805</wp:posOffset>
                </wp:positionV>
                <wp:extent cx="28575" cy="2447925"/>
                <wp:effectExtent l="0" t="0" r="28575" b="28575"/>
                <wp:wrapNone/>
                <wp:docPr id="7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" cy="244792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2pt,227.15pt" to="27.45pt,4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lENGQIAAE4EAAAOAAAAZHJzL2Uyb0RvYy54bWysVM1uEzEQviPxDpbvZJPQJGWVTQ+tyqWC&#10;iNIHcL12YuG1LdtkNzfgjJRH4BV6AKlSKc+w+0aMvZtN+RESiItlz8z3zcw3szs/qQqJNsw6oVWG&#10;R4MhRkxRnQu1yvDV6/Mnxxg5T1ROpFYsw1vm8Mni8aN5aVI21mstc2YRkCiXlibDa+9NmiSOrllB&#10;3EAbpsDJtS2Ih6ddJbklJbAXMhkPh9Ok1DY3VlPmHFjPWideRH7OGfUvOXfMI5lhqM3H08bzOpzJ&#10;Yk7SlSVmLWhXBvmHKgoiFCTtqc6IJ+itFb9QFYJa7TT3A6qLRHMuKIs9QDej4U/dXK6JYbEXEMeZ&#10;Xib3/2jpi83SIpFneIaRIgWMqP7UvGt29df6ptmh5n39rf5Sf65v6/v6tvkA97vmI9yDs77rzDs0&#10;DUqWxqVAeKqWNmhBK3VpLjR948CX/OAMD2fasIrbIoSDGKiKk9n2k2GVRxSM4+PJbIIRBc/46Gj2&#10;bDwJ+RKS7sHGOv+c6QKFS4alUEE4kpLNhfNt6D4kmKVCZYanTyfDGOW0FPm5kDL44u6xU2nRhsDW&#10;+GrU5XoQBZml6ppq+4gd+a1kLf0rxkFVqHzUJgj7fOAklDLl97xSQXSAcaigB3aV/QnYxQcoi7v+&#10;N+AeETNr5XtwIZS2vyv7IAVv4/cKtH0HCa51vl3a/bxhaeOUug8sfBUP3xF++A0svgMAAP//AwBQ&#10;SwMEFAAGAAgAAAAhALXtitTfAAAACQEAAA8AAABkcnMvZG93bnJldi54bWxMj8FuwjAQRO+V+g/W&#10;VuJWHCCpQsgG0UpwaTkAlXo18ZJExOsoNhD+vu6JHlfzNPM2Xw6mFVfqXWMZYTKOQBCXVjdcIXwf&#10;1q8pCOcVa9VaJoQ7OVgWz0+5yrS98Y6ue1+JUMIuUwi1910mpStrMsqNbUccspPtjfLh7Cupe3UL&#10;5aaV0yh6k0Y1HBZq1dFHTeV5fzEIP9PPw26y4WpLielOepVu3/kLcfQyrBYgPA3+AcOfflCHIjgd&#10;7YW1Ey1CEsWBRIiTeAYiAEk8B3FESGfzFGSRy/8fFL8AAAD//wMAUEsBAi0AFAAGAAgAAAAhALaD&#10;OJL+AAAA4QEAABMAAAAAAAAAAAAAAAAAAAAAAFtDb250ZW50X1R5cGVzXS54bWxQSwECLQAUAAYA&#10;CAAAACEAOP0h/9YAAACUAQAACwAAAAAAAAAAAAAAAAAvAQAAX3JlbHMvLnJlbHNQSwECLQAUAAYA&#10;CAAAACEAQ+JRDRkCAABOBAAADgAAAAAAAAAAAAAAAAAuAgAAZHJzL2Uyb0RvYy54bWxQSwECLQAU&#10;AAYACAAAACEAte2K1N8AAAAJAQAADwAAAAAAAAAAAAAAAABzBAAAZHJzL2Rvd25yZXYueG1sUEsF&#10;BgAAAAAEAAQA8wAAAH8FAAAAAA==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4535805</wp:posOffset>
                </wp:positionH>
                <wp:positionV relativeFrom="paragraph">
                  <wp:posOffset>993140</wp:posOffset>
                </wp:positionV>
                <wp:extent cx="1764665" cy="529590"/>
                <wp:effectExtent l="0" t="0" r="0" b="3810"/>
                <wp:wrapNone/>
                <wp:docPr id="4119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проверка годового отчета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об исполнении бюджета субъекта РФ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7" style="position:absolute;margin-left:357.15pt;margin-top:78.2pt;width:138.95pt;height:41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WDqmQIAAFAFAAAOAAAAZHJzL2Uyb0RvYy54bWysVEtu2zAQ3RfoHQjuFUmupFhC5CCxrG7S&#10;NkDaA9ASZRGVSIFkLAdFgQLdFugReohuin5yBvlGHdKxYyeboq0WBMmZeTNv5oknp6u2QUsqFRM8&#10;xf6RhxHlhSgZX6T4zevcGWOkNOElaQSnKb6hCp9Onj456buEjkQtmpJKBCBcJX2X4lrrLnFdVdS0&#10;JepIdJSDsRKyJRqOcuGWkvSA3jbuyPMitxey7KQoqFJwm22MeGLxq4oW+lVVKapRk2KoTdtV2nVu&#10;VndyQpKFJF3NirsyyF9U0RLGIekOKiOaoGvJHkG1rJBCiUofFaJ1RVWxgloOwMb3HrC5qklHLRdo&#10;jup2bVL/D7Z4ubyUiJUpDnw/xoiTFqY0fFl/WH8efg6364/D1+F2+LH+NPwavg3fUWha1ncqgcir&#10;7lIa0qq7EMVbhbiY1oQv6JmUoq8pKaFQ3/i7BwHmoCAUzfsXooR05FoL271VJVsDCH1BKzukm92Q&#10;6EqjAi794yiIohCjAmzhKA5jO0WXJNvoTir9nIoWmU2KJYjAopPlhdKmGpJsXUwyLnLWNFYIDT+4&#10;AMfNDeSGUGMzVdi5vou9eDaejQMnGEUzJ/CyzDnLp4ET5f5xmD3LptPMf2/y+kFSs7Kk3KTZaswP&#10;/myGd2rfqGOnMiUaVho4U5KSi/m0kWhJQOO5/WzPwXLv5h6WYZsAXB5Q8keBdz6KnTwaHztBHoRO&#10;fOyNHc+Pz+PIC+Igyw8pXTBO/50S6lMch6PQTmmv6AfcPPs95kaSlml4RRrWpni8cyKJkeCMl3a0&#10;mrBms99rhSn/vhUw7u2grWCNRjda16v5yv4kVs1Gv3NR3mzFfwbyzZlV1r7JYsBvaxPcPTHmXdg/&#10;w37/IZz8BgAA//8DAFBLAwQUAAYACAAAACEANt/M6uEAAAALAQAADwAAAGRycy9kb3ducmV2Lnht&#10;bEyP0U6DQBBF3038h82Y+GLsUoq0IEtjqk1q38R+wAIjYNlZwm5b/PuOT/o4uSf3nsnWk+nFGUfX&#10;WVIwnwUgkCpbd9QoOHxuH1cgnNdU694SKvhBB+v89ibTaW0v9IHnwjeCS8ilWkHr/ZBK6aoWjXYz&#10;OyBx9mVHoz2fYyPrUV+43PQyDIJYGt0RL7R6wE2L1bE4GQXv+2h/2Ozk9zHpXh92yyKQZfym1P3d&#10;9PIMwuPk/2D41Wd1yNmptCeqnegVLOfRglEOnuIIBBNJEoYgSgXhIlmBzDP5/4f8CgAA//8DAFBL&#10;AQItABQABgAIAAAAIQC2gziS/gAAAOEBAAATAAAAAAAAAAAAAAAAAAAAAABbQ29udGVudF9UeXBl&#10;c10ueG1sUEsBAi0AFAAGAAgAAAAhADj9If/WAAAAlAEAAAsAAAAAAAAAAAAAAAAALwEAAF9yZWxz&#10;Ly5yZWxzUEsBAi0AFAAGAAgAAAAhAHBlYOqZAgAAUAUAAA4AAAAAAAAAAAAAAAAALgIAAGRycy9l&#10;Mm9Eb2MueG1sUEsBAi0AFAAGAAgAAAAhADbfzOrhAAAACwEAAA8AAAAAAAAAAAAAAAAA8wQAAGRy&#10;cy9kb3ducmV2LnhtbFBLBQYAAAAABAAEAPMAAAABBgAAAAA=&#10;" filled="f" stroked="f">
                <v:textbox style="mso-fit-shape-to-text:t"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проверка годового отчета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>об исполнении бюджета субъекта РФ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2202815</wp:posOffset>
                </wp:positionV>
                <wp:extent cx="2000250" cy="504825"/>
                <wp:effectExtent l="0" t="0" r="0" b="0"/>
                <wp:wrapNone/>
                <wp:docPr id="17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Open Sans Condensed" w:hAnsi="Open Sans Condensed" w:cstheme="minorBidi"/>
                                <w:kern w:val="24"/>
                                <w:sz w:val="20"/>
                                <w:szCs w:val="20"/>
                              </w:rPr>
                              <w:t>контроль за</w:t>
                            </w:r>
                            <w:proofErr w:type="gramEnd"/>
                            <w:r>
                              <w:rPr>
                                <w:rFonts w:ascii="Open Sans Condensed" w:hAnsi="Open Sans Condensed" w:cstheme="minorBidi"/>
                                <w:kern w:val="24"/>
                                <w:sz w:val="20"/>
                                <w:szCs w:val="20"/>
                              </w:rPr>
                              <w:t xml:space="preserve"> деятельностью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kern w:val="24"/>
                                <w:sz w:val="20"/>
                                <w:szCs w:val="20"/>
                              </w:rPr>
                              <w:t>региональных операторов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8" style="position:absolute;margin-left:13.95pt;margin-top:173.45pt;width:157.5pt;height:3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rEIGgIAAFAEAAAOAAAAZHJzL2Uyb0RvYy54bWysVM2O0zAQviPxDpbvNGlEl1XUdA+slssK&#10;Viw8gOuMmwj/yTZtekPiisQj8BBcEAv7DOkbMXbSwLKIA+JixfPzzXzfjLM865QkW3C+Nbqi81lO&#10;CWhu6lZvKvr61cWjU0p8YLpm0mio6B48PVs9fLDc2RIK0xhZgyMIon25sxVtQrBllnnegGJ+Zixo&#10;dArjFAt4dZusdmyH6EpmRZ6fZDvjausMB+/Rej446SrhCwE8vBDCQyCyothbSKdL5zqe2WrJyo1j&#10;tmn52Ab7hy4UazUWnaDOWWDkrWvvQamWO+ONCDNuVGaEaDkkDshmnv/G5rphFhIXFMfbSSb//2D5&#10;8+2VI22Ns3tCiWYKZ9R/Orw7fOy/9beH9/3n/ra/OXzov/df+q9kfhIV21lfYuK1vXKRs7eXhr/x&#10;6MjueOLFjzGdcCrGImPSJfn3k/zQBcLRiPPMiwVOiaNvkT8+LRaxWsbKY7Z1PjwDo0j8qKjD8SbV&#10;2fbShyH0GBKLaXPRSol2Vkp9x4CY0ZL6HVpMzYa9hCH6JQhUJTaVCqR9hKfSkS3DTWKcgw7zwdWw&#10;GgbzAgmklUL4KSMRkBoBI7LAhibsESDu+n3sgc4YH1MhrfOUnP+tsSF5ykiVjQ5Tsmq1cX8CkMhq&#10;rDzEH0UapIkqhW7dpY0pjruwNvUet4hp3hh8Wzy4hBGDcW2TAOMTi+/i13tC//kjWP0AAAD//wMA&#10;UEsDBBQABgAIAAAAIQB70Bzr4AAAAAoBAAAPAAAAZHJzL2Rvd25yZXYueG1sTI9RS8MwEMffBb9D&#10;OME3l9qV6LqmYwiC4kCcRdhb2pxpsUlKkm3123s+6dv/uB//+121me3IThji4J2E20UGDF3n9eCM&#10;hOb98eYeWEzKaTV6hxK+McKmvryoVKn92b3haZ8MoxIXSyWhT2kqOY9dj1bFhZ/Q0e7TB6sSjcFw&#10;HdSZyu3I8ywT3KrB0YVeTfjQY/e1P1oJHyt8MvqAQjTP2zZkZvf60uykvL6at2tgCef0B8OvPqlD&#10;TU6tPzod2Sghv1sRKWFZCAoELIucQiuhyEUBvK74/xfqHwAAAP//AwBQSwECLQAUAAYACAAAACEA&#10;toM4kv4AAADhAQAAEwAAAAAAAAAAAAAAAAAAAAAAW0NvbnRlbnRfVHlwZXNdLnhtbFBLAQItABQA&#10;BgAIAAAAIQA4/SH/1gAAAJQBAAALAAAAAAAAAAAAAAAAAC8BAABfcmVscy8ucmVsc1BLAQItABQA&#10;BgAIAAAAIQB7CrEIGgIAAFAEAAAOAAAAAAAAAAAAAAAAAC4CAABkcnMvZTJvRG9jLnhtbFBLAQIt&#10;ABQABgAIAAAAIQB70Bzr4AAAAAoBAAAPAAAAAAAAAAAAAAAAAHQEAABkcnMvZG93bnJldi54bWxQ&#10;SwUGAAAAAAQABADzAAAAgQUAAAAA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Open Sans Condensed" w:hAnsi="Open Sans Condensed" w:cstheme="minorBidi"/>
                          <w:kern w:val="24"/>
                          <w:sz w:val="20"/>
                          <w:szCs w:val="20"/>
                        </w:rPr>
                        <w:t>контроль за</w:t>
                      </w:r>
                      <w:proofErr w:type="gramEnd"/>
                      <w:r>
                        <w:rPr>
                          <w:rFonts w:ascii="Open Sans Condensed" w:hAnsi="Open Sans Condensed" w:cstheme="minorBidi"/>
                          <w:kern w:val="24"/>
                          <w:sz w:val="20"/>
                          <w:szCs w:val="20"/>
                        </w:rPr>
                        <w:t xml:space="preserve"> деятельностью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kern w:val="24"/>
                          <w:sz w:val="20"/>
                          <w:szCs w:val="20"/>
                        </w:rPr>
                        <w:t>региональных операторов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1469390</wp:posOffset>
                </wp:positionV>
                <wp:extent cx="2000250" cy="684530"/>
                <wp:effectExtent l="0" t="0" r="0" b="0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684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 xml:space="preserve">бюджетный мониторинг (включая казначейское и </w:t>
                            </w:r>
                            <w:proofErr w:type="spellStart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казначейско</w:t>
                            </w:r>
                            <w:proofErr w:type="spellEnd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-банковское сопровождение)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9" style="position:absolute;margin-left:210.75pt;margin-top:115.7pt;width:157.5pt;height:5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TvlFwIAAE4EAAAOAAAAZHJzL2Uyb0RvYy54bWysVEuOEzEQ3SNxB8t70p0MGY1a6cyC0bAZ&#10;wYiBAzhuO93CP9km6eyQ2CJxBA7BBvGZM3RuRLn6A8MgFoiN1a7Pq1evyr06b7UiO+FDY01J57Oc&#10;EmG4rRqzLemrl5ePzigJkZmKKWtESQ8i0PP1wwervSvEwtZWVcITADGh2LuS1jG6IssCr4VmYWad&#10;MOCU1msW4eq3WeXZHtC1yhZ5fprtra+ct1yEANaL3knXiC+l4PG5lEFEokoK3CKeHs9NOrP1ihVb&#10;z1zd8IEG+wcWmjUGik5QFywy8sY396B0w70NVsYZtzqzUjZcYA/QzTz/rZubmjmBvYA4wU0yhf8H&#10;y5/trj1pqpIuKDFMw4i6j8e3xw/dt+72+K771N12X4/vu+/d5+4LmSe99i4UkHbjrn3qOLgry18H&#10;cGR3POkShphWep1ioV/SoviHSXzRRsLBCNPMF0uYEQff6dnj5QlOJ2PFmO18iE+F1SR9lNTDcFFz&#10;trsKMdVnxRiSihl72SiFA1bmjgECkwX59hSRbDwokeKUeSEkaJJIYQHcRvFEebJjsEeMc2HivHfV&#10;rBK9eQkNjJSnDGSFgAlZAqEJewBIm34fu29niE+pApd5Ss7/RqxPnjKwsjVxStaNsf5PAAq6Gir3&#10;8aNIvTRJpdhuWtyXk3EXNrY6wA4xw2sLL4tHjxgpGJYWBRgeWHoVv94R/edvYP0DAAD//wMAUEsD&#10;BBQABgAIAAAAIQBUmlgV4gAAAAsBAAAPAAAAZHJzL2Rvd25yZXYueG1sTI9NS8QwEIbvgv8hjODN&#10;TT/WulubLosgKC6Ia1nwljZjWmwmJcnu1n9vPOlxZh7eed5qM5uRndD5wZKAdJEAQ+qsGkgLaN4f&#10;b1bAfJCk5GgJBXyjh019eVHJUtkzveFpHzSLIeRLKaAPYSo5912PRvqFnZDi7dM6I0McnebKyXMM&#10;NyPPkqTgRg4UP/Rywoceu6/90Qg4rPFJqw8siuZ527pE715fmp0Q11fz9h5YwDn8wfCrH9Whjk6t&#10;PZLybBSwzNLbiArI8nQJLBJ3eRE3rYA8X2fA64r/71D/AAAA//8DAFBLAQItABQABgAIAAAAIQC2&#10;gziS/gAAAOEBAAATAAAAAAAAAAAAAAAAAAAAAABbQ29udGVudF9UeXBlc10ueG1sUEsBAi0AFAAG&#10;AAgAAAAhADj9If/WAAAAlAEAAAsAAAAAAAAAAAAAAAAALwEAAF9yZWxzLy5yZWxzUEsBAi0AFAAG&#10;AAgAAAAhAOJRO+UXAgAATgQAAA4AAAAAAAAAAAAAAAAALgIAAGRycy9lMm9Eb2MueG1sUEsBAi0A&#10;FAAGAAgAAAAhAFSaWBXiAAAACwEAAA8AAAAAAAAAAAAAAAAAcQQAAGRycy9kb3ducmV2LnhtbFBL&#10;BQYAAAAABAAEAPMAAACABQAAAAA=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 xml:space="preserve">бюджетный мониторинг (включая казначейское и </w:t>
                      </w:r>
                      <w:proofErr w:type="spellStart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казначейско</w:t>
                      </w:r>
                      <w:proofErr w:type="spellEnd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-банковское сопровождение)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2153920</wp:posOffset>
                </wp:positionV>
                <wp:extent cx="2000250" cy="353695"/>
                <wp:effectExtent l="0" t="0" r="0" b="0"/>
                <wp:wrapNone/>
                <wp:docPr id="20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kern w:val="24"/>
                                <w:sz w:val="20"/>
                                <w:szCs w:val="20"/>
                              </w:rPr>
                              <w:t>контроль в сфере ЖКХ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0" style="position:absolute;margin-left:258pt;margin-top:169.6pt;width:157.5pt;height:2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zZ/GwIAAFAEAAAOAAAAZHJzL2Uyb0RvYy54bWysVMtuEzEU3SPxD5b3ZCYpqegoky6oyqaC&#10;isIHOJ7rzAi/ZJtkskNii8Qn8BFsUIF+w+SPuPZMpi1FLBAbK3Mf555zfJ3Faask2YDzjdElnU5y&#10;SkBzUzV6XdK3b86fPKPEB6YrJo2Gku7A09Pl40eLrS1gZmojK3AEQbQvtrakdQi2yDLPa1DMT4wF&#10;jUlhnGIBP906qxzbIrqS2SzPj7OtcZV1hoP3GD3rk3SZ8IUAHl4J4SEQWVLkFtLp0rmKZ7ZcsGLt&#10;mK0bPtBg/8BCsUbj0BHqjAVG3rvmAZRquDPeiDDhRmVGiIZD0oBqpvlvaq5qZiFpQXO8HW3y/w+W&#10;v9xcOtJUJZ2hPZopvKPuy/7D/nP3o7vZf+y+djfd9/2n7mf3rbsm05Po2Nb6Ahuv7KWLmr29MPyd&#10;x0R2LxM//FDTCqdiLSombbJ/N9oPbSAcg3if+WyONDjmjuZHxyfzOC1jxaHbOh9egFEk/iipw+tN&#10;rrPNhQ996aEkDtPmvJES46yQ+l4AMWMk8e0pJrJhJ6Gvfg0CXYmk0oC0j/BcOrJhuEmMc9Bh2qdq&#10;VkEfnqOAtFIIP3YkAVIjYEQWSGjEHgDirj/E7uUM9bEV0jqPzfnfiPXNY0eabHQYm1WjjfsTgERV&#10;w+S+/mBSb010KbSrNm3M08MurEy1wy1imtcG3xYPLmHEYlzbZMDwxOK7uPud0G//CJa/AAAA//8D&#10;AFBLAwQUAAYACAAAACEANxqpmeEAAAALAQAADwAAAGRycy9kb3ducmV2LnhtbEyPUUvDMBSF3wX/&#10;Q7iCby7tqmXtmo4hCIqD4SzC3tLmmhabpCTZVv+91yd9vOcezvlOtZnNyM7ow+CsgHSRAEPbOTVY&#10;LaB5f7pbAQtRWiVHZ1HANwbY1NdXlSyVu9g3PB+iZhRiQykF9DFOJeeh69HIsHATWvp9Om9kpNNr&#10;rry8ULgZ+TJJcm7kYKmhlxM+9th9HU5GwEeBz1odMc+bl23rE73bvzY7IW5v5u0aWMQ5/pnhF5/Q&#10;oSam1p2sCmwU8JDmtCUKyLJiCYwcqywlpSWluC+A1xX/v6H+AQAA//8DAFBLAQItABQABgAIAAAA&#10;IQC2gziS/gAAAOEBAAATAAAAAAAAAAAAAAAAAAAAAABbQ29udGVudF9UeXBlc10ueG1sUEsBAi0A&#10;FAAGAAgAAAAhADj9If/WAAAAlAEAAAsAAAAAAAAAAAAAAAAALwEAAF9yZWxzLy5yZWxzUEsBAi0A&#10;FAAGAAgAAAAhADMHNn8bAgAAUAQAAA4AAAAAAAAAAAAAAAAALgIAAGRycy9lMm9Eb2MueG1sUEsB&#10;Ai0AFAAGAAgAAAAhADcaqZnhAAAACwEAAA8AAAAAAAAAAAAAAAAAdQQAAGRycy9kb3ducmV2Lnht&#10;bFBLBQYAAAAABAAEAPMAAACDBQAAAAA=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kern w:val="24"/>
                          <w:sz w:val="20"/>
                          <w:szCs w:val="20"/>
                        </w:rPr>
                        <w:t>контроль в сфере ЖКХ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3587115</wp:posOffset>
                </wp:positionH>
                <wp:positionV relativeFrom="paragraph">
                  <wp:posOffset>4070350</wp:posOffset>
                </wp:positionV>
                <wp:extent cx="816610" cy="353695"/>
                <wp:effectExtent l="0" t="0" r="0" b="0"/>
                <wp:wrapNone/>
                <wp:docPr id="26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61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20"/>
                                <w:szCs w:val="20"/>
                              </w:rPr>
                              <w:t>ГАВГФ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1" style="position:absolute;margin-left:282.45pt;margin-top:320.5pt;width:64.3pt;height:27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PLuGgIAAE8EAAAOAAAAZHJzL2Uyb0RvYy54bWysVMuO0zAU3SPxD5b3NGlHrYao6SwYDZsR&#10;jBj4ANe5biL8km3adIfEFolP4CPYIB7zDekfce2kYR6IBaILq/d17rnH11metUqSLTjfGF3S6SSn&#10;BDQ3VaM3JX3z+uLJKSU+MF0xaTSUdA+enq0eP1rubAEzUxtZgSMIon2xsyWtQ7BFlnleg2J+Yixo&#10;DArjFAtouk1WObZDdCWzWZ4vsp1xlXWGg/foPe+DdJXwhQAeXgrhIRBZUuQW0unSuY5ntlqyYuOY&#10;rRs+0GD/wEKxRmPTEeqcBUbeueYBlGq4M96IMOFGZUaIhkOaAaeZ5vemua6ZhTQLiuPtKJP/f7D8&#10;xfbKkaYq6WxBiWYK76j7fHh/+NT96G4OH7ov3U33/fCx+9l97b6R2TwqtrO+wMJre+XizN5eGv7W&#10;YyC7E4mGH3Ja4VTMxYlJm+Tfj/JDGwhH5+l0sZjiJXEMncxPFk9Ts4wVx2LrfHgORpH4p6QObzeJ&#10;zraXPsT2rDimxF7aXDRSphuW+o4DE6Mn0e0ZJq5hLyHmSf0KBIqCnGapQVpHeCYd2TJcJMY56DDt&#10;QzWroHfPc/xFfRB+rEhWAozIAgmN2ANAXPWH2D3MkB9LIW3zWJz/jVhfPFakzkaHsVg12rg/AUic&#10;aujc5x9F6qWJKoV23aaFGVdhbao9LhHTvDb4tHhwCSMm49YmAYYXFp/FbTuh//4OrH4BAAD//wMA&#10;UEsDBBQABgAIAAAAIQCLNl0p4QAAAAsBAAAPAAAAZHJzL2Rvd25yZXYueG1sTI9RS8MwEMffBb9D&#10;OME3l063uNamYwiC4kDciuBb2pxpsUlKkm3123t70rc77sf/fv9yPdmBHTHE3jsJ81kGDF3rde+M&#10;hHr/dLMCFpNyWg3eoYQfjLCuLi9KVWh/cu943CXDKMTFQknoUhoLzmPboVVx5kd0dPvywapEazBc&#10;B3WicDvw2ywT3Kre0YdOjfjYYfu9O1gJHzk+G/2JQtQvmyZkZvv2Wm+lvL6aNg/AEk7pD4azPqlD&#10;RU6NPzgd2SBhKRY5oRLEYk6liBD53RJYcx7EPfCq5P87VL8AAAD//wMAUEsBAi0AFAAGAAgAAAAh&#10;ALaDOJL+AAAA4QEAABMAAAAAAAAAAAAAAAAAAAAAAFtDb250ZW50X1R5cGVzXS54bWxQSwECLQAU&#10;AAYACAAAACEAOP0h/9YAAACUAQAACwAAAAAAAAAAAAAAAAAvAQAAX3JlbHMvLnJlbHNQSwECLQAU&#10;AAYACAAAACEAXoTy7hoCAABPBAAADgAAAAAAAAAAAAAAAAAuAgAAZHJzL2Uyb0RvYy54bWxQSwEC&#10;LQAUAAYACAAAACEAizZdKeEAAAALAQAADwAAAAAAAAAAAAAAAAB0BAAAZHJzL2Rvd25yZXYueG1s&#10;UEsFBgAAAAAEAAQA8wAAAIIFAAAAAA==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20"/>
                          <w:szCs w:val="20"/>
                        </w:rPr>
                        <w:t>ГАВГФ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4424045</wp:posOffset>
                </wp:positionV>
                <wp:extent cx="816610" cy="353695"/>
                <wp:effectExtent l="0" t="0" r="0" b="0"/>
                <wp:wrapNone/>
                <wp:docPr id="25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61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ГА</w:t>
                            </w:r>
                            <w:proofErr w:type="gramStart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ФБ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2" style="position:absolute;margin-left:233.7pt;margin-top:348.35pt;width:64.3pt;height:27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TAGwIAAE8EAAAOAAAAZHJzL2Uyb0RvYy54bWysVE2O0zAU3iNxB8t7mrRDqyFqOgtGw2YE&#10;IwYO4DrPTYT/ZJs23SGxReIIHIINGmDOkN6IZycNDINYILKw4vfzve99fvbyrFWSbMH5xuiSTic5&#10;JaC5qRq9KenrVxePTinxgemKSaOhpHvw9Gz18MFyZwuYmdrIChxBEO2LnS1pHYItsszzGhTzE2NB&#10;o1MYp1jArdtklWM7RFcym+X5ItsZV1lnOHiP1vPeSVcJXwjg4YUQHgKRJUVuIa0ureu4ZqslKzaO&#10;2brhAw32DywUazQWHaHOWWDkrWvuQamGO+ONCBNuVGaEaDikHrCbaf5bN9c1s5B6QXG8HWXy/w+W&#10;P99eOdJUJZ3NKdFM4Rl1nw7vDh+7b93t4X33ubvtvh4+dN+7L90NmT2Oiu2sLzDx2l652LO3l4a/&#10;8ejI7njixg8xrXAqxmLHpE3y70f5oQ2Eo/F0ulhM8ZA4uk7mJ4sn81gsY8Ux2TofnoFRJP6U1OHp&#10;JtHZ9tKHPvQYEmtpc9FIiXZWSH3HgJjRkuj2DBPXsJfQR78EgaIgp1kqkMYRnkpHtgwHiXEOOkx7&#10;V80q6M3zHL+B8piRGpAaASOyQEIj9gAQR/0+dt/OEB9TIU3zmJz/jVifPGakykaHMVk12rg/AUjs&#10;aqjcxx9F6qWJKoV23aaBWRxHYW2qPQ4R07w2eLV4cAkjBuPUJgGGGxavxa/7hP7zHVj9AAAA//8D&#10;AFBLAwQUAAYACAAAACEAlUhod+EAAAALAQAADwAAAGRycy9kb3ducmV2LnhtbEyPUUvDMBSF3wX/&#10;Q7iCby51dKmtTccQBMXBcJbB3tLmmhabpDTZVv+91yd9vNyPc75Trmc7sDNOofdOwv0iAYau9bp3&#10;RkL98Xz3ACxE5bQavEMJ3xhgXV1flarQ/uLe8byPhlGIC4WS0MU4FpyHtkOrwsKP6Oj36SerIp2T&#10;4XpSFwq3A18mieBW9Y4aOjXiU4ft1/5kJRxyfDH6iELUr5tmSsx291Zvpby9mTePwCLO8Q+GX31S&#10;h4qcGn9yOrBBQiqylFAJIhcZMCJWuaB1jYRstUyBVyX/v6H6AQAA//8DAFBLAQItABQABgAIAAAA&#10;IQC2gziS/gAAAOEBAAATAAAAAAAAAAAAAAAAAAAAAABbQ29udGVudF9UeXBlc10ueG1sUEsBAi0A&#10;FAAGAAgAAAAhADj9If/WAAAAlAEAAAsAAAAAAAAAAAAAAAAALwEAAF9yZWxzLy5yZWxzUEsBAi0A&#10;FAAGAAgAAAAhAONGBMAbAgAATwQAAA4AAAAAAAAAAAAAAAAALgIAAGRycy9lMm9Eb2MueG1sUEsB&#10;Ai0AFAAGAAgAAAAhAJVIaHfhAAAACwEAAA8AAAAAAAAAAAAAAAAAdQQAAGRycy9kb3ducmV2Lnht&#10;bFBLBQYAAAAABAAEAPMAAACDBQAAAAA=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>ГА</w:t>
                      </w:r>
                      <w:proofErr w:type="gramStart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/>
                        </w:rPr>
                        <w:t>C</w:t>
                      </w:r>
                      <w:proofErr w:type="gramEnd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>ФБ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3639820</wp:posOffset>
                </wp:positionV>
                <wp:extent cx="816610" cy="353695"/>
                <wp:effectExtent l="0" t="0" r="0" b="0"/>
                <wp:wrapNone/>
                <wp:docPr id="21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61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20"/>
                                <w:szCs w:val="20"/>
                              </w:rPr>
                              <w:t>ГАВГФ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3" style="position:absolute;margin-left:154.2pt;margin-top:286.6pt;width:64.3pt;height:27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9V9GwIAAE8EAAAOAAAAZHJzL2Uyb0RvYy54bWysVE2O0zAU3iNxB8t7mqSjliFqOgtGw2YE&#10;IwYO4Dp2Y+E/2aZJd0hskTgCh2CDBpgzpDfi2UkDwyAWiC6s+v1873vfe87qrFMS7ZjzwugKF7Mc&#10;I6apqYXeVvj1q4tHpxj5QHRNpNGswnvm8dn64YNVa0s2N42RNXMIQLQvW1vhJgRbZpmnDVPEz4xl&#10;GpzcOEUCXN02qx1pAV3JbJ7ny6w1rrbOUOY9WM8HJ14nfM4ZDS849ywgWWHgFtLp0rmJZ7ZekXLr&#10;iG0EHWmQf2ChiNBQdII6J4Ggt07cg1KCOuMNDzNqVGY4F5SlHqCbIv+tm+uGWJZ6AXG8nWTy/w+W&#10;Pt9dOSTqCs8LjDRRMKP+0+Hd4WP/rb89vO8/97f918OH/nv/pb9B86RYa30Jidf2ysWevb009I0H&#10;KbM7nnjxY0zHnYqx0DHqkvz7SX7WBUTBeFoslwUMiYLrZHGyfLKI48lIeUy2zodnzCgU/1TYwXST&#10;6GR36cMQegyJtbS5EFKmCUt9xwCY0ZLoDgwT17CXLMZJ/ZJxEAU4zVOBtI7sqXRoR2CRCKVMh2Jw&#10;NaRmg3mRw2+kPGWkBhJgROZAaMIeAeKq38ce2hnjYypL2zwl538jNiRPGamy0WFKVkIb9ycACV2N&#10;lYf4o0iDNFGl0G26tDCPY2S0bEy9hyUimjYGnhYNLmFEF2xtEmB8YfFZ/HpP6D+/A+sfAAAA//8D&#10;AFBLAwQUAAYACAAAACEAtiCPnOIAAAALAQAADwAAAGRycy9kb3ducmV2LnhtbEyPUUvDMBSF3wX/&#10;Q7iCby6xnV1XezuGICgOxFkE39LmmhabpDTZVv+92ZM+Xu7HOd8pN7MZ2JEm3zuLcLsQwMi2TvVW&#10;I9Tvjzc5MB+kVXJwlhB+yMOmurwoZaHcyb7RcR80iyHWFxKhC2EsOPdtR0b6hRvJxt+Xm4wM8Zw0&#10;V5M8xXAz8ESIjBvZ29jQyZEeOmq/9weD8LGmJ60+Kcvq520zCb17fal3iNdX8/YeWKA5/MFw1o/q&#10;UEWnxh2s8mxASEW+jCjC3SpNgEVima7iugYhS/I18Krk/zdUvwAAAP//AwBQSwECLQAUAAYACAAA&#10;ACEAtoM4kv4AAADhAQAAEwAAAAAAAAAAAAAAAAAAAAAAW0NvbnRlbnRfVHlwZXNdLnhtbFBLAQIt&#10;ABQABgAIAAAAIQA4/SH/1gAAAJQBAAALAAAAAAAAAAAAAAAAAC8BAABfcmVscy8ucmVsc1BLAQIt&#10;ABQABgAIAAAAIQDdx9V9GwIAAE8EAAAOAAAAAAAAAAAAAAAAAC4CAABkcnMvZTJvRG9jLnhtbFBL&#10;AQItABQABgAIAAAAIQC2II+c4gAAAAsBAAAPAAAAAAAAAAAAAAAAAHUEAABkcnMvZG93bnJldi54&#10;bWxQSwUGAAAAAAQABADzAAAAhAUAAAAA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20"/>
                          <w:szCs w:val="20"/>
                        </w:rPr>
                        <w:t>ГАВГФ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2068195</wp:posOffset>
                </wp:positionH>
                <wp:positionV relativeFrom="paragraph">
                  <wp:posOffset>4176395</wp:posOffset>
                </wp:positionV>
                <wp:extent cx="816610" cy="473075"/>
                <wp:effectExtent l="0" t="0" r="0" b="0"/>
                <wp:wrapNone/>
                <wp:docPr id="24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61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  <w:t>неучастники</w:t>
                            </w:r>
                            <w:proofErr w:type="spellEnd"/>
                            <w:r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  <w:t xml:space="preserve"> бюджетного процесса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4" style="position:absolute;margin-left:162.85pt;margin-top:328.85pt;width:64.3pt;height:3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fWkGwIAAE8EAAAOAAAAZHJzL2Uyb0RvYy54bWysVMuO0zAU3SPxD5b3NGnnVUVNZ8Fo2Ixg&#10;xMAHuM51E+GXbNOmOyS2SHwCH8EGDTDfkP4R104aGAaxQGRhxfdx7rnH116ct0qSDTjfGF3S6SSn&#10;BDQ3VaPXJX396vLJnBIfmK6YNBpKugNPz5ePHy22toCZqY2swBEE0b7Y2pLWIdgiyzyvQTE/MRY0&#10;OoVxigXcunVWObZFdCWzWZ6fZlvjKusMB+/RetE76TLhCwE8vBDCQyCypMgtpNWldRXXbLlgxdox&#10;Wzd8oMH+gYVijcaiI9QFC4y8dc0DKNVwZ7wRYcKNyowQDYfUA3YzzX/r5qZmFlIvKI63o0z+/8Hy&#10;55trR5qqpLNjSjRTeEbdp/27/cfuW3e3f9997u66r/sP3ffuS3dLZkdRsa31BSbe2GsXe/b2yvA3&#10;Hh3ZPU/c+CGmFU7FWOyYtEn+3Sg/tIFwNM6np6dTPCSOruOzo/zsJBbLWHFIts6HZ2AUiT8ldXi6&#10;SXS2ufKhDz2ExFraXDZSop0VUt8zIGa0JLo9w8Q17CT00S9BoCjIaZYKpHGEp9KRDcNBYpyDDtPe&#10;VbMKevNJjt9AecxIDUiNgBFZIKERewCIo/4Qu29niI+pkKZ5TM7/RqxPHjNSZaPDmKwabdyfACR2&#10;NVTu4w8i9dJElUK7atPAzA+jsDLVDoeIaV4bvFo8uIQRg3FqkwDDDYvX4td9Qv/5Dix/AAAA//8D&#10;AFBLAwQUAAYACAAAACEAp8NJ1OEAAAALAQAADwAAAGRycy9kb3ducmV2LnhtbEyPwUrEMBCG74Lv&#10;EEbw5qa221Zr02URBMUFcS2Ct7QZ02IzKUl2t7698aS3Gebjn++vN4uZ2BGdHy0JuF4lwJB6q0bS&#10;Atq3h6sbYD5IUnKyhAK+0cOmOT+rZaXsiV7xuA+axRDylRQwhDBXnPt+QCP9ys5I8fZpnZEhrk5z&#10;5eQphpuJp0lScCNHih8GOeP9gP3X/mAEvN/io1YfWBTt07Zzid69PLc7IS4vlu0dsIBL+IPhVz+q&#10;QxOdOnsg5dkkIEvzMqICiryMQyTW+ToD1gkoszQF3tT8f4fmBwAA//8DAFBLAQItABQABgAIAAAA&#10;IQC2gziS/gAAAOEBAAATAAAAAAAAAAAAAAAAAAAAAABbQ29udGVudF9UeXBlc10ueG1sUEsBAi0A&#10;FAAGAAgAAAAhADj9If/WAAAAlAEAAAsAAAAAAAAAAAAAAAAALwEAAF9yZWxzLy5yZWxzUEsBAi0A&#10;FAAGAAgAAAAhAPRB9aQbAgAATwQAAA4AAAAAAAAAAAAAAAAALgIAAGRycy9lMm9Eb2MueG1sUEsB&#10;Ai0AFAAGAAgAAAAhAKfDSdThAAAACwEAAA8AAAAAAAAAAAAAAAAAdQQAAGRycy9kb3ducmV2Lnht&#10;bFBLBQYAAAAABAAEAPMAAACDBQAAAAA=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  <w:t>неучастники</w:t>
                      </w:r>
                      <w:proofErr w:type="spellEnd"/>
                      <w:r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  <w:t xml:space="preserve"> бюджетного процесса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4069715</wp:posOffset>
                </wp:positionV>
                <wp:extent cx="816610" cy="354330"/>
                <wp:effectExtent l="0" t="0" r="0" b="0"/>
                <wp:wrapNone/>
                <wp:docPr id="22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61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ГА</w:t>
                            </w:r>
                            <w:proofErr w:type="gramStart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ФБ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5" style="position:absolute;margin-left:114.45pt;margin-top:320.45pt;width:64.3pt;height:27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1kHAIAAE8EAAAOAAAAZHJzL2Uyb0RvYy54bWysVEuOEzEQ3SNxB8t70p8w0dBKZxaMhs0I&#10;RgwcwHHbaQv/ZJuks0Nii8QROAQbNMCcoXMjyu5OwzCIBSILK67Pq1evyr0865REW+a8MLrGxSzH&#10;iGlqGqE3NX796uLRKUY+EN0QaTSr8Z55fLZ6+GC5sxUrTWtkwxwCEO2rna1xG4KtsszTliniZ8Yy&#10;DU5unCIBrm6TNY7sAF3JrMzzRbYzrrHOUOY9WM8HJ14lfM4ZDS849ywgWWPgFtLp0rmOZ7Zakmrj&#10;iG0FHWmQf2ChiNBQdII6J4Ggt07cg1KCOuMNDzNqVGY4F5SlHqCbIv+tm+uWWJZ6AXG8nWTy/w+W&#10;Pt9eOSSaGpclRpoomFH/6fDu8LH/1t8e3vef+9v+6+FD/73/0t+gsoiK7ayvIPHaXrnYs7eXhr7x&#10;4MjueOLFjzEddyrGQseoS/LvJ/lZFxAF42mxWBQwJAqu+cnj+TyNJyPVMdk6H54xo1D8U2MH002i&#10;k+2lD7E8qY4hsZY2F0LKNGGp7xggMFoS3YFh4hr2ksU4qV8yDqIApzIVSOvInkqHtgQWiVDKdCgG&#10;V0saNphPcvhFfQB+yki3BBiRORCasEeAuOr3sQeYMT6msrTNU3L+N2JD8pSRKhsdpmQltHF/ApDQ&#10;1Vh5iD+KNEgTVQrduksL8+S4CmvT7GGJiKatgadFg0sYMRi2NgkwvrD4LH69J/Sf34HVDwAAAP//&#10;AwBQSwMEFAAGAAgAAAAhAJnEcjzhAAAACwEAAA8AAABkcnMvZG93bnJldi54bWxMj01LxDAQhu+C&#10;/yGM4M1NrG53W5suiyAoLohrEbylzZgWm6Qk2d367x1PepuPh3eeqTazHdkRQxy8k3C9EMDQdV4P&#10;zkho3h6u1sBiUk6r0TuU8I0RNvX5WaVK7U/uFY/7ZBiFuFgqCX1KU8l57Hq0Ki78hI52nz5YlagN&#10;huugThRuR54JkXOrBkcXejXhfY/d1/5gJbwX+Gj0B+Z587RtgzC7l+dmJ+Xlxby9A5ZwTn8w/OqT&#10;OtTk1PqD05GNErJsXRAqIb8VVBBxs1wtgbU0KfIV8Lri/3+ofwAAAP//AwBQSwECLQAUAAYACAAA&#10;ACEAtoM4kv4AAADhAQAAEwAAAAAAAAAAAAAAAAAAAAAAW0NvbnRlbnRfVHlwZXNdLnhtbFBLAQIt&#10;ABQABgAIAAAAIQA4/SH/1gAAAJQBAAALAAAAAAAAAAAAAAAAAC8BAABfcmVscy8ucmVsc1BLAQIt&#10;ABQABgAIAAAAIQCuMf1kHAIAAE8EAAAOAAAAAAAAAAAAAAAAAC4CAABkcnMvZTJvRG9jLnhtbFBL&#10;AQItABQABgAIAAAAIQCZxHI84QAAAAsBAAAPAAAAAAAAAAAAAAAAAHYEAABkcnMvZG93bnJldi54&#10;bWxQSwUGAAAAAAQABADzAAAAhAUAAAAA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>ГА</w:t>
                      </w:r>
                      <w:proofErr w:type="gramStart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  <w:lang w:val="en-US"/>
                        </w:rPr>
                        <w:t>C</w:t>
                      </w:r>
                      <w:proofErr w:type="gramEnd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>ФБ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3811905</wp:posOffset>
                </wp:positionV>
                <wp:extent cx="816610" cy="537210"/>
                <wp:effectExtent l="0" t="0" r="0" b="0"/>
                <wp:wrapNone/>
                <wp:docPr id="23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610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  <w:t>неучастники</w:t>
                            </w:r>
                            <w:proofErr w:type="spellEnd"/>
                            <w:r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  <w:t xml:space="preserve"> бюджетного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 Condensed" w:hAnsi="Open Sans Condensed" w:cstheme="minorBidi"/>
                                <w:color w:val="7F7F7F"/>
                                <w:kern w:val="24"/>
                                <w:sz w:val="16"/>
                                <w:szCs w:val="16"/>
                              </w:rPr>
                              <w:t>процесса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6" style="position:absolute;margin-left:43.95pt;margin-top:300.15pt;width:64.3pt;height:42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BZjGQIAAFAEAAAOAAAAZHJzL2Uyb0RvYy54bWysVMtu1DAU3SPxD5b3TB5VhyqaTBdUZVNB&#10;ReEDPI49ifBLtplkdkhskfgEPoIN4tFvyPwR13YmUIpYILKw7Ps499zj66zOBynQjlnXaVXjYpFj&#10;xBTVTae2NX718vLRGUbOE9UQoRWr8Z45fL5++GDVm4qVutWiYRYBiHJVb2rcem+qLHO0ZZK4hTZM&#10;gZNrK4mHo91mjSU9oEuRlXm+zHptG2M1Zc6B9SI58Tric86of865Yx6JGgM3H1cb101Ys/WKVFtL&#10;TNvRiQb5BxaSdAqKzlAXxBP0xnb3oGRHrXaa+wXVMtOcd5TFHqCbIv+tm5uWGBZ7AXGcmWVy/w+W&#10;PttdW9Q1NS5PMFJEwh2NHw9vDx/Gb+Pt4d34abwdvx7ej9/Hz+MXVJZBsd64ChJvzLUNPTtzpelr&#10;B47sjicc3BQzcCtDLHSMhij/fpafDR5RMJ4Vy2UBl0TBdXryuIR9wCTVMdlY558yLVHY1NjC7UbR&#10;ye7K+RR6DAm1lL7shAA7qYS6YwDMYIl0E8PI1e8FS9EvGAdRgFMZC8RxZE+ERTsCg0QoZcoXydWS&#10;hiXzaQ7fRHnOiA0IBYABmQOhGXsCCKN+Hzu1M8WHVBaneU7O/0YsJc8ZsbJWfk6WndL2TwACupoq&#10;p/ijSEmaoJIfNkMcmHQ9wbTRzR6miCjaanhb1NsIElwwtlGB6YmFd/HrOcL//BGsfwAAAP//AwBQ&#10;SwMEFAAGAAgAAAAhAFzLZyjgAAAACgEAAA8AAABkcnMvZG93bnJldi54bWxMj8FKxDAQhu+C7xBG&#10;8OYmu2pta9NlEQTFBXEtgre0GdNik5Qku1vf3tmTHmfm45/vr9azHdkBQxy8k7BcCGDoOq8HZyQ0&#10;749XObCYlNNq9A4l/GCEdX1+VqlS+6N7w8MuGUYhLpZKQp/SVHIeux6tigs/oaPblw9WJRqD4Tqo&#10;I4Xbka+EyLhVg6MPvZrwocfue7e3Ej4KfDL6E7Osed60QZjt60uzlfLyYt7cA0s4pz8YTvqkDjU5&#10;tX7vdGSjhPyuIFJCJsQ1MAJWy+wWWEub/KYAXlf8f4X6FwAA//8DAFBLAQItABQABgAIAAAAIQC2&#10;gziS/gAAAOEBAAATAAAAAAAAAAAAAAAAAAAAAABbQ29udGVudF9UeXBlc10ueG1sUEsBAi0AFAAG&#10;AAgAAAAhADj9If/WAAAAlAEAAAsAAAAAAAAAAAAAAAAALwEAAF9yZWxzLy5yZWxzUEsBAi0AFAAG&#10;AAgAAAAhALYgFmMZAgAAUAQAAA4AAAAAAAAAAAAAAAAALgIAAGRycy9lMm9Eb2MueG1sUEsBAi0A&#10;FAAGAAgAAAAhAFzLZyjgAAAACgEAAA8AAAAAAAAAAAAAAAAAcwQAAGRycy9kb3ducmV2LnhtbFBL&#10;BQYAAAAABAAEAPMAAACABQAAAAA=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  <w:t>неучастники</w:t>
                      </w:r>
                      <w:proofErr w:type="spellEnd"/>
                      <w:r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  <w:t xml:space="preserve"> бюджетного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Open Sans Condensed" w:hAnsi="Open Sans Condensed" w:cstheme="minorBidi"/>
                          <w:color w:val="7F7F7F"/>
                          <w:kern w:val="24"/>
                          <w:sz w:val="16"/>
                          <w:szCs w:val="16"/>
                        </w:rPr>
                        <w:t>процесса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3288665</wp:posOffset>
                </wp:positionV>
                <wp:extent cx="1863090" cy="704850"/>
                <wp:effectExtent l="0" t="0" r="0" b="0"/>
                <wp:wrapNone/>
                <wp:docPr id="15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090" cy="704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 xml:space="preserve">Внутренний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>финансовый контроль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37" type="#_x0000_t202" style="position:absolute;margin-left:227.15pt;margin-top:258.95pt;width:146.7pt;height:5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ZMEkQEAABcDAAAOAAAAZHJzL2Uyb0RvYy54bWysUsFO4zAQva/EP1i+U6cssN2oKVqE4IIA&#10;qfABrmM31sYey2Oa9O937NCClhviMok9b968N+Pl1eh6ttMRLfiGz2cVZ9oraK3fNvzl+fZ0wRkm&#10;6VvZg9cN32vkV6uTH8sh1PoMOuhbHRmReKyH0PAupVALgarTTuIMgvaUNBCdTHSMW9FGORC768VZ&#10;VV2KAWIbIiiNSLc3U5KvCr8xWqVHY1An1jectKUSY4mbHMVqKettlKGz6k2G/IIKJ62npkeqG5kk&#10;e432E5WzKgKCSTMFToAxVunigdzMq//crDsZdPFCw8FwHBN+H6162D1FZlva3QVnXjra0bMe0zWM&#10;bH6exzMErAm1DoRLI90TtFjFcA/qLxJEfMBMBUjoPI7RRJe/ZJRRIW1gf5w6dWEqsy0uf1a/KaUo&#10;96s6X1yUtYj36hAx3WlwLP80PNJWiwK5u8eU+8v6AMnNPNzavj/omqRkhWncjJPV+cHYBtr9pBTD&#10;n9dEhYUvow+pYo6mX9q8vZS83o/nMoL397z6BwAA//8DAFBLAwQUAAYACAAAACEAwwWiLuEAAAAL&#10;AQAADwAAAGRycy9kb3ducmV2LnhtbEyPQU+DQBCF7yb+h82YeLNLkRaKDE1j7cVDE6vpeWFHwLKz&#10;hN22+O9dT3qcvC/vfVOsJ9OLC42us4wwn0UgiGurO24QPt53DxkI5xVr1VsmhG9ysC5vbwqVa3vl&#10;N7ocfCNCCbtcIbTeD7mUrm7JKDezA3HIPu1olA/n2Eg9qmsoN72Mo2gpjeo4LLRqoOeW6tPhbBDS&#10;bLfVMdPplbb1S7XZm+PxyyDe302bJxCeJv8Hw69+UIcyOFX2zNqJHiFZJI8BRVjM0xWIQKRJmoKo&#10;EJZxtgJZFvL/D+UPAAAA//8DAFBLAQItABQABgAIAAAAIQC2gziS/gAAAOEBAAATAAAAAAAAAAAA&#10;AAAAAAAAAABbQ29udGVudF9UeXBlc10ueG1sUEsBAi0AFAAGAAgAAAAhADj9If/WAAAAlAEAAAsA&#10;AAAAAAAAAAAAAAAALwEAAF9yZWxzLy5yZWxzUEsBAi0AFAAGAAgAAAAhANEpkwSRAQAAFwMAAA4A&#10;AAAAAAAAAAAAAAAALgIAAGRycy9lMm9Eb2MueG1sUEsBAi0AFAAGAAgAAAAhAMMFoi7hAAAACwEA&#10;AA8AAAAAAAAAAAAAAAAA6wMAAGRycy9kb3ducmV2LnhtbFBLBQYAAAAABAAEAPMAAAD5BAAAAAA=&#10;" filled="f" stroked="f">
                <v:path arrowok="t"/>
                <v:textbox style="mso-fit-shape-to-text:t"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 xml:space="preserve">Внутренний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>финансовый контроль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2615565</wp:posOffset>
                </wp:positionV>
                <wp:extent cx="2569845" cy="466090"/>
                <wp:effectExtent l="0" t="0" r="0" b="0"/>
                <wp:wrapNone/>
                <wp:docPr id="19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984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 xml:space="preserve">внутренний государственный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финансовый контроль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8" style="position:absolute;margin-left:227.15pt;margin-top:205.95pt;width:202.35pt;height:36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gbHAIAAFEEAAAOAAAAZHJzL2Uyb0RvYy54bWysVE2O0zAU3iNxB8t7mrSaVm3UdBaMhs0I&#10;RgwcwHXsxsJ/sk2T7pDYInEEDsEGMTBnSG/Es5MGhkEsEF1Y9fv53ve+95z1eask2jPnhdElnk5y&#10;jJimphJ6V+LXry6fLDHygeiKSKNZiQ/M4/PN40frxhZsZmojK+YQgGhfNLbEdQi2yDJPa6aInxjL&#10;NDi5cYoEuLpdVjnSALqS2SzPF1ljXGWdocx7sF70TrxJ+JwzGl5w7llAssTALaTTpXMbz2yzJsXO&#10;EVsLOtAg/8BCEaGh6Ah1QQJBb514AKUEdcYbHibUqMxwLihLPUA30/y3bm5qYlnqBcTxdpTJ/z9Y&#10;+nx/7ZCoYHYrjDRRMKPu0/Hd8WP3rbs7vu8+d3fd7fFD97370n1F02VUrLG+gMQbe+1iz95eGfrG&#10;gyO754kXP8S03KkYCx2jNsl/GOVnbUAUjLP5YrU8m2NEwXe2WOSrNJ+MFKds63x4xoxC8U+JHYw3&#10;qU72Vz7E+qQ4hcRi2lwKKdOIpb5ngMBoSXx7iolsOEgW46R+yTioEkmlAmkf2VPp0J7AJhFKmQ7T&#10;3lWTivXmeQ6/KBDAjxnplgAjMgdCI/YAEHf9IXYPM8THVJbWeUzO/0asTx4zUmWjw5ishDbuTwAS&#10;uhoq9/EnkXppokqh3bb9xsxOy7A11QHWiGhaG3hcNLgEEqNhb5MCwxuLD+PXe4L/+SXY/AAAAP//&#10;AwBQSwMEFAAGAAgAAAAhANii+CHhAAAACwEAAA8AAABkcnMvZG93bnJldi54bWxMj0FLxDAQhe+C&#10;/yGM4M1N625LW5suiyAoLohrEbylzZgWm6Qk2d367x1PepuZ93jzvXq7mImd0IfRWQHpKgGGtndq&#10;tFpA+/ZwUwALUVolJ2dRwDcG2DaXF7WslDvbVzwdomYUYkMlBQwxzhXnoR/QyLByM1rSPp03MtLq&#10;NVdenincTPw2SXJu5GjpwyBnvB+w/zocjYD3Eh+1+sA8b592nU/0/uW53QtxfbXs7oBFXOKfGX7x&#10;CR0aYurc0arAJgGbbLMmKw1pWgIjR5GV1K6jS5GtgTc1/9+h+QEAAP//AwBQSwECLQAUAAYACAAA&#10;ACEAtoM4kv4AAADhAQAAEwAAAAAAAAAAAAAAAAAAAAAAW0NvbnRlbnRfVHlwZXNdLnhtbFBLAQIt&#10;ABQABgAIAAAAIQA4/SH/1gAAAJQBAAALAAAAAAAAAAAAAAAAAC8BAABfcmVscy8ucmVsc1BLAQIt&#10;ABQABgAIAAAAIQCI0RgbHAIAAFEEAAAOAAAAAAAAAAAAAAAAAC4CAABkcnMvZTJvRG9jLnhtbFBL&#10;AQItABQABgAIAAAAIQDYovgh4QAAAAsBAAAPAAAAAAAAAAAAAAAAAHYEAABkcnMvZG93bnJldi54&#10;bWxQSwUGAAAAAAQABADzAAAAhAUAAAAA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 xml:space="preserve">внутренний государственный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kern w:val="24"/>
                          <w:sz w:val="20"/>
                          <w:szCs w:val="20"/>
                        </w:rPr>
                        <w:t>финансовый контроль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1800225</wp:posOffset>
                </wp:positionV>
                <wp:extent cx="2000250" cy="353695"/>
                <wp:effectExtent l="0" t="0" r="0" b="0"/>
                <wp:wrapNone/>
                <wp:docPr id="16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kern w:val="24"/>
                                <w:sz w:val="20"/>
                                <w:szCs w:val="20"/>
                              </w:rPr>
                              <w:t xml:space="preserve">контроль в сфере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kern w:val="24"/>
                                <w:sz w:val="20"/>
                                <w:szCs w:val="20"/>
                              </w:rPr>
                              <w:t>контрактных отношений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9" style="position:absolute;margin-left:43.95pt;margin-top:141.75pt;width:157.5pt;height:2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I/GgIAAFEEAAAOAAAAZHJzL2Uyb0RvYy54bWysVM2O0zAQviPxDpbvNGmrVhA13QOr5bKC&#10;FQsP4Dp2E+E/2aZNb0hckXgEHoILYmGfIX0jxpM0sCzigLhY8fx8880346zOWq3ITvjQWFPS6SSn&#10;RBhuq8ZsS/r61cWjx5SEyEzFlDWipAcR6Nn64YPV3hViZmurKuEJgJhQ7F1J6xhdkWWB10KzMLFO&#10;GHBK6zWLcPXbrPJsD+haZbM8X2Z76yvnLRchgPW8d9I14kspeHwhZRCRqJICt4inx3OTzmy9YsXW&#10;M1c3fKDB/oGFZo2BoiPUOYuMvPXNPSjdcG+DlXHCrc6slA0X2AN0M81/6+a6Zk5gLyBOcKNM4f/B&#10;8ue7K0+aCma3pMQwDTPqPh3fHT9237rb4/vuc3fb3Rw/dN+7L91XMl0kxfYuFJB47a586jm4S8vf&#10;BHBkdzzpEoaYVnqdYqFj0qL8h1F+0UbCwQjzzGcLmBIH33wxXz7BahkrTtnOh/hMWE3SR0k9jBdV&#10;Z7vLEFN9VpxCUjFjLxqlcMTK3DFAYLIg354iko0HJVKcMi+FBFUSKSyA+yieKk92DDaJcS5MnPau&#10;mlWiNy+gAVwpgB8zkBUCJmQJhEbsASDt+n3svp0hPqUKXOcxOf8bsT55zMDK1sQxWTfG+j8BKOhq&#10;qNzHn0TqpUkqxXbT9hszPy3DxlYHWCNmeG3hcfHoESRFw96iAsMbSw/j1zvC//wTrH8AAAD//wMA&#10;UEsDBBQABgAIAAAAIQDYr/JX4AAAAAoBAAAPAAAAZHJzL2Rvd25yZXYueG1sTI/BSsQwEIbvgu8Q&#10;RvDmprZa29p0WQRBcUFci+Atbca02ExKkt2tb2/2pMeZ+fjn++v1YiZ2QOdHSwKuVwkwpN6qkbSA&#10;9v3xqgDmgyQlJ0so4Ac9rJvzs1pWyh7pDQ+7oFkMIV9JAUMIc8W57wc00q/sjBRvX9YZGeLoNFdO&#10;HmO4mXiaJDk3cqT4YZAzPgzYf+/2RsBHiU9afWKet8+bziV6+/rSboW4vFg298ACLuEPhpN+VIcm&#10;OnV2T8qzSUBxV0ZSQFpkt8AicJOkcdMJyLIyBd7U/H+F5hcAAP//AwBQSwECLQAUAAYACAAAACEA&#10;toM4kv4AAADhAQAAEwAAAAAAAAAAAAAAAAAAAAAAW0NvbnRlbnRfVHlwZXNdLnhtbFBLAQItABQA&#10;BgAIAAAAIQA4/SH/1gAAAJQBAAALAAAAAAAAAAAAAAAAAC8BAABfcmVscy8ucmVsc1BLAQItABQA&#10;BgAIAAAAIQAqVRI/GgIAAFEEAAAOAAAAAAAAAAAAAAAAAC4CAABkcnMvZTJvRG9jLnhtbFBLAQIt&#10;ABQABgAIAAAAIQDYr/JX4AAAAAoBAAAPAAAAAAAAAAAAAAAAAHQEAABkcnMvZG93bnJldi54bWxQ&#10;SwUGAAAAAAQABADzAAAAgQUAAAAA&#10;" filled="f" stroked="f" strokeweight="2pt">
                <v:path arrowok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kern w:val="24"/>
                          <w:sz w:val="20"/>
                          <w:szCs w:val="20"/>
                        </w:rPr>
                        <w:t xml:space="preserve">контроль в сфере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kern w:val="24"/>
                          <w:sz w:val="20"/>
                          <w:szCs w:val="20"/>
                        </w:rPr>
                        <w:t>контрактных отношений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2774315</wp:posOffset>
                </wp:positionV>
                <wp:extent cx="1362075" cy="704850"/>
                <wp:effectExtent l="0" t="0" r="0" b="0"/>
                <wp:wrapNone/>
                <wp:docPr id="14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2075" cy="704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 xml:space="preserve">Внутренний 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>финансовый аудит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Box 13" o:spid="_x0000_s1040" type="#_x0000_t202" style="position:absolute;margin-left:13.95pt;margin-top:218.45pt;width:107.25pt;height:5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ZPzkgEAABcDAAAOAAAAZHJzL2Uyb0RvYy54bWysUttO4zAQfV+Jf7D8Tp22XKqoKQIheEG7&#10;K8F+gOvYjUXssTymSf+esXsBLW+Il0nsOXPmnBkvb0bXs62OaME3fDqpONNeQWv9puH/Xh7OF5xh&#10;kr6VPXjd8J1GfrM6+7UcQq1n0EHf6siIxGM9hIZ3KYVaCFSddhInELSnpIHoZKJj3Ig2yoHYXS9m&#10;VXUlBohtiKA0It3e75N8VfiN0Sr9MQZ1Yn3DSVsqMZa4zlGslrLeRBk6qw4y5DdUOGk9NT1R3csk&#10;2Vu0X6icVREQTJoocAKMsUoXD+RmWv3n5rmTQRcvNBwMpzHhz9Gq39u/kdmWdnfBmZeOdvSix3QH&#10;I5vO83iGgDWhngPh0kj3BC1WMTyBekWCiE+YfQESOo9jNNHlLxllVEgb2J2mTl2Yymzzq1l1fcmZ&#10;otx1dbG4LGsRH9UhYnrU4Fj+aXikrRYFcvuEKfeX9RGSm3l4sH1/1LWXkhWmcT0erR6MraHd7ZVi&#10;uH1LVFj4MvqYKuZo+qXN4aXk9X4+lxF8vOfVOwAAAP//AwBQSwMEFAAGAAgAAAAhAPO0Y5beAAAA&#10;CgEAAA8AAABkcnMvZG93bnJldi54bWxMj8FOwzAMhu9IvENkJG4spZRtlLrTxNiFAxID7Zw2pi1r&#10;nKrJtvL2mBPcbP2ffn8uVpPr1YnG0HlGuJ0loIhrbztuED7etzdLUCEatqb3TAjfFGBVXl4UJrf+&#10;zG902sVGSQmH3CC0MQ651qFuyZkw8wOxZJ9+dCbKOjbajuYs5a7XaZLMtTMdy4XWDPTUUn3YHR3C&#10;Yrnd2JTp8EKb+rlav7r9/sshXl9N60dQkab4B8OvvqhDKU6VP7INqkdIFw9CImR3cxkESLM0A1Uh&#10;3GcS6bLQ/18ofwAAAP//AwBQSwECLQAUAAYACAAAACEAtoM4kv4AAADhAQAAEwAAAAAAAAAAAAAA&#10;AAAAAAAAW0NvbnRlbnRfVHlwZXNdLnhtbFBLAQItABQABgAIAAAAIQA4/SH/1gAAAJQBAAALAAAA&#10;AAAAAAAAAAAAAC8BAABfcmVscy8ucmVsc1BLAQItABQABgAIAAAAIQBPLZPzkgEAABcDAAAOAAAA&#10;AAAAAAAAAAAAAC4CAABkcnMvZTJvRG9jLnhtbFBLAQItABQABgAIAAAAIQDztGOW3gAAAAoBAAAP&#10;AAAAAAAAAAAAAAAAAOwDAABkcnMvZG93bnJldi54bWxQSwUGAAAAAAQABADzAAAA9wQAAAAA&#10;" filled="f" stroked="f">
                <v:path arrowok="t"/>
                <v:textbox style="mso-fit-shape-to-text:t"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 xml:space="preserve">Внутренний 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>финансовый аудит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-575310</wp:posOffset>
                </wp:positionH>
                <wp:positionV relativeFrom="paragraph">
                  <wp:posOffset>3651885</wp:posOffset>
                </wp:positionV>
                <wp:extent cx="1005205" cy="909320"/>
                <wp:effectExtent l="0" t="0" r="0" b="0"/>
                <wp:wrapNone/>
                <wp:docPr id="27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5205" cy="909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 xml:space="preserve">Анализ систем </w:t>
                            </w: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>ВФК и ВФА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Box 26" o:spid="_x0000_s1041" type="#_x0000_t202" style="position:absolute;margin-left:-45.3pt;margin-top:287.55pt;width:79.15pt;height:7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jpSkgEAABcDAAAOAAAAZHJzL2Uyb0RvYy54bWysUsFO4zAQvSPxD5bv1GlWZSFqilgh9oJg&#10;JeADXMduLGKP5TFN+vc7dmlBcENcJrHnzZv3Zry8mtzAtjqiBd/y+aziTHsFnfWblj8/3Z5dcIZJ&#10;+k4O4HXLdxr51er0ZDmGRtfQw9DpyIjEYzOGlvcphUYIVL12EmcQtKekgehkomPciC7KkdjdIOqq&#10;OhcjxC5EUBqRbm/2Sb4q/MZolR6MQZ3Y0HLSlkqMJa5zFKulbDZRht6qNxnyGyqctJ6aHqluZJLs&#10;NdovVM6qCAgmzRQ4AcZYpYsHcjOvPrl57GXQxQsNB8NxTPhztOp++y8y27W8/s2Zl4529KSn9Acm&#10;Vp/n8YwBG0I9BsKlie5pzcUqhjtQL0gQ8QGzL0BC53FMJrr8JaOMCmkDu+PUqQtTma2qFnW14ExR&#10;7rK6/FWXtYj36hAx/dXgWP5peaStFgVye4cp95fNAZKbebi1w3DQtZeSFaZpPRWr88XB2Bq63V4p&#10;huvXRIWFL6MPqWKOpl/avL2UvN6P5zKC9/e8+g8AAP//AwBQSwMEFAAGAAgAAAAhAJqaIvveAAAA&#10;CgEAAA8AAABkcnMvZG93bnJldi54bWxMj8FOwzAMQO9I/ENkJG5b2qG1pWs6TYxdOCAx0M5p47Vl&#10;jVM12Vb+HnNiR8tPz8/FerK9uODoO0cK4nkEAql2pqNGwdfnbpaB8EGT0b0jVPCDHtbl/V2hc+Ou&#10;9IGXfWgES8jnWkEbwpBL6esWrfZzNyDx7uhGqwOPYyPNqK8st71cRFEire6IL7R6wJcW69P+bBWk&#10;2W5rFoSnN9zWr9Xm3R4O31apx4dpswIRcAr/MPzlczqU3FS5MxkvegWz5yhhVMEyXcYgmEjSFETF&#10;9jh7AlkW8vaF8hcAAP//AwBQSwECLQAUAAYACAAAACEAtoM4kv4AAADhAQAAEwAAAAAAAAAAAAAA&#10;AAAAAAAAW0NvbnRlbnRfVHlwZXNdLnhtbFBLAQItABQABgAIAAAAIQA4/SH/1gAAAJQBAAALAAAA&#10;AAAAAAAAAAAAAC8BAABfcmVscy8ucmVsc1BLAQItABQABgAIAAAAIQCeFjpSkgEAABcDAAAOAAAA&#10;AAAAAAAAAAAAAC4CAABkcnMvZTJvRG9jLnhtbFBLAQItABQABgAIAAAAIQCamiL73gAAAAoBAAAP&#10;AAAAAAAAAAAAAAAAAOwDAABkcnMvZG93bnJldi54bWxQSwUGAAAAAAQABADzAAAA9wQAAAAA&#10;" filled="f" stroked="f">
                <v:path arrowok="t"/>
                <v:textbox style="mso-fit-shape-to-text:t"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 xml:space="preserve">Анализ систем </w:t>
                      </w: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>ВФК и ВФА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593725</wp:posOffset>
            </wp:positionV>
            <wp:extent cx="6152515" cy="4980305"/>
            <wp:effectExtent l="0" t="0" r="0" b="0"/>
            <wp:wrapNone/>
            <wp:docPr id="4098" name="Picture 4" descr="D:\Work\Федеральное казначейство\Новая папка\пирамида-сияние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4" descr="D:\Work\Федеральное казначейство\Новая папка\пирамида-сияние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98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1202690</wp:posOffset>
                </wp:positionV>
                <wp:extent cx="3578860" cy="500380"/>
                <wp:effectExtent l="0" t="0" r="0" b="0"/>
                <wp:wrapNone/>
                <wp:docPr id="13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8860" cy="500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 xml:space="preserve">Контроль </w:t>
                            </w:r>
                            <w:proofErr w:type="gramStart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 xml:space="preserve"> финансово-</w:t>
                            </w:r>
                          </w:p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</w:pPr>
                            <w:r>
                              <w:rPr>
                                <w:rFonts w:ascii="Open Sans Condensed" w:hAnsi="Open Sans Condensed" w:cstheme="minorBidi"/>
                                <w:b/>
                                <w:bCs/>
                                <w:color w:val="948A54" w:themeColor="background2" w:themeShade="80"/>
                                <w:kern w:val="24"/>
                                <w:sz w:val="28"/>
                                <w:szCs w:val="28"/>
                              </w:rPr>
                              <w:t>бюджетной сфере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Box 12" o:spid="_x0000_s1042" type="#_x0000_t202" style="position:absolute;margin-left:45.95pt;margin-top:94.7pt;width:281.8pt;height:3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UwFkgEAABcDAAAOAAAAZHJzL2Uyb0RvYy54bWysUsFO4zAQvSPtP1i+b522olRRU8QKsRfE&#10;rgR8gOvYjUXssTymSf+esUML2r0hLk488+bNezPeXI+uZwcd0YJv+HxWcaa9gtb6fcOfn+5+rjnD&#10;JH0re/C64UeN/Hr742IzhFovoIO+1ZERicd6CA3vUgq1EKg67STOIGhPSQPRyUTXuBdtlAOxu14s&#10;qmolBohtiKA0IkVvpyTfFn5jtEp/jEGdWN9w0pbKGcu5y6fYbmS9jzJ0Vr3LkF9Q4aT11PRMdSuT&#10;ZK/R/kflrIqAYNJMgRNgjFW6eCA38+ofN4+dDLp4oeFgOI8Jv49WPRz+RmZb2t2SMy8d7ehJj+kX&#10;jGy+yOMZAtaEegyESyPFCVqsYrgH9YIEEZ8wUwESOo9jNNHlLxllVEgbOJ6nTl2YouDy8mq9XlFK&#10;Ue6yqpbrshbxUR0ipt8aHMs/DY+01aJAHu4x5f6yPkFyMw93tu9PuiYpWWEad+NkdXUytoP2OCnF&#10;cPOaqLDwZfQpVczR9Eub95eS1/v5Xkbw8Z63bwAAAP//AwBQSwMEFAAGAAgAAAAhAHnNyM/fAAAA&#10;CgEAAA8AAABkcnMvZG93bnJldi54bWxMj8FOg0AQhu8mvsNmTLzZpUQQKEvTWHvxYGI1PS/sFLDs&#10;LGG3Lb6940mPM/Pln+8v17MdxAUn3ztSsFxEIJAaZ3pqFXx+7B4yED5oMnpwhAq+0cO6ur0pdWHc&#10;ld7xsg+t4BDyhVbQhTAWUvqmQ6v9wo1IfDu6yerA49RKM+krh9tBxlGUSqt74g+dHvG5w+a0P1sF&#10;T9lua2LC0ytum5d682YPhy+r1P3dvFmBCDiHPxh+9VkdKnaq3ZmMF4OCfJkzyfssfwTBQJokCYha&#10;QZxmMciqlP8rVD8AAAD//wMAUEsBAi0AFAAGAAgAAAAhALaDOJL+AAAA4QEAABMAAAAAAAAAAAAA&#10;AAAAAAAAAFtDb250ZW50X1R5cGVzXS54bWxQSwECLQAUAAYACAAAACEAOP0h/9YAAACUAQAACwAA&#10;AAAAAAAAAAAAAAAvAQAAX3JlbHMvLnJlbHNQSwECLQAUAAYACAAAACEAWI1MBZIBAAAXAwAADgAA&#10;AAAAAAAAAAAAAAAuAgAAZHJzL2Uyb0RvYy54bWxQSwECLQAUAAYACAAAACEAec3Iz98AAAAKAQAA&#10;DwAAAAAAAAAAAAAAAADsAwAAZHJzL2Rvd25yZXYueG1sUEsFBgAAAAAEAAQA8wAAAPgEAAAAAA==&#10;" filled="f" stroked="f">
                <v:path arrowok="t"/>
                <v:textbox style="mso-fit-shape-to-text:t"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 xml:space="preserve">Контроль </w:t>
                      </w:r>
                      <w:proofErr w:type="gramStart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>в</w:t>
                      </w:r>
                      <w:proofErr w:type="gramEnd"/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 xml:space="preserve"> финансово-</w:t>
                      </w:r>
                    </w:p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</w:pPr>
                      <w:r>
                        <w:rPr>
                          <w:rFonts w:ascii="Open Sans Condensed" w:hAnsi="Open Sans Condensed" w:cstheme="minorBidi"/>
                          <w:b/>
                          <w:bCs/>
                          <w:color w:val="948A54" w:themeColor="background2" w:themeShade="80"/>
                          <w:kern w:val="24"/>
                          <w:sz w:val="28"/>
                          <w:szCs w:val="28"/>
                        </w:rPr>
                        <w:t>бюджетной сфере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6853555</wp:posOffset>
                </wp:positionH>
                <wp:positionV relativeFrom="paragraph">
                  <wp:posOffset>5976620</wp:posOffset>
                </wp:positionV>
                <wp:extent cx="2133600" cy="365125"/>
                <wp:effectExtent l="0" t="0" r="0" b="0"/>
                <wp:wrapNone/>
                <wp:docPr id="3" name="Номер слайда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133600" cy="365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6084C" w:rsidRDefault="00991CAD">
                            <w:pPr>
                              <w:pStyle w:val="a7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color w:val="404040" w:themeColor="text1" w:themeTint="BF"/>
                                <w:kern w:val="24"/>
                              </w:rPr>
                              <w:t>1</w:t>
                            </w:r>
                          </w:p>
                        </w:txbxContent>
                      </wps:txbx>
                      <wps:bodyPr vert="horz" lIns="91440" tIns="45720" rIns="91440" bIns="45720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Номер слайда 2" o:spid="_x0000_s1043" style="position:absolute;margin-left:539.65pt;margin-top:470.6pt;width:168pt;height:2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DpazAEAAFgDAAAOAAAAZHJzL2Uyb0RvYy54bWysU0uO1DAQ3SNxB8t7Op/+DESdngUjRkgj&#10;GGngAG7H6UTELqtsOmlWcBDuMAtYIBBnyNyIsvvDDOwQGyvlKr96r15leT7ojm0VuhZMybNJypky&#10;EqrWbEr+9s2LJ085c16YSnRgVMl3yvHz1eNHy94WKocGukohIxDjit6WvPHeFkniZKO0cBOwylCy&#10;BtTCU4ibpELRE7rukjxNF0kPWFkEqZyj24t9kq8ifl0r6V/XtVOedSUnbj6eGM91OJPVUhQbFLZp&#10;5YGG+AcWWrSGmp6gLoQX7D22f0HpViI4qP1Egk6grlupogZSk6V/qLlphFVRCw3H2dOY3P+Dla+2&#10;18jaquRTzozQZNH4efw5/hi/3n1kd5/G7+Pt+G38Mt6yPAyrt66gNzf2GoNcZ69AvnPMwCWSe1ko&#10;SR7UhMAdqocadXhFstkQPdidPFCDZ5Iu82w6XaRklaTcdDHP8nkEFcXxtUXnLxVoFj5KjuRxHL3Y&#10;Xjkf+oviWHIgs+8fmPhhPUS12dlRzRqqHY2AdpjAGsAPnHUvDY34WTabhZWJwWx+llOA9zPrBxnf&#10;PYf9kgkjCafk0uNpHmRfZHZYtbAf9+NI9PcPsfoFAAD//wMAUEsDBBQABgAIAAAAIQBcmLGd4gAA&#10;AA0BAAAPAAAAZHJzL2Rvd25yZXYueG1sTI9BT4NAEIXvJv6HzZh4MXahohRkaaqJB5NepCbG25Yd&#10;gZSdJezS0n/v9KTH9+bLm/eK9Wx7ccTRd44UxIsIBFLtTEeNgs/d2/0KhA+ajO4doYIzeliX11eF&#10;zo070Qceq9AIDiGfawVtCEMupa9btNov3IDEtx83Wh1Yjo00oz5xuO3lMoqepNUd8YdWD/jaYn2o&#10;JqvgcN7al03y7nbp/DVO9q7L9Hel1O3NvHkGEXAOfzBc6nN1KLnT3k1kvOhZR2n2wKyCLImXIC5I&#10;Ej+ytWcrW6Ugy0L+X1H+AgAA//8DAFBLAQItABQABgAIAAAAIQC2gziS/gAAAOEBAAATAAAAAAAA&#10;AAAAAAAAAAAAAABbQ29udGVudF9UeXBlc10ueG1sUEsBAi0AFAAGAAgAAAAhADj9If/WAAAAlAEA&#10;AAsAAAAAAAAAAAAAAAAALwEAAF9yZWxzLy5yZWxzUEsBAi0AFAAGAAgAAAAhAGFQOlrMAQAAWAMA&#10;AA4AAAAAAAAAAAAAAAAALgIAAGRycy9lMm9Eb2MueG1sUEsBAi0AFAAGAAgAAAAhAFyYsZ3iAAAA&#10;DQEAAA8AAAAAAAAAAAAAAAAAJgQAAGRycy9kb3ducmV2LnhtbFBLBQYAAAAABAAEAPMAAAA1BQAA&#10;AAA=&#10;" filled="f" stroked="f">
                <v:path arrowok="t"/>
                <o:lock v:ext="edit" grouping="t"/>
                <v:textbox>
                  <w:txbxContent>
                    <w:p w:rsidR="00336CA0" w:rsidRDefault="001B0675">
                      <w:pPr>
                        <w:pStyle w:val="a7"/>
                        <w:spacing w:before="0" w:beforeAutospacing="0" w:after="0" w:afterAutospacing="0"/>
                        <w:jc w:val="right"/>
                      </w:pPr>
                      <w:r>
                        <w:rPr>
                          <w:color w:val="404040" w:themeColor="text1" w:themeTint="BF"/>
                          <w:kern w:val="24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2601595</wp:posOffset>
                </wp:positionH>
                <wp:positionV relativeFrom="paragraph">
                  <wp:posOffset>130810</wp:posOffset>
                </wp:positionV>
                <wp:extent cx="6317615" cy="650875"/>
                <wp:effectExtent l="0" t="1270" r="190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27" tIns="45713" rIns="91427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" o:spid="_x0000_s1026" type="#_x0000_t202" style="position:absolute;margin-left:204.85pt;margin-top:10.3pt;width:497.45pt;height: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w4rAIAAKQFAAAOAAAAZHJzL2Uyb0RvYy54bWysVG1vmzAQ/j5p/8Hyd8pLgQRUUrUhTJO6&#10;F63bD3CMCdbAZrYT0k377zubJE1bTZq28QHZvvNz99w9vqvrfd+hHVOaS1Hg8CLAiAkqay42Bf7y&#10;ufLmGGlDRE06KViBH5jG14vXr67GIWeRbGVXM4UAROh8HArcGjPkvq9py3qiL+TABBgbqXpiYKs2&#10;fq3ICOh950dBkPqjVPWgJGVaw2k5GfHC4TcNo+ZD02hmUFdgyM24v3L/tf37iyuSbxQZWk4PaZC/&#10;yKInXEDQE1RJDEFbxV9A9ZwqqWVjLqjsfdk0nDLHAdiEwTM29y0ZmOMCxdHDqUz6/8HS97uPCvEa&#10;eoeRID206BMUjYhNx1BkyzMOOgev+wH8zP5W7q2rpaqHO0m/aiTksgV/dqOUHFtGakgvtDf9s6sT&#10;jrYg6/GdrCEO2RrpgPaN6i0gVAMBOrTp4dQatjeIwmF6Gc7SMMGIgi1NgvkscSFIfrw9KG3eMNkj&#10;uyiwAhYOnezutLHZkPzoYoMJWfGuc+3vxJMDcJxOIDZctTabhevmjyzIVvPVPPbiKF15cVCW3k21&#10;jL20CmdJeVkul2X408YN47zldc2EDXNUVhj/WecOGp80cdKWlh2vLZxNSavNetkptCOg7Mp9h4Kc&#10;uflP03BFAC7PKIVRHNxGmVel85kXV3HiZbNg7gVhdpulQZzFZfWU0h0X7N8pobHAWRIlk5h+yy1w&#10;30tuJFdyK2rXQau61WFtCO+m9Rl7m/Eje+jwsbdOo1aWk0DXsn4AiSoJCgIdwmCDRSvVd4xGGBIF&#10;1t+2RDGMurcCZJ6FcTSDqeI2cTILLzFS55b1uYUIClAFpkZhNG2WZppF20HxTQuxpqcl5A08joY7&#10;3dpXNOV1eFIwChyXw9iys+Z877weh+viFwAAAP//AwBQSwMEFAAGAAgAAAAhAHEV0NPfAAAACwEA&#10;AA8AAABkcnMvZG93bnJldi54bWxMj0FOwzAQRfdI3MEaJHbUbohCSeNUKAJEV6gNB3BiN46Ix1Hs&#10;toHTM13R3R/N0583xWZ2AzuZKfQeJSwXApjB1useOwlf9dvDCliICrUaPBoJPybApry9KVSu/Rl3&#10;5rSPHaMSDLmSYGMcc85Da41TYeFHg7Q7+MmpSOPUcT2pM5W7gSdCZNypHumCVaOprGm/90cn4WM7&#10;ZO+z2LmtX1Wv9Wdtq+bXSnl/N7+sgUUzx38YLvqkDiU5Nf6IOrBBQiqenwiVkIgM2AVIRUqpoZQ8&#10;LoGXBb/+ofwDAAD//wMAUEsBAi0AFAAGAAgAAAAhALaDOJL+AAAA4QEAABMAAAAAAAAAAAAAAAAA&#10;AAAAAFtDb250ZW50X1R5cGVzXS54bWxQSwECLQAUAAYACAAAACEAOP0h/9YAAACUAQAACwAAAAAA&#10;AAAAAAAAAAAvAQAAX3JlbHMvLnJlbHNQSwECLQAUAAYACAAAACEAUwJMOKwCAACkBQAADgAAAAAA&#10;AAAAAAAAAAAuAgAAZHJzL2Uyb0RvYy54bWxQSwECLQAUAAYACAAAACEAcRXQ098AAAALAQAADwAA&#10;AAAAAAAAAAAAAAAGBQAAZHJzL2Rvd25yZXYueG1sUEsFBgAAAAAEAAQA8wAAABIGAAAAAA==&#10;" filled="f" stroked="f">
                <v:stroke joinstyle="round"/>
                <v:textbox inset="2.53964mm,1.2698mm,2.53964mm,1.2698mm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683260</wp:posOffset>
                </wp:positionH>
                <wp:positionV relativeFrom="paragraph">
                  <wp:posOffset>27940</wp:posOffset>
                </wp:positionV>
                <wp:extent cx="8186420" cy="777875"/>
                <wp:effectExtent l="0" t="0" r="0" b="0"/>
                <wp:wrapNone/>
                <wp:docPr id="18" name="Заголов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6420" cy="777875"/>
                        </a:xfrm>
                        <a:prstGeom prst="rect">
                          <a:avLst/>
                        </a:prstGeom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Заголовок 1" o:spid="_x0000_s1026" type="#_x0000_t202" style="position:absolute;margin-left:53.8pt;margin-top:2.2pt;width:644.6pt;height:6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1yBiQEAAOkCAAAOAAAAZHJzL2Uyb0RvYy54bWysUkFOwzAQvCPxB8t36rYCWkVNkRCCCwIk&#10;4AHGsZuI2Gt5TZO+hG8guIHEG/IkNm4pCG6Igzexd3Y8u+PZUWtrttQBK3A5Hw2GnGmnoKjcIue3&#10;N6d7U84wSlfIGpzO+UojP5rv7swan+kxlFAXOjAicZg1PudljD4TAlWprcQBeO0oaSBYGWkbFqII&#10;siF2W4vxcHgoGgiFD6A0Ip2erJN8nviN0SpeGoM6sjrnpC2mGFK866OYz2S2CNKXldrIkH9QYWXl&#10;6NIt1YmMkj2E6heVrVQABBMHCqwAYyqlUw/UzWj4o5vrUnqdeqHhoN+OCf+PVl0srwKrCvKOnHLS&#10;kkfdY/fUvXTv3RutZ1qvbNQPqvGYEf7aU0Vsj6GlotQ0+nNQ90gQ8Q2zLkBC94NpTbD9l1pmVEhe&#10;rLbz121kig6no+nh/phSinKTyWQ6OejvFV/VPmA802BZ/5PzQP4mBXJ5jnEN/YRsxKzv72XdQbG6&#10;Cp8iaZ6JeeN9b9j3far+eqHzDwAAAP//AwBQSwMEFAAGAAgAAAAhAMftzXXeAAAACgEAAA8AAABk&#10;cnMvZG93bnJldi54bWxMj8FOwzAQRO9I/IO1SNyoQ6kCTeNUCKkCIS6EfoAbu3GUeG3FdhL4erYn&#10;uO1oRrNvyv1iBzbpMXQOBdyvMmAaG6c6bAUcvw53T8BClKjk4FAL+NYB9tX1VSkL5Wb81FMdW0Yl&#10;GAopwMToC85DY7SVYeW8RvLObrQykhxbrkY5U7kd+DrLcm5lh/TBSK9fjG76OlkBh/T6Zqcfnvx7&#10;3cxofJ+OH70QtzfL8w5Y1Ev8C8MFn9ChIqaTS6gCG0hnjzlFBWw2wC7+wzanLSe61vkWeFXy/xOq&#10;XwAAAP//AwBQSwECLQAUAAYACAAAACEAtoM4kv4AAADhAQAAEwAAAAAAAAAAAAAAAAAAAAAAW0Nv&#10;bnRlbnRfVHlwZXNdLnhtbFBLAQItABQABgAIAAAAIQA4/SH/1gAAAJQBAAALAAAAAAAAAAAAAAAA&#10;AC8BAABfcmVscy8ucmVsc1BLAQItABQABgAIAAAAIQCXH1yBiQEAAOkCAAAOAAAAAAAAAAAAAAAA&#10;AC4CAABkcnMvZTJvRG9jLnhtbFBLAQItABQABgAIAAAAIQDH7c113gAAAAoBAAAPAAAAAAAAAAAA&#10;AAAAAOMDAABkcnMvZG93bnJldi54bWxQSwUGAAAAAAQABADzAAAA7gQAAAAA&#10;" filled="f" stroked="f">
                <v:path arrowok="t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6084C" w:rsidRDefault="00991CAD">
      <w:p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 Анализ нормативно-правового регулирования государственного (муниципального) финансового контроля в целях формирования модели.</w:t>
      </w:r>
      <w:bookmarkStart w:id="0" w:name="_GoBack"/>
      <w:bookmarkEnd w:id="0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(муниципальный) финансовый контроль регулируется с</w:t>
      </w:r>
      <w:r>
        <w:rPr>
          <w:rFonts w:ascii="Times New Roman" w:hAnsi="Times New Roman" w:cs="Times New Roman"/>
          <w:sz w:val="28"/>
          <w:szCs w:val="28"/>
        </w:rPr>
        <w:t>ледующими законодательными актами Российской Федерации: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Бюджетным кодексом Российской Федерации;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Федеральным законом от 5 апреля 2013 г. № 41-ФЗ «О Счетной палате Российской Федерации»;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Федеральным законом от 7 февраля 2011 г. № 6-ФЗ «Об общих </w:t>
      </w:r>
      <w:r>
        <w:rPr>
          <w:rFonts w:ascii="Times New Roman" w:hAnsi="Times New Roman" w:cs="Times New Roman"/>
          <w:sz w:val="28"/>
          <w:szCs w:val="28"/>
        </w:rPr>
        <w:t>принципах организации и деятельности контрольно-счетных органов субъектов Российской Федерации и муниципальных образований.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(муниципальный) финансовый контроль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со статьей 265 Бюджетного кодекса Российской Федерации подраздел</w:t>
      </w:r>
      <w:r>
        <w:rPr>
          <w:rFonts w:ascii="Times New Roman" w:hAnsi="Times New Roman" w:cs="Times New Roman"/>
          <w:sz w:val="28"/>
          <w:szCs w:val="28"/>
        </w:rPr>
        <w:t>яется на внешний и внутренний государственный (муниципальный) финансовый контроль и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</w:t>
      </w:r>
      <w:r>
        <w:rPr>
          <w:rFonts w:ascii="Times New Roman" w:hAnsi="Times New Roman" w:cs="Times New Roman"/>
          <w:sz w:val="28"/>
          <w:szCs w:val="28"/>
        </w:rPr>
        <w:t>тижение целей государственного (муниципального) финансового контроля осуществляется посредством предварительного и последующего контроля.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Предварительный контроль осуществляется в целях предупреждения и пресечения бюджетных нарушений в процессе исполнения </w:t>
      </w:r>
      <w:r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исполнения, достоверности учета </w:t>
      </w:r>
      <w:r>
        <w:rPr>
          <w:rFonts w:ascii="Times New Roman" w:hAnsi="Times New Roman" w:cs="Times New Roman"/>
          <w:sz w:val="28"/>
          <w:szCs w:val="28"/>
        </w:rPr>
        <w:br/>
        <w:t>и отчетности.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Бюджетным кодек</w:t>
      </w:r>
      <w:r>
        <w:rPr>
          <w:rFonts w:ascii="Times New Roman" w:hAnsi="Times New Roman" w:cs="Times New Roman"/>
          <w:sz w:val="28"/>
          <w:szCs w:val="28"/>
        </w:rPr>
        <w:t>сом Российской Федерации установлено не только разграничение органов внутреннего и внешнего государственного (муниципального) финансового контроля, но и различные задачи, решаемые ими в процессе осуществления контрольных полномочий.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согласно пункту 2 </w:t>
      </w:r>
      <w:r>
        <w:rPr>
          <w:rFonts w:ascii="Times New Roman" w:hAnsi="Times New Roman" w:cs="Times New Roman"/>
          <w:sz w:val="28"/>
          <w:szCs w:val="28"/>
        </w:rPr>
        <w:t xml:space="preserve">статьи 265 Бюджетного кодекса Российской Федерации внешний государственный (муниципальный) финансовый контроль является контрольной деятельностью соответственно Счетной палаты Российской Федерации, контрольно-счетных органов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t>и муниципальных образований.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Основными задачами Счетной палаты Российской Федерации, контрольно-счетных органов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 xml:space="preserve"> и муниципальных образований исходя из положений статьи 268.1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Бюджетного кодекса Российской Федерации, Федерально</w:t>
      </w:r>
      <w:r>
        <w:rPr>
          <w:rFonts w:ascii="Times New Roman" w:hAnsi="Times New Roman" w:cs="Times New Roman"/>
          <w:sz w:val="28"/>
          <w:szCs w:val="28"/>
        </w:rPr>
        <w:t>го закона</w:t>
      </w:r>
      <w:r>
        <w:rPr>
          <w:rFonts w:ascii="Times New Roman" w:hAnsi="Times New Roman" w:cs="Times New Roman"/>
          <w:sz w:val="28"/>
          <w:szCs w:val="28"/>
        </w:rPr>
        <w:br/>
        <w:t xml:space="preserve"> от 5 апреля 2013 г. № 41-ФЗ «О Счетной палате Российской Федерации» </w:t>
      </w:r>
      <w:r>
        <w:rPr>
          <w:rFonts w:ascii="Times New Roman" w:hAnsi="Times New Roman" w:cs="Times New Roman"/>
          <w:sz w:val="28"/>
          <w:szCs w:val="28"/>
        </w:rPr>
        <w:br/>
        <w:t>и Федерального закона от 7 февраля 2011 г. № 6-ФЗ «Об общих принципах организации и деятельности контрольно-счетных органов субъектов Российской Федерации и муниципальных образ</w:t>
      </w:r>
      <w:r>
        <w:rPr>
          <w:rFonts w:ascii="Times New Roman" w:hAnsi="Times New Roman" w:cs="Times New Roman"/>
          <w:sz w:val="28"/>
          <w:szCs w:val="28"/>
        </w:rPr>
        <w:t>ований» являются: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организация и осуществление контроля за целевым и эффективным использованием средств бюджетов бюджетной системы Российской Федерации;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аудит реализуемости и результативности достижения стратегических целей социально-экономического разв</w:t>
      </w:r>
      <w:r>
        <w:rPr>
          <w:rFonts w:ascii="Times New Roman" w:hAnsi="Times New Roman" w:cs="Times New Roman"/>
          <w:sz w:val="28"/>
          <w:szCs w:val="28"/>
        </w:rPr>
        <w:t>ития Российской Федерации;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определение эффективности и соответствия нормативным правовым актам Российской Федерации порядка формирования, управления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и распоряжения федеральными и иными ресурсами;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анализ выявленных недостатков и нарушений в процессе ф</w:t>
      </w:r>
      <w:r>
        <w:rPr>
          <w:rFonts w:ascii="Times New Roman" w:hAnsi="Times New Roman" w:cs="Times New Roman"/>
          <w:sz w:val="28"/>
          <w:szCs w:val="28"/>
        </w:rPr>
        <w:t xml:space="preserve">ормирования, управления и распоряжения федеральными и иными ресурсами, выработка предложений по их устранению, а также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совершенствованию бюджетного процесса;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оценка эффективности предоставления налоговых и иных льгот </w:t>
      </w:r>
      <w:r>
        <w:rPr>
          <w:rFonts w:ascii="Times New Roman" w:hAnsi="Times New Roman" w:cs="Times New Roman"/>
          <w:sz w:val="28"/>
          <w:szCs w:val="28"/>
        </w:rPr>
        <w:br/>
        <w:t>и преимуществ, бюджетных кредит</w:t>
      </w:r>
      <w:r>
        <w:rPr>
          <w:rFonts w:ascii="Times New Roman" w:hAnsi="Times New Roman" w:cs="Times New Roman"/>
          <w:sz w:val="28"/>
          <w:szCs w:val="28"/>
        </w:rPr>
        <w:t xml:space="preserve">ов за счет средств бюджетов бюджетной системы Российской Федерации, а также оценка законности предоставления государственных гарантий и поручительств </w:t>
      </w:r>
      <w:r>
        <w:rPr>
          <w:rFonts w:ascii="Times New Roman" w:hAnsi="Times New Roman" w:cs="Times New Roman"/>
          <w:sz w:val="28"/>
          <w:szCs w:val="28"/>
        </w:rPr>
        <w:br/>
        <w:t>или обеспечения исполнения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др</w:t>
      </w:r>
      <w:proofErr w:type="gramEnd"/>
      <w:r>
        <w:rPr>
          <w:rFonts w:ascii="Times New Roman" w:hAnsi="Times New Roman" w:cs="Times New Roman"/>
          <w:sz w:val="28"/>
          <w:szCs w:val="28"/>
        </w:rPr>
        <w:t>угими способами по сделкам, совершаемым юридическими лицами и и</w:t>
      </w:r>
      <w:r>
        <w:rPr>
          <w:rFonts w:ascii="Times New Roman" w:hAnsi="Times New Roman" w:cs="Times New Roman"/>
          <w:sz w:val="28"/>
          <w:szCs w:val="28"/>
        </w:rPr>
        <w:t>ндивидуальными предпринимателями за счет федеральных и иных ресурсов;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определение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достоверности бюджетной отчетности главных администраторов средств бюджета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бюджетов государственных внебюджетных фондов Российской Федерации и годового отчета </w:t>
      </w:r>
      <w:r>
        <w:rPr>
          <w:rFonts w:ascii="Times New Roman" w:hAnsi="Times New Roman" w:cs="Times New Roman"/>
          <w:sz w:val="28"/>
          <w:szCs w:val="28"/>
        </w:rPr>
        <w:br/>
        <w:t>об исполне</w:t>
      </w:r>
      <w:r>
        <w:rPr>
          <w:rFonts w:ascii="Times New Roman" w:hAnsi="Times New Roman" w:cs="Times New Roman"/>
          <w:sz w:val="28"/>
          <w:szCs w:val="28"/>
        </w:rPr>
        <w:t>нии федерального бюджета, бюджетов государственных внебюджетных фондов Российской Федерации;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контроль за законностью и своевременностью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движения средств бюджетов бюджетной системы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средств государственных внебюджетных фондов в Центр</w:t>
      </w:r>
      <w:r>
        <w:rPr>
          <w:rFonts w:ascii="Times New Roman" w:hAnsi="Times New Roman" w:cs="Times New Roman"/>
          <w:sz w:val="28"/>
          <w:szCs w:val="28"/>
        </w:rPr>
        <w:t>альном банке Российской Федерации, уполномоченных банках и иных кредитных организациях Российской Федерации;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обеспечение в пределах своей компетенции мер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противодействию коррупции.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государственный (муниципальный) финансовый контроль согла</w:t>
      </w:r>
      <w:r>
        <w:rPr>
          <w:rFonts w:ascii="Times New Roman" w:hAnsi="Times New Roman" w:cs="Times New Roman"/>
          <w:sz w:val="28"/>
          <w:szCs w:val="28"/>
        </w:rPr>
        <w:t xml:space="preserve">сно пункту 3 статьи 265 Бюджетного кодекса Российской Федерации является контрольной деятельностью Федерального казначейства, органов государственного (муниципального) финансового </w:t>
      </w:r>
      <w:r>
        <w:rPr>
          <w:rFonts w:ascii="Times New Roman" w:hAnsi="Times New Roman" w:cs="Times New Roman"/>
          <w:sz w:val="28"/>
          <w:szCs w:val="28"/>
        </w:rPr>
        <w:lastRenderedPageBreak/>
        <w:t>контроля, являющихся соответственно органами (должностными лицами) исполните</w:t>
      </w:r>
      <w:r>
        <w:rPr>
          <w:rFonts w:ascii="Times New Roman" w:hAnsi="Times New Roman" w:cs="Times New Roman"/>
          <w:sz w:val="28"/>
          <w:szCs w:val="28"/>
        </w:rPr>
        <w:t>льной власти субъектов Российской Федерации, местных администраций, финансовых органов субъектов Российской Федерации (муниципальных образований).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Исходя из положений пункта 1 статьи 269.2 Бюджетного кодекса Российской Федерации цель внутреннего государств</w:t>
      </w:r>
      <w:r>
        <w:rPr>
          <w:rFonts w:ascii="Times New Roman" w:hAnsi="Times New Roman" w:cs="Times New Roman"/>
          <w:sz w:val="28"/>
          <w:szCs w:val="28"/>
        </w:rPr>
        <w:t>енного (муниципального) финансового контроля в целом совпадает с целью государственного (муниципального) финансового контроля – соблюдение бюджетного законодательства Российской Федерации и иных нормативных правовых актов, регулирующих бюджетные правоотнош</w:t>
      </w:r>
      <w:r>
        <w:rPr>
          <w:rFonts w:ascii="Times New Roman" w:hAnsi="Times New Roman" w:cs="Times New Roman"/>
          <w:sz w:val="28"/>
          <w:szCs w:val="28"/>
        </w:rPr>
        <w:t xml:space="preserve">ения, но ее можно конкретизировать обозначением областей, </w:t>
      </w:r>
      <w:r>
        <w:rPr>
          <w:rFonts w:ascii="Times New Roman" w:hAnsi="Times New Roman" w:cs="Times New Roman"/>
          <w:sz w:val="28"/>
          <w:szCs w:val="28"/>
        </w:rPr>
        <w:br/>
        <w:t>в которых проводится данный вид контроля, а именно контроль за: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использованием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 совершении платежных операций </w:t>
      </w:r>
      <w:r>
        <w:rPr>
          <w:rFonts w:ascii="Times New Roman" w:hAnsi="Times New Roman" w:cs="Times New Roman"/>
          <w:sz w:val="28"/>
          <w:szCs w:val="28"/>
        </w:rPr>
        <w:br/>
        <w:t>и предоставлении средств;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исполнением бюджетов бюджетной системы;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по</w:t>
      </w:r>
      <w:r>
        <w:rPr>
          <w:rFonts w:ascii="Times New Roman" w:hAnsi="Times New Roman" w:cs="Times New Roman"/>
          <w:sz w:val="28"/>
          <w:szCs w:val="28"/>
        </w:rPr>
        <w:t xml:space="preserve">лнотой и достоверностью отчетности о реализации государственных программ Российской Федерации, в том числе </w:t>
      </w:r>
      <w:r>
        <w:rPr>
          <w:rFonts w:ascii="Times New Roman" w:hAnsi="Times New Roman" w:cs="Times New Roman"/>
          <w:sz w:val="28"/>
          <w:szCs w:val="28"/>
        </w:rPr>
        <w:br/>
        <w:t>об исполнении государственных заданий;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соблюдением законодательства, регулирующего порядок осуществления закупок в рамках контрактной системы;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и</w:t>
      </w:r>
      <w:r>
        <w:rPr>
          <w:rFonts w:ascii="Times New Roman" w:hAnsi="Times New Roman" w:cs="Times New Roman"/>
          <w:sz w:val="28"/>
          <w:szCs w:val="28"/>
        </w:rPr>
        <w:t>спользованием средств Фонда содействия реформированию жилищно-коммунального хозяйства.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отметить, что на органы внутреннего государственного (муниципального) финансового контроля частью 8 статьи 99 Федерального закона от 5 апреля 2013 г. № 44-ФЗ </w:t>
      </w:r>
      <w:r>
        <w:rPr>
          <w:rFonts w:ascii="Times New Roman" w:hAnsi="Times New Roman" w:cs="Times New Roman"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муниципальных нужд» (далее – Федеральный закон № 44-ФЗ) возложены полномочия по осуществлению контроля в отношении: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соблюдения требований к обоснованию закуп</w:t>
      </w:r>
      <w:r>
        <w:rPr>
          <w:rFonts w:ascii="Times New Roman" w:hAnsi="Times New Roman" w:cs="Times New Roman"/>
          <w:sz w:val="28"/>
          <w:szCs w:val="28"/>
        </w:rPr>
        <w:t>ок, предусмотренных статьей 18 Федерального закона № 44-ФЗ, и обоснованности закупок;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соблюдения правил нормирования в сфере закупок, предусмотренного статьей 19 Федерального закона № 44-ФЗ;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обоснования начальной (максимальной) цены контракта, цены кон</w:t>
      </w:r>
      <w:r>
        <w:rPr>
          <w:rFonts w:ascii="Times New Roman" w:hAnsi="Times New Roman" w:cs="Times New Roman"/>
          <w:sz w:val="28"/>
          <w:szCs w:val="28"/>
        </w:rPr>
        <w:t>тракта, заключаемого с единственным поставщиком (подрядчиком, исполнителем), включенной в план-график;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соответствия поставленного товара, выполненной работы </w:t>
      </w:r>
      <w:r>
        <w:rPr>
          <w:rFonts w:ascii="Times New Roman" w:hAnsi="Times New Roman" w:cs="Times New Roman"/>
          <w:sz w:val="28"/>
          <w:szCs w:val="28"/>
        </w:rPr>
        <w:br/>
        <w:t>(ее результата) или оказанной услуги условиям контракта;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 своевременности, полноты и достоверности отражения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документах учета поставленного товара, выполненной работы </w:t>
      </w:r>
      <w:r>
        <w:rPr>
          <w:rFonts w:ascii="Times New Roman" w:hAnsi="Times New Roman" w:cs="Times New Roman"/>
          <w:sz w:val="28"/>
          <w:szCs w:val="28"/>
        </w:rPr>
        <w:br/>
        <w:t>(ее результата) или оказанн</w:t>
      </w:r>
      <w:r>
        <w:rPr>
          <w:rFonts w:ascii="Times New Roman" w:hAnsi="Times New Roman" w:cs="Times New Roman"/>
          <w:sz w:val="28"/>
          <w:szCs w:val="28"/>
        </w:rPr>
        <w:t>ой услуги;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соответствия использования поставленного товара, выполненной работы (ее результата) или оказанной услуги целям осуществления закупки.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 государственного (муниципального) финансового контроля определены статьей 266.1 Бюджетного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Федерации, </w:t>
      </w:r>
      <w:r>
        <w:rPr>
          <w:rFonts w:ascii="Times New Roman" w:hAnsi="Times New Roman" w:cs="Times New Roman"/>
          <w:sz w:val="28"/>
          <w:szCs w:val="28"/>
        </w:rPr>
        <w:br/>
        <w:t>при этом объекты контроля, как для внешнего, так и для внутреннего государственного (муниципального) финансового контроля идентичны.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Федеральное казначейство как орган внутреннего государственного финансового контроля согл</w:t>
      </w:r>
      <w:r>
        <w:rPr>
          <w:rFonts w:ascii="Times New Roman" w:hAnsi="Times New Roman" w:cs="Times New Roman"/>
          <w:sz w:val="28"/>
          <w:szCs w:val="28"/>
        </w:rPr>
        <w:t xml:space="preserve">асно пунктам 3, 4 статьи 157 Бюджетного кодекса Российской Федерации осуществляет: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</w:t>
      </w:r>
      <w:r>
        <w:rPr>
          <w:rFonts w:ascii="Times New Roman" w:hAnsi="Times New Roman" w:cs="Times New Roman"/>
          <w:sz w:val="28"/>
          <w:szCs w:val="28"/>
        </w:rPr>
        <w:t>ъектов Российской Федерации (местных администраций);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анализ осуществления главными администраторами бюджетных средств, не являющимися органами, указанными в пункте 2 статьи 265 Бюджетного кодекса Российской Федерации, внутреннего финансового контроля и в</w:t>
      </w:r>
      <w:r>
        <w:rPr>
          <w:rFonts w:ascii="Times New Roman" w:hAnsi="Times New Roman" w:cs="Times New Roman"/>
          <w:sz w:val="28"/>
          <w:szCs w:val="28"/>
        </w:rPr>
        <w:t>нутреннего финансового аудита.</w:t>
      </w:r>
    </w:p>
    <w:p w:rsidR="0096084C" w:rsidRDefault="00991CAD">
      <w:pPr>
        <w:spacing w:after="0" w:line="340" w:lineRule="atLeast"/>
        <w:ind w:firstLine="54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анализе нормативно-правового регулирования государственного (муниципального) финансового контроля представляется необходимым также рассмотреть полномочия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главного распорядителя (распорядителя) бюджетных средств, главного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аудита, установленные статьей 160.2-1 Бюджетног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 кодекса Российской Федерации.</w:t>
      </w:r>
    </w:p>
    <w:p w:rsidR="0096084C" w:rsidRDefault="00991CAD">
      <w:pPr>
        <w:spacing w:after="0" w:line="34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Так, согласно пункта 2  Правил осуществления главными распорядителями (распорядителями) средств федерального бюджета (бюджета государственного внебюджетного фонда Российской Федерации), главными администраторами (администрат</w:t>
      </w:r>
      <w:r>
        <w:rPr>
          <w:rFonts w:ascii="Times New Roman" w:eastAsia="Times New Roman" w:hAnsi="Times New Roman" w:cs="Times New Roman"/>
          <w:sz w:val="28"/>
          <w:szCs w:val="28"/>
        </w:rPr>
        <w:t>орами) доходов федерального бюджета (бюджета государственного внебюджетного фонда Российской Федерации), главными администраторами (администраторами) источников финансирования дефицита федерального бюджета (бюджета государственного внебюджетного фонда Росс</w:t>
      </w:r>
      <w:r>
        <w:rPr>
          <w:rFonts w:ascii="Times New Roman" w:eastAsia="Times New Roman" w:hAnsi="Times New Roman" w:cs="Times New Roman"/>
          <w:sz w:val="28"/>
          <w:szCs w:val="28"/>
        </w:rPr>
        <w:t>ийской Федерации) внутреннего финансового контроля и внутреннего финансового аудита, утвержденных постановлением Правительства Российской Федерации от 17 марта 2014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г. № 193 (далее – Правила № 193), внутренний финансовый контроль направлен на соблюдение 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утренних стандартов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 процедур составления и исполнения бюджета, составления бюджетной отчетности и ведения бюджетного учета этими главными администраторами бюджетных средств и подведомственными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им администраторами бюджетных средств. При этом при проведе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нии внутреннего финансового контроля главные распорядители бюджетных средств должны подготовить и организовать осуществление мер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 повышению экономности и результативности использования бюджетных средств.</w:t>
      </w:r>
    </w:p>
    <w:p w:rsidR="0096084C" w:rsidRDefault="00991CAD">
      <w:pPr>
        <w:spacing w:after="0" w:line="34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Внутренний финансовый аудит в соответствии с пунк</w:t>
      </w:r>
      <w:r>
        <w:rPr>
          <w:rFonts w:ascii="Times New Roman" w:eastAsia="Times New Roman" w:hAnsi="Times New Roman" w:cs="Times New Roman"/>
          <w:sz w:val="28"/>
          <w:szCs w:val="28"/>
        </w:rPr>
        <w:t>том 29 Правил № 193 осуществляется на основе функциональной независимости в целях:</w:t>
      </w:r>
    </w:p>
    <w:p w:rsidR="0096084C" w:rsidRDefault="00991CAD">
      <w:pPr>
        <w:spacing w:after="0" w:line="34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 оценки надежности внутреннего финансового контроля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подготовки рекомендаций по повышению его эффективности;</w:t>
      </w:r>
    </w:p>
    <w:p w:rsidR="0096084C" w:rsidRDefault="00991CAD">
      <w:pPr>
        <w:spacing w:after="0" w:line="34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 подтверждения достоверности бюджетной отчетности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соответствия порядка ведения бюджетного учета методологии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стандартам бюджетного учета, установленным Министерством финансов Российской Федерации;</w:t>
      </w:r>
    </w:p>
    <w:p w:rsidR="0096084C" w:rsidRDefault="00991CAD">
      <w:pPr>
        <w:spacing w:after="0" w:line="34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 подготовки предложений по повышению экономности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результативности использования бюджетных средств.</w:t>
      </w:r>
    </w:p>
    <w:p w:rsidR="0096084C" w:rsidRDefault="0096084C">
      <w:pPr>
        <w:spacing w:after="0" w:line="340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 Формирование модели внутреннего государственного (муниципального) финансового контроля.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формирования модели внутреннего государственного (муниципального) финансового контроля необходимо отметить следующее.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Единство целей государственного (муницип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ального) финансового контроля предполагает системную взаимосвязь их органов.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органы внешнего и внутреннего государственного (муниципального) финансового контроля функционируют автономно </w:t>
      </w:r>
      <w:r>
        <w:rPr>
          <w:rFonts w:ascii="Times New Roman" w:hAnsi="Times New Roman" w:cs="Times New Roman"/>
          <w:sz w:val="28"/>
          <w:szCs w:val="28"/>
        </w:rPr>
        <w:br/>
        <w:t>и не составляют единой «вертикали» контрольной вла</w:t>
      </w:r>
      <w:r>
        <w:rPr>
          <w:rFonts w:ascii="Times New Roman" w:hAnsi="Times New Roman" w:cs="Times New Roman"/>
          <w:sz w:val="28"/>
          <w:szCs w:val="28"/>
        </w:rPr>
        <w:t xml:space="preserve">сти, хотя очевидны </w:t>
      </w:r>
      <w:r>
        <w:rPr>
          <w:rFonts w:ascii="Times New Roman" w:hAnsi="Times New Roman" w:cs="Times New Roman"/>
          <w:sz w:val="28"/>
          <w:szCs w:val="28"/>
        </w:rPr>
        <w:br/>
        <w:t xml:space="preserve">и взаимосвязи между ними, позволяющие рассматривать их в рамках единой системы контроля.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общим задачам для органов внешнего и внутреннего государственного (муниципального) финансового контроля можно отнести обеспечение исполнения бюд</w:t>
      </w:r>
      <w:r>
        <w:rPr>
          <w:rFonts w:ascii="Times New Roman" w:hAnsi="Times New Roman" w:cs="Times New Roman"/>
          <w:sz w:val="28"/>
          <w:szCs w:val="28"/>
        </w:rPr>
        <w:t xml:space="preserve">жета, соблюдение бюджетных процедур, защита средств бюджетов от противоправных посягательств.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должен позволять обнаружить отклонения от принятых стандартов, выявить на возможно более ранней стадии нарушения принципов законности и эффективности ис</w:t>
      </w:r>
      <w:r>
        <w:rPr>
          <w:rFonts w:ascii="Times New Roman" w:hAnsi="Times New Roman" w:cs="Times New Roman"/>
          <w:sz w:val="28"/>
          <w:szCs w:val="28"/>
        </w:rPr>
        <w:t xml:space="preserve">пользования (расходования) бюджетных средств.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контроля согласно статье 265 Бюджетного кодекса Российской Федерации осуществляют как предварительный,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 и последующий контроль. Предварительный контроль проводится </w:t>
      </w:r>
      <w:r>
        <w:rPr>
          <w:rFonts w:ascii="Times New Roman" w:hAnsi="Times New Roman" w:cs="Times New Roman"/>
          <w:sz w:val="28"/>
          <w:szCs w:val="28"/>
        </w:rPr>
        <w:br/>
        <w:t>в целях предупреждения и пресечен</w:t>
      </w:r>
      <w:r>
        <w:rPr>
          <w:rFonts w:ascii="Times New Roman" w:hAnsi="Times New Roman" w:cs="Times New Roman"/>
          <w:sz w:val="28"/>
          <w:szCs w:val="28"/>
        </w:rPr>
        <w:t xml:space="preserve">ия бюджетных нарушений в процессе исполнения бюджетов бюджетной системы Российской Федерации, последующий – по результатам исполнения бюджетов для установления законности их исполнения, достоверности учета и отчетности.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итоге в ходе контрольной деятельн</w:t>
      </w:r>
      <w:r>
        <w:rPr>
          <w:rFonts w:ascii="Times New Roman" w:hAnsi="Times New Roman" w:cs="Times New Roman"/>
          <w:sz w:val="28"/>
          <w:szCs w:val="28"/>
        </w:rPr>
        <w:t>ости должны приниматься меры как корректирующего, так и предупреждающего характера, должно осуществляться не только выявление, но и пресечение (недопущение) нарушений.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необходимо отметить, что на сегодняшний день </w:t>
      </w:r>
      <w:r>
        <w:rPr>
          <w:rFonts w:ascii="Times New Roman" w:hAnsi="Times New Roman" w:cs="Times New Roman"/>
          <w:sz w:val="28"/>
          <w:szCs w:val="28"/>
        </w:rPr>
        <w:br/>
        <w:t>на законодательном уровне не</w:t>
      </w:r>
      <w:r>
        <w:rPr>
          <w:rFonts w:ascii="Times New Roman" w:hAnsi="Times New Roman" w:cs="Times New Roman"/>
          <w:sz w:val="28"/>
          <w:szCs w:val="28"/>
        </w:rPr>
        <w:t xml:space="preserve"> закреплено осуществление внутреннего государственного (муниципального) финансового контроля посредством текущего контроля (контроль, осуществляемый в процессе исполнения бюджета, расходования средств).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исходя из положений статьи 269.1 Бюджетного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к текущему контролю по своей сути относится осуществление полномочий Федерального казначейства (финансовых органов субъектов Российской Федерации или муниципальных образований) по осуществлению внутреннего государственного (м</w:t>
      </w:r>
      <w:r>
        <w:rPr>
          <w:rFonts w:ascii="Times New Roman" w:hAnsi="Times New Roman" w:cs="Times New Roman"/>
          <w:sz w:val="28"/>
          <w:szCs w:val="28"/>
        </w:rPr>
        <w:t>униципального) финансового контроля при санкционировании операций.</w:t>
      </w:r>
    </w:p>
    <w:p w:rsidR="0096084C" w:rsidRDefault="00991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казначейство (финансовые органы субъектов Российской Федерации или муниципальных образований) при санкционировании операций согласно пункту 1 статьи 269.1 Бюджетного кодекса </w:t>
      </w:r>
      <w:r>
        <w:rPr>
          <w:rFonts w:ascii="Times New Roman" w:hAnsi="Times New Roman" w:cs="Times New Roman"/>
          <w:sz w:val="28"/>
          <w:szCs w:val="28"/>
        </w:rPr>
        <w:t>Российской Федерации осуществляют: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непревышением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суммы по операции над лимитами бюджетных обязательств и (или) бюджетными ассигнованиями;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содержания проводимой операции коду бюджетной классификации Российской Федер</w:t>
      </w:r>
      <w:r>
        <w:rPr>
          <w:rFonts w:ascii="Times New Roman" w:hAnsi="Times New Roman" w:cs="Times New Roman"/>
          <w:sz w:val="28"/>
          <w:szCs w:val="28"/>
        </w:rPr>
        <w:t xml:space="preserve">ации, указанному </w:t>
      </w:r>
      <w:r>
        <w:rPr>
          <w:rFonts w:ascii="Times New Roman" w:hAnsi="Times New Roman" w:cs="Times New Roman"/>
          <w:sz w:val="28"/>
          <w:szCs w:val="28"/>
        </w:rPr>
        <w:br/>
        <w:t>в платежном документе, представленном в Федеральное казначейство получателем бюджетных средств;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наличием документов, подтверждающих возникновение денежного обязательства, подлежащего оплате за счет средств бюджета;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контрол</w:t>
      </w:r>
      <w:r>
        <w:rPr>
          <w:rFonts w:ascii="Times New Roman" w:hAnsi="Times New Roman" w:cs="Times New Roman"/>
          <w:sz w:val="28"/>
          <w:szCs w:val="28"/>
        </w:rPr>
        <w:t xml:space="preserve">ь за соответствием сведений о поставленном на учет бюджетном обязательстве по государственному (муниципальному) контракту сведениям о данном государственном (муниципальном) контракте, содержащемся в предусмотренном законодательством Российской Федерации 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заказчиками.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Представляется, что предварительный и текущий внутренний государственный (муниципальный) финансовый </w:t>
      </w:r>
      <w:r>
        <w:rPr>
          <w:rFonts w:ascii="Times New Roman" w:hAnsi="Times New Roman" w:cs="Times New Roman"/>
          <w:sz w:val="28"/>
          <w:szCs w:val="28"/>
        </w:rPr>
        <w:t>контроль должен быть направлен на достижение следующих целей: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выявление рисков совершения нарушений и их устранение, пресечение нарушений бюджетного законодательства Российской Федерации и иных нормативных правовых актов, регулирующих бюджетные правоотно</w:t>
      </w:r>
      <w:r>
        <w:rPr>
          <w:rFonts w:ascii="Times New Roman" w:hAnsi="Times New Roman" w:cs="Times New Roman"/>
          <w:sz w:val="28"/>
          <w:szCs w:val="28"/>
        </w:rPr>
        <w:t>шения, а также правомерных действий должностных лиц, негативно влияющих на осуществление главными администраторами (администраторами) и получателями бюджетных средств бюджетных полномочий и (или) на эффективность использования бюджетных средств;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управлен</w:t>
      </w:r>
      <w:r>
        <w:rPr>
          <w:rFonts w:ascii="Times New Roman" w:hAnsi="Times New Roman" w:cs="Times New Roman"/>
          <w:sz w:val="28"/>
          <w:szCs w:val="28"/>
        </w:rPr>
        <w:t xml:space="preserve">ие рисками полного или частичного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результатов выполнения внутренних бюджетных процедур;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 </w:t>
      </w:r>
      <w:r>
        <w:rPr>
          <w:rFonts w:ascii="Times New Roman" w:hAnsi="Times New Roman" w:cs="Times New Roman"/>
          <w:sz w:val="28"/>
          <w:szCs w:val="28"/>
        </w:rPr>
        <w:t xml:space="preserve">повышение экономности и результативности использования бюджетных средств.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Последующий внутренний государственный (муниципальный) финансовый контроль в б</w:t>
      </w:r>
      <w:r>
        <w:rPr>
          <w:rFonts w:ascii="Times New Roman" w:hAnsi="Times New Roman" w:cs="Times New Roman"/>
          <w:sz w:val="28"/>
          <w:szCs w:val="28"/>
        </w:rPr>
        <w:t xml:space="preserve">ольшей степени направлен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выявление нарушений бюджетного законодательства Российской Федерации и иных нормативных правовых актов, регулирующих бюджетные правоотношения, принятие мер по их устранению, а также устранению причин и условий их совершения;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привлечение виновных должностных лиц к ответственности, предусмотренной законодательством Российской Федерации;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возмещение ущерба, возврат неправомерно использованных бюджетных средств;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осуществление контроля за своевременным и полным устранением выя</w:t>
      </w:r>
      <w:r>
        <w:rPr>
          <w:rFonts w:ascii="Times New Roman" w:hAnsi="Times New Roman" w:cs="Times New Roman"/>
          <w:sz w:val="28"/>
          <w:szCs w:val="28"/>
        </w:rPr>
        <w:t xml:space="preserve">вленных по результатам контрольных мероприятий нарушений </w:t>
      </w:r>
      <w:r>
        <w:rPr>
          <w:rFonts w:ascii="Times New Roman" w:hAnsi="Times New Roman" w:cs="Times New Roman"/>
          <w:sz w:val="28"/>
          <w:szCs w:val="28"/>
        </w:rPr>
        <w:br/>
        <w:t>и недостатков, за принятием решений по возмещению причиненного государству ущерба;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пресечение и предупреждение правонарушений в бюджетной сфере, определение меры ответственности за совершение прав</w:t>
      </w:r>
      <w:r>
        <w:rPr>
          <w:rFonts w:ascii="Times New Roman" w:hAnsi="Times New Roman" w:cs="Times New Roman"/>
          <w:sz w:val="28"/>
          <w:szCs w:val="28"/>
        </w:rPr>
        <w:t xml:space="preserve">онарушений </w:t>
      </w:r>
      <w:r>
        <w:rPr>
          <w:rFonts w:ascii="Times New Roman" w:hAnsi="Times New Roman" w:cs="Times New Roman"/>
          <w:sz w:val="28"/>
          <w:szCs w:val="28"/>
        </w:rPr>
        <w:br/>
        <w:t>в бюджетной сфере.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при осуществлении внутреннего государственного (муниципального) финансового контроля должны осуществляться систематическое обобщение и анализ материалов контрольных мероприятий, разработка мер по совершенствован</w:t>
      </w:r>
      <w:r>
        <w:rPr>
          <w:rFonts w:ascii="Times New Roman" w:hAnsi="Times New Roman" w:cs="Times New Roman"/>
          <w:sz w:val="28"/>
          <w:szCs w:val="28"/>
        </w:rPr>
        <w:t>ию внутреннего финансового контроля.</w:t>
      </w:r>
    </w:p>
    <w:p w:rsidR="0096084C" w:rsidRDefault="00991CAD">
      <w:pPr>
        <w:autoSpaceDE w:val="0"/>
        <w:autoSpaceDN w:val="0"/>
        <w:adjustRightInd w:val="0"/>
        <w:spacing w:after="0" w:line="3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при формировании модели внутреннего государственного (муниципального) финансового контроля особое внимание стоит уделить необходимости исключения дублирования полномочий как между органами внешнего и внутреннего 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осударственного (муниципального) финансового контроля, так и контрольными полномочиями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осуществляемыми органами контроля различных уровней (федерального, регионального, местного).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Представляется, что для эффективного осуществления внутреннего государствен</w:t>
      </w:r>
      <w:r>
        <w:rPr>
          <w:rFonts w:ascii="Times New Roman" w:hAnsi="Times New Roman" w:cs="Times New Roman"/>
          <w:sz w:val="28"/>
          <w:szCs w:val="28"/>
        </w:rPr>
        <w:t xml:space="preserve">ного (муниципального) финансового контроля </w:t>
      </w:r>
      <w:r>
        <w:rPr>
          <w:rFonts w:ascii="Times New Roman" w:hAnsi="Times New Roman" w:cs="Times New Roman"/>
          <w:sz w:val="28"/>
          <w:szCs w:val="28"/>
        </w:rPr>
        <w:br/>
        <w:t>и, как следствие, предупреждения (недопущения) нарушений, повышения эффективности использования бюджетных средств, достижения запланированных результатов их использования, необходимо закрепление в законодательных</w:t>
      </w:r>
      <w:r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актах Российской Федерации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подхода при осуществлении контроля.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внедрения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подхода: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должны быть четко сформулированы цели, задачи, принципы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риск-ориентированных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</w:t>
      </w:r>
      <w:r>
        <w:rPr>
          <w:rFonts w:ascii="Times New Roman" w:hAnsi="Times New Roman" w:cs="Times New Roman"/>
          <w:sz w:val="28"/>
          <w:szCs w:val="28"/>
        </w:rPr>
        <w:t xml:space="preserve">трольных мероприятий;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должна быть проведена инвентаризация подконтрольных субъектов и присвоена им степень опасности (посредством присвоения баллов риска) для дальнейшей дифференциации требований к процедурам проведения контрольного мероприятия.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необходимо разработать четкую и понятную систему показателей, по которым и будут осуществляться оценка и формирование рейтингов, перечень мер по минимизации рисков и т.д.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то деятельность по оценке и управлению рисками должна заключаться</w:t>
      </w:r>
      <w:r>
        <w:rPr>
          <w:rFonts w:ascii="Times New Roman" w:hAnsi="Times New Roman" w:cs="Times New Roman"/>
          <w:sz w:val="28"/>
          <w:szCs w:val="28"/>
        </w:rPr>
        <w:t xml:space="preserve"> в выполнении следующих задач: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формирование информационной базы данных системы управления рисками органов внутреннего государственного (муниципального) финансового контроля;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анализ и оценка рисков, включающих в себя систематическое определение: объектов анализа рисков, индикаторов риска по объектам анализа риска, определяющих необходимость и срочность принятия мер </w:t>
      </w:r>
      <w:r>
        <w:rPr>
          <w:rFonts w:ascii="Times New Roman" w:hAnsi="Times New Roman" w:cs="Times New Roman"/>
          <w:sz w:val="28"/>
          <w:szCs w:val="28"/>
        </w:rPr>
        <w:br/>
        <w:t>по предотвращению и минимизации рисков;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оценка возможного </w:t>
      </w:r>
      <w:r>
        <w:rPr>
          <w:rFonts w:ascii="Times New Roman" w:hAnsi="Times New Roman" w:cs="Times New Roman"/>
          <w:sz w:val="28"/>
          <w:szCs w:val="28"/>
        </w:rPr>
        <w:t>ущерба государству в случае возникновения рисков.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подхода основной объем контрольных мероприятий должен приходится на предварительный </w:t>
      </w:r>
      <w:r>
        <w:rPr>
          <w:rFonts w:ascii="Times New Roman" w:hAnsi="Times New Roman" w:cs="Times New Roman"/>
          <w:sz w:val="28"/>
          <w:szCs w:val="28"/>
        </w:rPr>
        <w:br/>
        <w:t>контроль, направленный на предупреждение и недопущение нарушений.</w:t>
      </w:r>
    </w:p>
    <w:p w:rsidR="0096084C" w:rsidRDefault="00991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применение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иск-ориентированного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подхода </w:t>
      </w:r>
      <w:r>
        <w:rPr>
          <w:rFonts w:ascii="Times New Roman" w:hAnsi="Times New Roman" w:cs="Times New Roman"/>
          <w:sz w:val="28"/>
          <w:szCs w:val="28"/>
        </w:rPr>
        <w:br/>
        <w:t>при осуществлении внутреннего государственного (муниципального) финансового контроля позволит достичь оптимального использования трудовых, материальных и финансовых ресурсов и как следствие будет способствовать снижению расход</w:t>
      </w:r>
      <w:r>
        <w:rPr>
          <w:rFonts w:ascii="Times New Roman" w:hAnsi="Times New Roman" w:cs="Times New Roman"/>
          <w:sz w:val="28"/>
          <w:szCs w:val="28"/>
        </w:rPr>
        <w:t xml:space="preserve">ов, осуществляемых контрольными органами. </w:t>
      </w:r>
    </w:p>
    <w:p w:rsidR="0096084C" w:rsidRDefault="00991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Подобные положения, касающиеся применения риск-ориентированного подхода, на сегодняшний день закреплены в статье 8.1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 закона от 26 декабря 2008 г. № 294-ФЗ «О защите прав юридических лиц и индивидуальн</w:t>
      </w:r>
      <w:r>
        <w:rPr>
          <w:rFonts w:ascii="Times New Roman" w:hAnsi="Times New Roman" w:cs="Times New Roman"/>
          <w:sz w:val="28"/>
          <w:szCs w:val="28"/>
        </w:rPr>
        <w:t xml:space="preserve">ых предпринимателей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осуществлении государственного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br/>
        <w:t>и муниципального контроля» и применяются при организации отдельных видов государственного контроля (надзора), определенных постановлением Правительства Российской Федерации от 17 а</w:t>
      </w:r>
      <w:r>
        <w:rPr>
          <w:rFonts w:ascii="Times New Roman" w:hAnsi="Times New Roman" w:cs="Times New Roman"/>
          <w:sz w:val="28"/>
          <w:szCs w:val="28"/>
        </w:rPr>
        <w:t xml:space="preserve">вгуста </w:t>
      </w:r>
      <w:r>
        <w:rPr>
          <w:rFonts w:ascii="Times New Roman" w:hAnsi="Times New Roman" w:cs="Times New Roman"/>
          <w:sz w:val="28"/>
          <w:szCs w:val="28"/>
        </w:rPr>
        <w:br/>
        <w:t>2016 г. № 806.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модели внутреннего государственного (муниципального) финансового контроля необходимо также учитывать, что органы внутреннего государственного (муниципального) финансового контроля осуществляют следующие полномочия, н</w:t>
      </w:r>
      <w:r>
        <w:rPr>
          <w:rFonts w:ascii="Times New Roman" w:hAnsi="Times New Roman" w:cs="Times New Roman"/>
          <w:sz w:val="28"/>
          <w:szCs w:val="28"/>
        </w:rPr>
        <w:t xml:space="preserve">аправленные </w:t>
      </w:r>
      <w:r>
        <w:rPr>
          <w:rFonts w:ascii="Times New Roman" w:hAnsi="Times New Roman" w:cs="Times New Roman"/>
          <w:sz w:val="28"/>
          <w:szCs w:val="28"/>
        </w:rPr>
        <w:br/>
        <w:t>на эффективное использование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>
        <w:rPr>
          <w:rFonts w:ascii="Times New Roman" w:hAnsi="Times New Roman" w:cs="Times New Roman"/>
          <w:sz w:val="28"/>
          <w:szCs w:val="28"/>
        </w:rPr>
        <w:t>оциально-значимых направлениях: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контроль за использованием средств Фонда содействия реформированию жилищно-коммунального хозяйства (далее – Фонд), направленных на предоставление финансовой по</w:t>
      </w:r>
      <w:r>
        <w:rPr>
          <w:rFonts w:ascii="Times New Roman" w:hAnsi="Times New Roman" w:cs="Times New Roman"/>
          <w:sz w:val="28"/>
          <w:szCs w:val="28"/>
        </w:rPr>
        <w:t xml:space="preserve">ддержки за счет средств Фонда и предусмотренных в бюджете субъекта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и (или) местном бюджете на долевое финансирование проведения капитального ремонта многоквартирных домов, переселения граждан </w:t>
      </w:r>
      <w:r>
        <w:rPr>
          <w:rFonts w:ascii="Times New Roman" w:hAnsi="Times New Roman" w:cs="Times New Roman"/>
          <w:sz w:val="28"/>
          <w:szCs w:val="28"/>
        </w:rPr>
        <w:br/>
        <w:t>из аварийного жилищного фонда и модерниза</w:t>
      </w:r>
      <w:r>
        <w:rPr>
          <w:rFonts w:ascii="Times New Roman" w:hAnsi="Times New Roman" w:cs="Times New Roman"/>
          <w:sz w:val="28"/>
          <w:szCs w:val="28"/>
        </w:rPr>
        <w:t xml:space="preserve">ции системы коммунальной инфраструктуры (статья 20 Федерального закона от 21 июля 2007 г. </w:t>
      </w:r>
      <w:r>
        <w:rPr>
          <w:rFonts w:ascii="Times New Roman" w:hAnsi="Times New Roman" w:cs="Times New Roman"/>
          <w:sz w:val="28"/>
          <w:szCs w:val="28"/>
        </w:rPr>
        <w:br/>
        <w:t>№ 185-ФЗ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О Фонде содействия реформированию жилищно-коммунального хозяйства»);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контроль за использованием специализированными некоммерческими организациями, которы</w:t>
      </w:r>
      <w:r>
        <w:rPr>
          <w:rFonts w:ascii="Times New Roman" w:hAnsi="Times New Roman" w:cs="Times New Roman"/>
          <w:sz w:val="28"/>
          <w:szCs w:val="28"/>
        </w:rPr>
        <w:t>е осуществляют деятельность, направленную на обеспечение проведения капитального ремонта общего имущества в многоквартирных домах (далее – региональный оператор), средств, полученных в качестве государственной поддержки, муниципальной поддержки капитальног</w:t>
      </w:r>
      <w:r>
        <w:rPr>
          <w:rFonts w:ascii="Times New Roman" w:hAnsi="Times New Roman" w:cs="Times New Roman"/>
          <w:sz w:val="28"/>
          <w:szCs w:val="28"/>
        </w:rPr>
        <w:t>о ремонта, а также средств, полученных от собственников помещений в многоквартирных домах, формирующих фонды капитального ремонта на счете (счетах) регионального оператора (статья 186 Жилищного кодекса Российской Федерации).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эффективного госу</w:t>
      </w:r>
      <w:r>
        <w:rPr>
          <w:rFonts w:ascii="Times New Roman" w:hAnsi="Times New Roman" w:cs="Times New Roman"/>
          <w:sz w:val="28"/>
          <w:szCs w:val="28"/>
        </w:rPr>
        <w:t xml:space="preserve">дарственного (муниципального) финансового контроля невозможно без применения при организации внутреннего финансового контроля в органах государственной власти единых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внутренним государственным (муниципальным) финансовым контролем принципов и методов их о</w:t>
      </w:r>
      <w:r>
        <w:rPr>
          <w:rFonts w:ascii="Times New Roman" w:hAnsi="Times New Roman" w:cs="Times New Roman"/>
          <w:sz w:val="28"/>
          <w:szCs w:val="28"/>
        </w:rPr>
        <w:t>существления.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эффективного осуществления внутреннего финансового контроля и внутреннего финансового аудита представляется необходимым решение следующих задач: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установление ответственности за ненадлежащее выполнение контрольных функций, предусмотренны</w:t>
      </w:r>
      <w:r>
        <w:rPr>
          <w:rFonts w:ascii="Times New Roman" w:hAnsi="Times New Roman" w:cs="Times New Roman"/>
          <w:sz w:val="28"/>
          <w:szCs w:val="28"/>
        </w:rPr>
        <w:t>х должностными обязанностями;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обеспечение соответствующими организационными (приказ, распоряжение) и техническими (программы, счетные и измерительные устройства) средствами для их надлежащего исполнения;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своевременное сообщение о выявленных существенны</w:t>
      </w:r>
      <w:r>
        <w:rPr>
          <w:rFonts w:ascii="Times New Roman" w:hAnsi="Times New Roman" w:cs="Times New Roman"/>
          <w:sz w:val="28"/>
          <w:szCs w:val="28"/>
        </w:rPr>
        <w:t>х отклонениях;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выполнение контрольных и аудиторских действий на постоянной </w:t>
      </w:r>
      <w:r>
        <w:rPr>
          <w:rFonts w:ascii="Times New Roman" w:hAnsi="Times New Roman" w:cs="Times New Roman"/>
          <w:sz w:val="28"/>
          <w:szCs w:val="28"/>
        </w:rPr>
        <w:br/>
        <w:t xml:space="preserve">и плановой основе, что позволит своевременно выявлять отклонения </w:t>
      </w:r>
      <w:r>
        <w:rPr>
          <w:rFonts w:ascii="Times New Roman" w:hAnsi="Times New Roman" w:cs="Times New Roman"/>
          <w:sz w:val="28"/>
          <w:szCs w:val="28"/>
        </w:rPr>
        <w:br/>
        <w:t>от запланированных результатов;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охват всех объектов и предметов контроля его различными формами контроля в зав</w:t>
      </w:r>
      <w:r>
        <w:rPr>
          <w:rFonts w:ascii="Times New Roman" w:hAnsi="Times New Roman" w:cs="Times New Roman"/>
          <w:sz w:val="28"/>
          <w:szCs w:val="28"/>
        </w:rPr>
        <w:t>исимости от уровня риска.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Отдельно необходимо обратить внимание на осуществление внутреннего государственного (муниципального) финансового контроля </w:t>
      </w:r>
      <w:r>
        <w:rPr>
          <w:rFonts w:ascii="Times New Roman" w:hAnsi="Times New Roman" w:cs="Times New Roman"/>
          <w:sz w:val="28"/>
          <w:szCs w:val="28"/>
        </w:rPr>
        <w:br/>
        <w:t>в отношении бюджетных и автономных учреждений, государственных предприятий и корпораций, а также иных юриди</w:t>
      </w:r>
      <w:r>
        <w:rPr>
          <w:rFonts w:ascii="Times New Roman" w:hAnsi="Times New Roman" w:cs="Times New Roman"/>
          <w:sz w:val="28"/>
          <w:szCs w:val="28"/>
        </w:rPr>
        <w:t>ческих лиц, получающих средства из бюджетов бюджетной системы Российской Федерации, определенных в качестве объектов государственного (муниципального) финансового контроля статьей 266.1 Бюджетного кодекса Российской Федерации, но при этом не являющихся уча</w:t>
      </w:r>
      <w:r>
        <w:rPr>
          <w:rFonts w:ascii="Times New Roman" w:hAnsi="Times New Roman" w:cs="Times New Roman"/>
          <w:sz w:val="28"/>
          <w:szCs w:val="28"/>
        </w:rPr>
        <w:t>стниками бюджетного процесса.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например, при буквальном толковании положений главы 26 Бюджетного кодекса Российской Федерации государственный (муниципальный) финансовый контроль направлен на обеспечение соблюдения бюджетного законодательства и норматив</w:t>
      </w:r>
      <w:r>
        <w:rPr>
          <w:rFonts w:ascii="Times New Roman" w:hAnsi="Times New Roman" w:cs="Times New Roman"/>
          <w:sz w:val="28"/>
          <w:szCs w:val="28"/>
        </w:rPr>
        <w:t xml:space="preserve">ных правовых актов, регулирующих бюджетные правоотношения, на этапе исполнения бюджетов исключительно участниками бюджетного процесса – финансовыми органами, администраторами бюджетных средств </w:t>
      </w:r>
      <w:r>
        <w:rPr>
          <w:rFonts w:ascii="Times New Roman" w:hAnsi="Times New Roman" w:cs="Times New Roman"/>
          <w:sz w:val="28"/>
          <w:szCs w:val="28"/>
        </w:rPr>
        <w:br/>
        <w:t>и казенными учреждениями. Положениями пункта 2 статьи 306.2 Бю</w:t>
      </w:r>
      <w:r>
        <w:rPr>
          <w:rFonts w:ascii="Times New Roman" w:hAnsi="Times New Roman" w:cs="Times New Roman"/>
          <w:sz w:val="28"/>
          <w:szCs w:val="28"/>
        </w:rPr>
        <w:t>джетного кодекса Российской Федерации исключена возможность применения бюджетных мер принуждения к бюджетным и автономным учреждениям. Такие меры могут быть применены только к участникам бюджетного процесса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Вместе с тем государственные и муниципальные учре</w:t>
      </w:r>
      <w:r>
        <w:rPr>
          <w:rFonts w:ascii="Times New Roman" w:hAnsi="Times New Roman" w:cs="Times New Roman"/>
          <w:sz w:val="28"/>
          <w:szCs w:val="28"/>
        </w:rPr>
        <w:t xml:space="preserve">ждения в пункте 1 статьи 266.1 БК РФ прямо определены объектами контроля, поэтому рассмотрение вопроса о том, что является целью финансового контроля </w:t>
      </w:r>
      <w:r>
        <w:rPr>
          <w:rFonts w:ascii="Times New Roman" w:hAnsi="Times New Roman" w:cs="Times New Roman"/>
          <w:sz w:val="28"/>
          <w:szCs w:val="28"/>
        </w:rPr>
        <w:br/>
        <w:t>в отношении бюджетных и автономных учреждений, остается принципиально важным, необходимым для оценки дейс</w:t>
      </w:r>
      <w:r>
        <w:rPr>
          <w:rFonts w:ascii="Times New Roman" w:hAnsi="Times New Roman" w:cs="Times New Roman"/>
          <w:sz w:val="28"/>
          <w:szCs w:val="28"/>
        </w:rPr>
        <w:t>твующего правового регулирования и формулирования модели внутреннего государственного (муниципального) финансового контроля.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целях эффективного осуществления контроля в случаях предоставления бюджетным и автономным учреждениям, государственным предприяти</w:t>
      </w:r>
      <w:r>
        <w:rPr>
          <w:rFonts w:ascii="Times New Roman" w:hAnsi="Times New Roman" w:cs="Times New Roman"/>
          <w:sz w:val="28"/>
          <w:szCs w:val="28"/>
        </w:rPr>
        <w:t>ям и корпорациям, а также иным юридическим лицами, не являющимися участниками бюджетного процесса, средств из бюджетов бюджетной системы Российской Федерации необходимо их включение в модель внутреннего государственного (муниципального) финансового контрол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br/>
        <w:t>и совершенствование нормативного правового регулирования, в части развития контрольных полномочий и порядка расходования средств рассматриваемым объектами контроля.</w:t>
      </w:r>
      <w:proofErr w:type="gramEnd"/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 такие меры в целом должны быть направлены </w:t>
      </w:r>
      <w:r>
        <w:rPr>
          <w:rFonts w:ascii="Times New Roman" w:hAnsi="Times New Roman" w:cs="Times New Roman"/>
          <w:sz w:val="28"/>
          <w:szCs w:val="28"/>
        </w:rPr>
        <w:br/>
        <w:t>на достижение следующих целей: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hAnsi="Times New Roman" w:cs="Times New Roman"/>
          <w:sz w:val="28"/>
          <w:szCs w:val="28"/>
        </w:rPr>
        <w:t xml:space="preserve">унификация подходов к осуществлению внутреннего государственного (муниципального) финансового контроля </w:t>
      </w:r>
      <w:r>
        <w:rPr>
          <w:rFonts w:ascii="Times New Roman" w:hAnsi="Times New Roman" w:cs="Times New Roman"/>
          <w:sz w:val="28"/>
          <w:szCs w:val="28"/>
        </w:rPr>
        <w:br/>
        <w:t xml:space="preserve">за деятельностью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бюджетного процесса, а также усиление правовых основ его реализации;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закрепление с учетом специфики правового статуса к</w:t>
      </w:r>
      <w:r>
        <w:rPr>
          <w:rFonts w:ascii="Times New Roman" w:hAnsi="Times New Roman" w:cs="Times New Roman"/>
          <w:sz w:val="28"/>
          <w:szCs w:val="28"/>
        </w:rPr>
        <w:t xml:space="preserve">аждого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из объектов контроля, не являющихся участниками бюджетного процесса, </w:t>
      </w:r>
      <w:r>
        <w:rPr>
          <w:rFonts w:ascii="Times New Roman" w:hAnsi="Times New Roman" w:cs="Times New Roman"/>
          <w:sz w:val="28"/>
          <w:szCs w:val="28"/>
        </w:rPr>
        <w:br/>
        <w:t>на законодательном уровне целей, задач, принципов, методов, форм, контроля за их деятельностью, а также периодичности и сроков проведения соответствующих контрольных мероприятий;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внедрение и развитие механизмов общественного контроля </w:t>
      </w:r>
      <w:r>
        <w:rPr>
          <w:rFonts w:ascii="Times New Roman" w:hAnsi="Times New Roman" w:cs="Times New Roman"/>
          <w:sz w:val="28"/>
          <w:szCs w:val="28"/>
        </w:rPr>
        <w:br/>
        <w:t>за хозяйственной деятельностью рассматриваемых объектов контроля, направленных на повышение прозрачности использования (расходования) средств, предоставляемых из бюджетов бюджетной системы Российск</w:t>
      </w:r>
      <w:r>
        <w:rPr>
          <w:rFonts w:ascii="Times New Roman" w:hAnsi="Times New Roman" w:cs="Times New Roman"/>
          <w:sz w:val="28"/>
          <w:szCs w:val="28"/>
        </w:rPr>
        <w:t>ой Федерации.</w:t>
      </w:r>
    </w:p>
    <w:p w:rsidR="0096084C" w:rsidRDefault="00991CAD">
      <w:pPr>
        <w:autoSpaceDE w:val="0"/>
        <w:autoSpaceDN w:val="0"/>
        <w:adjustRightInd w:val="0"/>
        <w:spacing w:after="0" w:line="3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внутреннего государственного (муниципального) финансового контроля также должна учитывать осуществление Федеральным казначейством полномочий, установленных пунктом 4 статьи 130 Бюджетного кодекса Российской Федерации, по проведению ежегодной проверк</w:t>
      </w:r>
      <w:r>
        <w:rPr>
          <w:rFonts w:ascii="Times New Roman" w:hAnsi="Times New Roman" w:cs="Times New Roman"/>
          <w:sz w:val="28"/>
          <w:szCs w:val="28"/>
        </w:rPr>
        <w:t xml:space="preserve">и годового отчета об исполнении бюджета субъекта Российской Федерации в порядке, установленном Министерством финансов Российской Федерации, в случае применения к субъекту Российской Федерации, в бюджетах которых доля дотаций </w:t>
      </w:r>
      <w:r>
        <w:rPr>
          <w:rFonts w:ascii="Times New Roman" w:hAnsi="Times New Roman" w:cs="Times New Roman"/>
          <w:sz w:val="28"/>
          <w:szCs w:val="28"/>
        </w:rPr>
        <w:br/>
        <w:t>из федерального бюджета в тече</w:t>
      </w:r>
      <w:r>
        <w:rPr>
          <w:rFonts w:ascii="Times New Roman" w:hAnsi="Times New Roman" w:cs="Times New Roman"/>
          <w:sz w:val="28"/>
          <w:szCs w:val="28"/>
        </w:rPr>
        <w:t>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Федерации, дополнительных мер при предоставлении межбюджетных трансфертов.</w:t>
      </w:r>
    </w:p>
    <w:p w:rsidR="0096084C" w:rsidRDefault="00991CAD">
      <w:pPr>
        <w:autoSpaceDE w:val="0"/>
        <w:autoSpaceDN w:val="0"/>
        <w:adjustRightInd w:val="0"/>
        <w:spacing w:after="0" w:line="3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Полномочия, по осуществлению таки</w:t>
      </w:r>
      <w:r>
        <w:rPr>
          <w:rFonts w:ascii="Times New Roman" w:hAnsi="Times New Roman" w:cs="Times New Roman"/>
          <w:sz w:val="28"/>
          <w:szCs w:val="28"/>
        </w:rPr>
        <w:t xml:space="preserve">х проверок, исходя из главы 26 Бюджетного кодекса Российской Федерации, прямо не относятся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к внутреннему государственному (муниципальному) финансовому </w:t>
      </w:r>
      <w:r>
        <w:rPr>
          <w:rFonts w:ascii="Times New Roman" w:hAnsi="Times New Roman" w:cs="Times New Roman"/>
          <w:sz w:val="28"/>
          <w:szCs w:val="28"/>
        </w:rPr>
        <w:lastRenderedPageBreak/>
        <w:t>контролю и осуществляются в соответствии с Порядком проведения ежегодной проверки годового отчета об исп</w:t>
      </w:r>
      <w:r>
        <w:rPr>
          <w:rFonts w:ascii="Times New Roman" w:hAnsi="Times New Roman" w:cs="Times New Roman"/>
          <w:sz w:val="28"/>
          <w:szCs w:val="28"/>
        </w:rPr>
        <w:t>олнении бюджета субъекта Российской Федерации Федеральным казначейством, утвержденным приказом Министерства финансов Российской Федерации от 14 октября 2016 г. № 185н, но при этом, по своей сути, осуществляются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тех же целях и также направленны на повышен</w:t>
      </w:r>
      <w:r>
        <w:rPr>
          <w:rFonts w:ascii="Times New Roman" w:hAnsi="Times New Roman" w:cs="Times New Roman"/>
          <w:sz w:val="28"/>
          <w:szCs w:val="28"/>
        </w:rPr>
        <w:t xml:space="preserve">ие эффективности использования бюджетных средств. </w:t>
      </w:r>
    </w:p>
    <w:p w:rsidR="0096084C" w:rsidRDefault="00991CAD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изложенное, формируемая модель внутреннего государственного (муниципального) финансового контроля должна включать в себя осуществление следующих полномочий (направлений).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Бюджетный мониторинг (вкл</w:t>
      </w:r>
      <w:r>
        <w:rPr>
          <w:rFonts w:ascii="Times New Roman" w:hAnsi="Times New Roman" w:cs="Times New Roman"/>
          <w:sz w:val="28"/>
          <w:szCs w:val="28"/>
        </w:rPr>
        <w:t xml:space="preserve">ючая казначейское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казначейско</w:t>
      </w:r>
      <w:proofErr w:type="spellEnd"/>
      <w:r>
        <w:rPr>
          <w:rFonts w:ascii="Times New Roman" w:hAnsi="Times New Roman" w:cs="Times New Roman"/>
          <w:sz w:val="28"/>
          <w:szCs w:val="28"/>
        </w:rPr>
        <w:t>-банковское сопровождение).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  <w:tab w:val="left" w:pos="1134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внутреннего государственного (муниципального) финансового контроля при санкционировании операций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со статьей 269.1 Бюджетного кодекса Российской Федерации.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о</w:t>
      </w:r>
      <w:r>
        <w:rPr>
          <w:rFonts w:ascii="Times New Roman" w:hAnsi="Times New Roman" w:cs="Times New Roman"/>
          <w:sz w:val="28"/>
          <w:szCs w:val="28"/>
        </w:rPr>
        <w:t xml:space="preserve">рганами внутреннего государственного (муниципального) финансового контроля полномочий в соответствии </w:t>
      </w:r>
      <w:r>
        <w:rPr>
          <w:rFonts w:ascii="Times New Roman" w:hAnsi="Times New Roman" w:cs="Times New Roman"/>
          <w:sz w:val="28"/>
          <w:szCs w:val="28"/>
        </w:rPr>
        <w:br/>
        <w:t xml:space="preserve">с пунктом 1 статьи 269.2 Бюджетного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по осуществлению внутреннего государственного (муниципального) финансового контроля, а и</w:t>
      </w:r>
      <w:r>
        <w:rPr>
          <w:rFonts w:ascii="Times New Roman" w:hAnsi="Times New Roman" w:cs="Times New Roman"/>
          <w:sz w:val="28"/>
          <w:szCs w:val="28"/>
        </w:rPr>
        <w:t>менно:</w:t>
      </w:r>
    </w:p>
    <w:p w:rsidR="0096084C" w:rsidRDefault="00991CAD">
      <w:pPr>
        <w:tabs>
          <w:tab w:val="left" w:pos="993"/>
        </w:tabs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96084C" w:rsidRDefault="00991CAD">
      <w:pPr>
        <w:tabs>
          <w:tab w:val="left" w:pos="993"/>
        </w:tabs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полнотой и достоверностью отчетности о реализации государственных (муниципальных) прог</w:t>
      </w:r>
      <w:r>
        <w:rPr>
          <w:rFonts w:ascii="Times New Roman" w:hAnsi="Times New Roman" w:cs="Times New Roman"/>
          <w:sz w:val="28"/>
          <w:szCs w:val="28"/>
        </w:rPr>
        <w:t xml:space="preserve">рамм, в том числе отчетности </w:t>
      </w:r>
      <w:r>
        <w:rPr>
          <w:rFonts w:ascii="Times New Roman" w:hAnsi="Times New Roman" w:cs="Times New Roman"/>
          <w:sz w:val="28"/>
          <w:szCs w:val="28"/>
        </w:rPr>
        <w:br/>
        <w:t>об исполнении государственных (муниципальных) заданий.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в сфере контрактных отношений, предусмотренный частью 8 статьи 99 Федерального закона от 5 апреля 2013 г. № 44-ФЗ;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 использованием средств Фонда, напра</w:t>
      </w:r>
      <w:r>
        <w:rPr>
          <w:rFonts w:ascii="Times New Roman" w:hAnsi="Times New Roman" w:cs="Times New Roman"/>
          <w:sz w:val="28"/>
          <w:szCs w:val="28"/>
        </w:rPr>
        <w:t xml:space="preserve">вленных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предоставление финансовой поддержки за счет средств Фонда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r>
        <w:rPr>
          <w:rFonts w:ascii="Times New Roman" w:hAnsi="Times New Roman" w:cs="Times New Roman"/>
          <w:sz w:val="28"/>
          <w:szCs w:val="28"/>
        </w:rPr>
        <w:t>з аварийного жилищного фонда и модернизации системы коммунальной инфраструктуры, осуществляемый в соответствии со статьей 20 Федерального закона от 21 июля 2007 г. № 185-ФЗ «О Фонде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содействия реформированию жилищно-коммунального хозяйства».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пользованием региональными операторами,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</w:t>
      </w:r>
      <w:r>
        <w:rPr>
          <w:rFonts w:ascii="Times New Roman" w:hAnsi="Times New Roman" w:cs="Times New Roman"/>
          <w:sz w:val="28"/>
          <w:szCs w:val="28"/>
        </w:rPr>
        <w:lastRenderedPageBreak/>
        <w:t>формирующих фонды капитального р</w:t>
      </w:r>
      <w:r>
        <w:rPr>
          <w:rFonts w:ascii="Times New Roman" w:hAnsi="Times New Roman" w:cs="Times New Roman"/>
          <w:sz w:val="28"/>
          <w:szCs w:val="28"/>
        </w:rPr>
        <w:t xml:space="preserve">емонта на счете (счетах) регионального оператора, осуществляемый в соответствии со статьей 186 Жилищного кодекса Российской Федерации. 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Внутренний финансовый контроль и внутренний финансовый аудит, осуществляемый согласно статье 160.2-1 Бюджетного кодекса </w:t>
      </w: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Проверки годового отчета об исполнении бюджета субъекта Российской Федерации в соответствии с пунктом 4 статьи 130 Бюджетного кодекса Российской Федерации.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Внутренний финансовый контроль (аудит), осуществляемый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неучастниками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бюджетног</w:t>
      </w:r>
      <w:r>
        <w:rPr>
          <w:rFonts w:ascii="Times New Roman" w:hAnsi="Times New Roman" w:cs="Times New Roman"/>
          <w:sz w:val="28"/>
          <w:szCs w:val="28"/>
        </w:rPr>
        <w:t xml:space="preserve">о процесса,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получающими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средства </w:t>
      </w:r>
      <w:r>
        <w:rPr>
          <w:rFonts w:ascii="Times New Roman" w:hAnsi="Times New Roman" w:cs="Times New Roman"/>
          <w:sz w:val="28"/>
          <w:szCs w:val="28"/>
        </w:rPr>
        <w:br/>
        <w:t>из бюджетов бюджетной системы Российской Федерации (действующим законодательством Российской Федерации не предусмотрено).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исполнения бюджетных полномочий органов государственного (муниципального) финансового </w:t>
      </w:r>
      <w:r>
        <w:rPr>
          <w:rFonts w:ascii="Times New Roman" w:hAnsi="Times New Roman" w:cs="Times New Roman"/>
          <w:sz w:val="28"/>
          <w:szCs w:val="28"/>
        </w:rPr>
        <w:t>контроля, являющихся органами (должностными лицами) исполнительной власти субъектов Российской Федерации (местных администраций) согласно пункту 3 статьи 157 Бюджетного кодекса Российской Федерации.</w:t>
      </w:r>
    </w:p>
    <w:p w:rsidR="0096084C" w:rsidRDefault="00991CAD">
      <w:pPr>
        <w:pStyle w:val="aa"/>
        <w:numPr>
          <w:ilvl w:val="0"/>
          <w:numId w:val="1"/>
        </w:numPr>
        <w:tabs>
          <w:tab w:val="left" w:pos="993"/>
        </w:tabs>
        <w:spacing w:after="0" w:line="3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Анализ осуществления главными администраторами бюджетных </w:t>
      </w:r>
      <w:r>
        <w:rPr>
          <w:rFonts w:ascii="Times New Roman" w:hAnsi="Times New Roman" w:cs="Times New Roman"/>
          <w:sz w:val="28"/>
          <w:szCs w:val="28"/>
        </w:rPr>
        <w:t>средств, не являющимися органами, указанными в пункте 2 статьи 265 Бюджетного кодекса Российской Федерации, внутреннего финансового контроля и внутреннего финансового аудита в соответствии с пунктом 4 статьи 157 Бюджетного кодекса Российской Федерации.</w:t>
      </w:r>
      <w:proofErr w:type="gramEnd"/>
    </w:p>
    <w:p w:rsidR="0096084C" w:rsidRDefault="0096084C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84C" w:rsidRDefault="0096084C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84C" w:rsidRDefault="0096084C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84C" w:rsidRDefault="0096084C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84C" w:rsidRDefault="0096084C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6084C">
      <w:headerReference w:type="default" r:id="rId12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84C" w:rsidRDefault="00991CAD">
      <w:pPr>
        <w:spacing w:after="0" w:line="240" w:lineRule="auto"/>
      </w:pPr>
      <w:r>
        <w:separator/>
      </w:r>
    </w:p>
  </w:endnote>
  <w:endnote w:type="continuationSeparator" w:id="0">
    <w:p w:rsidR="0096084C" w:rsidRDefault="00991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Condense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84C" w:rsidRDefault="00991CAD">
      <w:pPr>
        <w:spacing w:after="0" w:line="240" w:lineRule="auto"/>
      </w:pPr>
      <w:r>
        <w:separator/>
      </w:r>
    </w:p>
  </w:footnote>
  <w:footnote w:type="continuationSeparator" w:id="0">
    <w:p w:rsidR="0096084C" w:rsidRDefault="00991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66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6084C" w:rsidRDefault="00991CA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A4107"/>
    <w:multiLevelType w:val="hybridMultilevel"/>
    <w:tmpl w:val="DA14BF96"/>
    <w:lvl w:ilvl="0" w:tplc="FEDAA4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84C"/>
    <w:rsid w:val="0096084C"/>
    <w:rsid w:val="0099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8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4325</Words>
  <Characters>24656</Characters>
  <Application>Microsoft Office Word</Application>
  <DocSecurity>4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user385</dc:creator>
  <cp:lastModifiedBy>Пронина Анастасия Владимировна</cp:lastModifiedBy>
  <cp:revision>2</cp:revision>
  <dcterms:created xsi:type="dcterms:W3CDTF">2017-10-20T13:40:00Z</dcterms:created>
  <dcterms:modified xsi:type="dcterms:W3CDTF">2017-10-20T13:40:00Z</dcterms:modified>
</cp:coreProperties>
</file>