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Минстроя России от 04.08.2020 N 421/пр</w:t>
              <w:br/>
              <w:t xml:space="preserve">(ред. от 07.07.2022)</w:t>
              <w:br/>
              <w:t xml:space="preserve">"Об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br/>
              <w:t xml:space="preserve">(Зарегистрировано в Минюсте России 23.09.2020 N 59986)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06.10.2022</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23 сентября 2020 г. N 59986</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СТРОИТЕЛЬСТВА И ЖИЛИЩНО-КОММУНАЛЬНОГО</w:t>
      </w:r>
    </w:p>
    <w:p>
      <w:pPr>
        <w:pStyle w:val="2"/>
        <w:jc w:val="center"/>
      </w:pPr>
      <w:r>
        <w:rPr>
          <w:sz w:val="20"/>
        </w:rPr>
        <w:t xml:space="preserve">ХОЗЯЙСТВА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4 августа 2020 г. N 421/пр</w:t>
      </w:r>
    </w:p>
    <w:p>
      <w:pPr>
        <w:pStyle w:val="2"/>
        <w:jc w:val="center"/>
      </w:pPr>
      <w:r>
        <w:rPr>
          <w:sz w:val="20"/>
        </w:rPr>
      </w:r>
    </w:p>
    <w:p>
      <w:pPr>
        <w:pStyle w:val="2"/>
        <w:jc w:val="center"/>
      </w:pPr>
      <w:r>
        <w:rPr>
          <w:sz w:val="20"/>
        </w:rPr>
        <w:t xml:space="preserve">ОБ УТВЕРЖДЕНИИ МЕТОДИКИ</w:t>
      </w:r>
    </w:p>
    <w:p>
      <w:pPr>
        <w:pStyle w:val="2"/>
        <w:jc w:val="center"/>
      </w:pPr>
      <w:r>
        <w:rPr>
          <w:sz w:val="20"/>
        </w:rPr>
        <w:t xml:space="preserve">ОПРЕДЕЛЕНИЯ СМЕТНОЙ СТОИМОСТИ СТРОИТЕЛЬСТВА,</w:t>
      </w:r>
    </w:p>
    <w:p>
      <w:pPr>
        <w:pStyle w:val="2"/>
        <w:jc w:val="center"/>
      </w:pPr>
      <w:r>
        <w:rPr>
          <w:sz w:val="20"/>
        </w:rPr>
        <w:t xml:space="preserve">РЕКОНСТРУКЦИИ, КАПИТАЛЬНОГО РЕМОНТА, СНОСА ОБЪЕКТОВ</w:t>
      </w:r>
    </w:p>
    <w:p>
      <w:pPr>
        <w:pStyle w:val="2"/>
        <w:jc w:val="center"/>
      </w:pPr>
      <w:r>
        <w:rPr>
          <w:sz w:val="20"/>
        </w:rPr>
        <w:t xml:space="preserve">КАПИТАЛЬНОГО СТРОИТЕЛЬСТВА, РАБОТ ПО СОХРАНЕНИЮ ОБЪЕКТОВ</w:t>
      </w:r>
    </w:p>
    <w:p>
      <w:pPr>
        <w:pStyle w:val="2"/>
        <w:jc w:val="center"/>
      </w:pPr>
      <w:r>
        <w:rPr>
          <w:sz w:val="20"/>
        </w:rPr>
        <w:t xml:space="preserve">КУЛЬТУРНОГО НАСЛЕДИЯ (ПАМЯТНИКОВ ИСТОРИИ И КУЛЬТУРЫ)</w:t>
      </w:r>
    </w:p>
    <w:p>
      <w:pPr>
        <w:pStyle w:val="2"/>
        <w:jc w:val="center"/>
      </w:pPr>
      <w:r>
        <w:rPr>
          <w:sz w:val="20"/>
        </w:rPr>
        <w:t xml:space="preserve">НАРОДОВ РОССИЙСКОЙ ФЕДЕРАЦИИ НА ТЕРРИТОРИИ</w:t>
      </w:r>
    </w:p>
    <w:p>
      <w:pPr>
        <w:pStyle w:val="2"/>
        <w:jc w:val="center"/>
      </w:pPr>
      <w:r>
        <w:rPr>
          <w:sz w:val="20"/>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8"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пунктом 30 статьи 1</w:t>
        </w:r>
      </w:hyperlink>
      <w:r>
        <w:rPr>
          <w:sz w:val="20"/>
        </w:rPr>
        <w:t xml:space="preserve">, </w:t>
      </w:r>
      <w:hyperlink w:history="0" r:id="rId9"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пунктом 7.5 части 1 статьи 6</w:t>
        </w:r>
      </w:hyperlink>
      <w:r>
        <w:rPr>
          <w:sz w:val="20"/>
        </w:rPr>
        <w:t xml:space="preserve">, </w:t>
      </w:r>
      <w:hyperlink w:history="0" r:id="rId10"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частью 3 статьи 8.3</w:t>
        </w:r>
      </w:hyperlink>
      <w:r>
        <w:rPr>
          <w:sz w:val="20"/>
        </w:rPr>
        <w:t xml:space="preserve"> Градостроительного кодекса Российской Федерации (Собрание законодательства Российской Федерации, 2005, N 1, ст. 16; 2020, N 31, ст. 5023), </w:t>
      </w:r>
      <w:hyperlink w:history="0" r:id="rId11" w:tooltip="Постановление Правительства РФ от 18.11.2013 N 1038 (ред. от 02.09.2022) &quot;О Министерстве строительства и жилищно-коммунального хозяйства Российской Федерации&quot; (вместе с &quot;Положением о Министерстве строительства и жилищно-коммунального хозяйства Российской Федерации&quot;) {КонсультантПлюс}">
        <w:r>
          <w:rPr>
            <w:sz w:val="20"/>
            <w:color w:val="0000ff"/>
          </w:rPr>
          <w:t xml:space="preserve">подпунктом 5.4.23(1) пункта 5</w:t>
        </w:r>
      </w:hyperlink>
      <w:r>
        <w:rPr>
          <w:sz w:val="20"/>
        </w:rP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(Собрание законодательства Российской Федерации, 2013, N 47, ст. 6117; 2020, N 30, ст. 4924), приказываю:</w:t>
      </w:r>
    </w:p>
    <w:p>
      <w:pPr>
        <w:pStyle w:val="0"/>
        <w:spacing w:before="200" w:line-rule="auto"/>
        <w:ind w:firstLine="540"/>
        <w:jc w:val="both"/>
      </w:pPr>
      <w:r>
        <w:rPr>
          <w:sz w:val="20"/>
        </w:rPr>
        <w:t xml:space="preserve">утвердить прилагаемую </w:t>
      </w:r>
      <w:hyperlink w:history="0" w:anchor="P36" w:tooltip="МЕТОДИКА">
        <w:r>
          <w:rPr>
            <w:sz w:val="20"/>
            <w:color w:val="0000ff"/>
          </w:rPr>
          <w:t xml:space="preserve">Методику</w:t>
        </w:r>
      </w:hyperlink>
      <w:r>
        <w:rPr>
          <w:sz w:val="20"/>
        </w:rPr>
        <w:t xml:space="preserve">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pPr>
        <w:pStyle w:val="0"/>
        <w:jc w:val="both"/>
      </w:pPr>
      <w:r>
        <w:rPr>
          <w:sz w:val="20"/>
        </w:rPr>
      </w:r>
    </w:p>
    <w:p>
      <w:pPr>
        <w:pStyle w:val="0"/>
        <w:jc w:val="right"/>
      </w:pPr>
      <w:r>
        <w:rPr>
          <w:sz w:val="20"/>
        </w:rPr>
        <w:t xml:space="preserve">Министр</w:t>
      </w:r>
    </w:p>
    <w:p>
      <w:pPr>
        <w:pStyle w:val="0"/>
        <w:jc w:val="right"/>
      </w:pPr>
      <w:r>
        <w:rPr>
          <w:sz w:val="20"/>
        </w:rPr>
        <w:t xml:space="preserve">В.В.ЯКУШЕВ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приказом Министерства строительства</w:t>
      </w:r>
    </w:p>
    <w:p>
      <w:pPr>
        <w:pStyle w:val="0"/>
        <w:jc w:val="right"/>
      </w:pPr>
      <w:r>
        <w:rPr>
          <w:sz w:val="20"/>
        </w:rPr>
        <w:t xml:space="preserve">и жилищно-коммунального хозяйства</w:t>
      </w:r>
    </w:p>
    <w:p>
      <w:pPr>
        <w:pStyle w:val="0"/>
        <w:jc w:val="right"/>
      </w:pPr>
      <w:r>
        <w:rPr>
          <w:sz w:val="20"/>
        </w:rPr>
        <w:t xml:space="preserve">Российской Федерации</w:t>
      </w:r>
    </w:p>
    <w:p>
      <w:pPr>
        <w:pStyle w:val="0"/>
        <w:jc w:val="right"/>
      </w:pPr>
      <w:r>
        <w:rPr>
          <w:sz w:val="20"/>
        </w:rPr>
        <w:t xml:space="preserve">от 4 августа 2020 г. N 421/пр</w:t>
      </w:r>
    </w:p>
    <w:p>
      <w:pPr>
        <w:pStyle w:val="0"/>
        <w:jc w:val="both"/>
      </w:pPr>
      <w:r>
        <w:rPr>
          <w:sz w:val="20"/>
        </w:rPr>
      </w:r>
    </w:p>
    <w:bookmarkStart w:id="36" w:name="P36"/>
    <w:bookmarkEnd w:id="36"/>
    <w:p>
      <w:pPr>
        <w:pStyle w:val="2"/>
        <w:jc w:val="center"/>
      </w:pPr>
      <w:r>
        <w:rPr>
          <w:sz w:val="20"/>
        </w:rPr>
        <w:t xml:space="preserve">МЕТОДИКА</w:t>
      </w:r>
    </w:p>
    <w:p>
      <w:pPr>
        <w:pStyle w:val="2"/>
        <w:jc w:val="center"/>
      </w:pPr>
      <w:r>
        <w:rPr>
          <w:sz w:val="20"/>
        </w:rPr>
        <w:t xml:space="preserve">ОПРЕДЕЛЕНИЯ СМЕТНОЙ СТОИМОСТИ СТРОИТЕЛЬСТВА,</w:t>
      </w:r>
    </w:p>
    <w:p>
      <w:pPr>
        <w:pStyle w:val="2"/>
        <w:jc w:val="center"/>
      </w:pPr>
      <w:r>
        <w:rPr>
          <w:sz w:val="20"/>
        </w:rPr>
        <w:t xml:space="preserve">РЕКОНСТРУКЦИИ, КАПИТАЛЬНОГО РЕМОНТА, СНОСА ОБЪЕКТОВ</w:t>
      </w:r>
    </w:p>
    <w:p>
      <w:pPr>
        <w:pStyle w:val="2"/>
        <w:jc w:val="center"/>
      </w:pPr>
      <w:r>
        <w:rPr>
          <w:sz w:val="20"/>
        </w:rPr>
        <w:t xml:space="preserve">КАПИТАЛЬНОГО СТРОИТЕЛЬСТВА, РАБОТ ПО СОХРАНЕНИЮ ОБЪЕКТОВ</w:t>
      </w:r>
    </w:p>
    <w:p>
      <w:pPr>
        <w:pStyle w:val="2"/>
        <w:jc w:val="center"/>
      </w:pPr>
      <w:r>
        <w:rPr>
          <w:sz w:val="20"/>
        </w:rPr>
        <w:t xml:space="preserve">КУЛЬТУРНОГО НАСЛЕДИЯ (ПАМЯТНИКОВ ИСТОРИИ И КУЛЬТУРЫ)</w:t>
      </w:r>
    </w:p>
    <w:p>
      <w:pPr>
        <w:pStyle w:val="2"/>
        <w:jc w:val="center"/>
      </w:pPr>
      <w:r>
        <w:rPr>
          <w:sz w:val="20"/>
        </w:rPr>
        <w:t xml:space="preserve">НАРОДОВ РОССИЙСКОЙ ФЕДЕРАЦИИ НА ТЕРРИТОРИИ</w:t>
      </w:r>
    </w:p>
    <w:p>
      <w:pPr>
        <w:pStyle w:val="2"/>
        <w:jc w:val="center"/>
      </w:pPr>
      <w:r>
        <w:rPr>
          <w:sz w:val="20"/>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Методика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(далее - Методика) определяет единые методы формирования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(далее - работ по сохранению объектов культурного наследия) на этапе архитектурно-строительного проектирования, подготовки сметы на снос объекта капитального строительства.</w:t>
      </w:r>
    </w:p>
    <w:p>
      <w:pPr>
        <w:pStyle w:val="0"/>
        <w:spacing w:before="200" w:line-rule="auto"/>
        <w:ind w:firstLine="540"/>
        <w:jc w:val="both"/>
      </w:pPr>
      <w:r>
        <w:rPr>
          <w:sz w:val="20"/>
        </w:rPr>
        <w:t xml:space="preserve">2. Согласно </w:t>
      </w:r>
      <w:hyperlink w:history="0" r:id="rId13"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пункту 30 статьи 1</w:t>
        </w:r>
      </w:hyperlink>
      <w:r>
        <w:rPr>
          <w:sz w:val="20"/>
        </w:rPr>
        <w:t xml:space="preserve"> Градостроительного кодекса Российской Федерации (Собрание законодательства Российской Федерации, 2005, N 1, ст. 16; 2019, N 26, ст. 3317) 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 и применению в соответствии со </w:t>
      </w:r>
      <w:hyperlink w:history="0" r:id="rId14"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статьей 8.3</w:t>
        </w:r>
      </w:hyperlink>
      <w:r>
        <w:rPr>
          <w:sz w:val="20"/>
        </w:rPr>
        <w:t xml:space="preserve"> Градостроительного кодекса Российской Федерации.</w:t>
      </w:r>
    </w:p>
    <w:p>
      <w:pPr>
        <w:pStyle w:val="0"/>
        <w:spacing w:before="200" w:line-rule="auto"/>
        <w:ind w:firstLine="540"/>
        <w:jc w:val="both"/>
      </w:pPr>
      <w:r>
        <w:rPr>
          <w:sz w:val="20"/>
        </w:rPr>
        <w:t xml:space="preserve">3. Положения Методики применяются при определении сметной стоимости строительства объектов капитального строительства, финансируемого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сметной стоимости капитального ремонта многоквартирного дома (общего имущества в многоквартирном доме), осуществляемого полностью или частично за счет средств регионального оператора, товарищества собственников жилья, жилищного, жилищно-строительного кооператива или иного специализированного потребительского кооператива либо средств собственников помещений в многоквартирном доме, и в иных случаях, если это предусмотрено федеральным законом или договором.</w:t>
      </w:r>
    </w:p>
    <w:p>
      <w:pPr>
        <w:pStyle w:val="0"/>
        <w:jc w:val="both"/>
      </w:pPr>
      <w:r>
        <w:rPr>
          <w:sz w:val="20"/>
        </w:rPr>
        <w:t xml:space="preserve">(в ред. </w:t>
      </w:r>
      <w:hyperlink w:history="0" r:id="rId1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4. Сметная стоимость строительства определяется сметой на строительство, реконструкцию, капитальный ремонт объекта капитального строительства, разрабатываемой в составе проектной документации в соответствии с </w:t>
      </w:r>
      <w:hyperlink w:history="0" r:id="rId16" w:tooltip="Постановление Правительства РФ от 16.02.2008 N 87 (ред. от 27.05.2022) &quot;О составе разделов проектной документации и требованиях к их содержанию&quot; {КонсультантПлюс}">
        <w:r>
          <w:rPr>
            <w:sz w:val="20"/>
            <w:color w:val="0000ff"/>
          </w:rPr>
          <w:t xml:space="preserve">Положением</w:t>
        </w:r>
      </w:hyperlink>
      <w:r>
        <w:rPr>
          <w:sz w:val="20"/>
        </w:rPr>
        <w:t xml:space="preserve">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 N 87 (Собрание законодательства Российской Федерации, 2008, N 8, ст. 744; 2020, N 18, ст. 2916) (далее - Положение N 87), сметой на работы по сохранению объектов культурного наследия, разрабатываемой в составе проектной документации по сохранению объектов культурного наследия, в соответствии с документами в области стандартизации, устанавливающими основные требования к такой проектной документации, разрабатываемыми в соответствии с Федеральным </w:t>
      </w:r>
      <w:hyperlink w:history="0" r:id="rId17" w:tooltip="Федеральный закон от 29.06.2015 N 162-ФЗ (ред. от 30.12.2020) &quot;О стандартизации в Российской Федерации&quot; {КонсультантПлюс}">
        <w:r>
          <w:rPr>
            <w:sz w:val="20"/>
            <w:color w:val="0000ff"/>
          </w:rPr>
          <w:t xml:space="preserve">законом</w:t>
        </w:r>
      </w:hyperlink>
      <w:r>
        <w:rPr>
          <w:sz w:val="20"/>
        </w:rPr>
        <w:t xml:space="preserve"> от 29 июня 2015 г. N 162-ФЗ "О стандартизации в Российской Федерации" (Собрание законодательства Российской Федерации, 2015, N 27, ст. 3953; 2021, N 1, ст. 62), сметой на снос объекта капитального строительства, прилагаемой к проекту организации работ по сносу объекта капитального строительства, в соответствии с </w:t>
      </w:r>
      <w:hyperlink w:history="0" r:id="rId18" w:tooltip="Постановление Правительства РФ от 26.04.2019 N 509 &quot;Об утверждении требований к составу и содержанию проекта организации работ по сносу объекта капитального строительства&quot; {КонсультантПлюс}">
        <w:r>
          <w:rPr>
            <w:sz w:val="20"/>
            <w:color w:val="0000ff"/>
          </w:rPr>
          <w:t xml:space="preserve">Требованиями</w:t>
        </w:r>
      </w:hyperlink>
      <w:r>
        <w:rPr>
          <w:sz w:val="20"/>
        </w:rPr>
        <w:t xml:space="preserve"> к составу и содержанию проекта организации работ по сносу объекта капитального строительства, утвержденными постановлением Правительства Российской Федерации от 26 апреля 2019 г. N 509 (Собрание законодательства Российской Федерации, 2019, N 18, ст. 2245) (далее - смета на строительство).</w:t>
      </w:r>
    </w:p>
    <w:p>
      <w:pPr>
        <w:pStyle w:val="0"/>
        <w:jc w:val="both"/>
      </w:pPr>
      <w:r>
        <w:rPr>
          <w:sz w:val="20"/>
        </w:rPr>
        <w:t xml:space="preserve">(в ред. </w:t>
      </w:r>
      <w:hyperlink w:history="0" r:id="rId1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5. В сметной стоимости строительства учитываются затраты, подлежащие определению на этапе архитектурно-строительного проектирования, подготовки сметы на снос объекта капитального строительства, в том числе стоимость строительных работ, стоимость ремонтно-строительных работ (при выполнении работ по капитальному ремонту), стоимость ремонтно-реставрационных работ (при выполнении работ по сохранению объектов культурного наследия), работ по монтажу и капитальному ремонту оборудования (далее - строительно-монтажные работы, СМР), стоимость оборудования, стоимость прочих затрат, в том числе пусконаладочных работ.</w:t>
      </w:r>
    </w:p>
    <w:p>
      <w:pPr>
        <w:pStyle w:val="0"/>
        <w:jc w:val="both"/>
      </w:pPr>
      <w:r>
        <w:rPr>
          <w:sz w:val="20"/>
        </w:rPr>
        <w:t xml:space="preserve">(п. 5 в ред. </w:t>
      </w:r>
      <w:hyperlink w:history="0" r:id="rId2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6. Стоимость строительно-монтажных работ и пусконаладочных работ включает прямые затраты, накладные расходы и сметную прибыль, а также для строительно-монтажных работ иные виды затрат, относимые в сметной документации на их стоимость.</w:t>
      </w:r>
    </w:p>
    <w:p>
      <w:pPr>
        <w:pStyle w:val="0"/>
        <w:spacing w:before="200" w:line-rule="auto"/>
        <w:ind w:firstLine="540"/>
        <w:jc w:val="both"/>
      </w:pPr>
      <w:r>
        <w:rPr>
          <w:sz w:val="20"/>
        </w:rPr>
        <w:t xml:space="preserve">Прямые затраты учитывают сметную стоимость материалов, изделий, конструкций (далее - материальные ресурсы), средства на оплату труда рабочих, стоимость эксплуатации машин и механизмов, оплату труда рабочих, управляющих машинами (далее - машинисты), а также стоимость перевозки, погрузки и разгрузки в случаях, установленных </w:t>
      </w:r>
      <w:hyperlink w:history="0" w:anchor="P267" w:tooltip="62. При определении сметных затрат на демонтаж строительных конструкций и оборудования стоимость погрузки, перевозки (от строительной площадки до места утилизации или складирования) и разгрузки строительного мусора и материалов, полученных при разборке строительных конструкций и оборудования, а также оборачиваемых материалов и конструкций (при соответствующем указании в разделе &quot;Общие положения&quot; сборников сметных норм (единичных расценок), следует учитывать дополнительно.">
        <w:r>
          <w:rPr>
            <w:sz w:val="20"/>
            <w:color w:val="0000ff"/>
          </w:rPr>
          <w:t xml:space="preserve">пунктом 62</w:t>
        </w:r>
      </w:hyperlink>
      <w:r>
        <w:rPr>
          <w:sz w:val="20"/>
        </w:rPr>
        <w:t xml:space="preserve"> Методики.</w:t>
      </w:r>
    </w:p>
    <w:p>
      <w:pPr>
        <w:pStyle w:val="0"/>
        <w:spacing w:before="200" w:line-rule="auto"/>
        <w:ind w:firstLine="540"/>
        <w:jc w:val="both"/>
      </w:pPr>
      <w:r>
        <w:rPr>
          <w:sz w:val="20"/>
        </w:rPr>
        <w:t xml:space="preserve">Накладные расходы и сметная прибыль определяются в соответствии со сметными нормативами, сведения о которых включены в федеральный реестр сметных нормативов, формируемый в соответствии с </w:t>
      </w:r>
      <w:hyperlink w:history="0" r:id="rId21" w:tooltip="Приказ Минстроя России от 24.10.2017 N 1470/пр &quot;Об утверждении Порядка формирования и ведения федерального реестра сметных нормативов&quot; (Зарегистрировано в Минюсте России 14.05.2018 N 51079) {КонсультантПлюс}">
        <w:r>
          <w:rPr>
            <w:sz w:val="20"/>
            <w:color w:val="0000ff"/>
          </w:rPr>
          <w:t xml:space="preserve">Порядком</w:t>
        </w:r>
      </w:hyperlink>
      <w:r>
        <w:rPr>
          <w:sz w:val="20"/>
        </w:rPr>
        <w:t xml:space="preserve"> формирования и ведения федерального реестра сметных нормативов, утвержденным приказом Министерства строительства и жилищно-коммунального хозяйства Российской Федерации от 24 октября 2017 г. N 1470/пр (зарегистрирован Министерством юстиции Российской Федерации 14 мая 2018 г., регистрационный N 51079) (далее - ФРСН).</w:t>
      </w:r>
    </w:p>
    <w:p>
      <w:pPr>
        <w:pStyle w:val="0"/>
        <w:jc w:val="both"/>
      </w:pPr>
      <w:r>
        <w:rPr>
          <w:sz w:val="20"/>
        </w:rPr>
        <w:t xml:space="preserve">(п. 6 в ред. </w:t>
      </w:r>
      <w:hyperlink w:history="0" r:id="rId2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7. Смета на строительство разрабатывается с использованием сметных нормативов, а также единичных расценок и составляющих единичных расценок к сметным нормам, сведения о которых включены в ФРСН.</w:t>
      </w:r>
    </w:p>
    <w:p>
      <w:pPr>
        <w:pStyle w:val="0"/>
        <w:spacing w:before="200" w:line-rule="auto"/>
        <w:ind w:firstLine="540"/>
        <w:jc w:val="both"/>
      </w:pPr>
      <w:r>
        <w:rPr>
          <w:sz w:val="20"/>
        </w:rPr>
        <w:t xml:space="preserve">8. При определении сметной стоимости применяются:</w:t>
      </w:r>
    </w:p>
    <w:p>
      <w:pPr>
        <w:pStyle w:val="0"/>
        <w:spacing w:before="200" w:line-rule="auto"/>
        <w:ind w:firstLine="540"/>
        <w:jc w:val="both"/>
      </w:pPr>
      <w:r>
        <w:rPr>
          <w:sz w:val="20"/>
        </w:rPr>
        <w:t xml:space="preserve">а) сметные нормы, в том числе: сметные нормы на строительные работы (далее - ГЭСН), сметные нормы на ремонтно-строительные работы (далее - ГЭСНр), сметные нормы на монтаж оборудования (далее - ГЭСНм), сметные нормы на капитальный ремонт оборудования (далее - ГЭСНмр), сметные нормы на пусконаладочные работы (далее - ГЭСНп), сметные нормы на ремонтно-реставрационные работы (далее - ГЭСНрр);</w:t>
      </w:r>
    </w:p>
    <w:p>
      <w:pPr>
        <w:pStyle w:val="0"/>
        <w:spacing w:before="200" w:line-rule="auto"/>
        <w:ind w:firstLine="540"/>
        <w:jc w:val="both"/>
      </w:pPr>
      <w:r>
        <w:rPr>
          <w:sz w:val="20"/>
        </w:rPr>
        <w:t xml:space="preserve">б) федеральные единичные расценки и отдельные их составляющие, в том числе: федеральные единичные расценки на строительные работы (далее - ФЕР), федеральные единичные расценки на ремонтно-строительные работы (далее - ФЕРр), федеральные единичные расценки на монтаж оборудования (далее - ФЕРм), федеральные единичные расценки на капитальный ремонт оборудования (далее - ФЕРмр), федеральные единичные расценки на пусконаладочные работы (далее - ФЕРп), федеральные единичные расценки на ремонтно-реставрационные работы (далее - ФЕРрр), цены на материалы, изделия, конструкции и оборудование, применяемые в строительстве (далее - ФССЦ), расценки на эксплуатацию строительных машин и автотранспортных средств (далее - ФСЭМ), цены на перевозку грузов для строительства (далее - ФССЦпг);</w:t>
      </w:r>
    </w:p>
    <w:p>
      <w:pPr>
        <w:pStyle w:val="0"/>
        <w:spacing w:before="200" w:line-rule="auto"/>
        <w:ind w:firstLine="540"/>
        <w:jc w:val="both"/>
      </w:pPr>
      <w:r>
        <w:rPr>
          <w:sz w:val="20"/>
        </w:rPr>
        <w:t xml:space="preserve">в) территориальные единичные расценки и отдельные их составляющие, в том числе: территориальные единичные расценки на строительные работы (далее - ТЕР), территориальные единичные расценки на ремонтно-строительные работы (далее - ТЕРр), территориальные единичные расценки на монтаж оборудования (далее - ТЕРм), территориальные единичные расценки на капитальный ремонт оборудования (далее - ТЕРмр), территориальные единичные расценки на пусконаладочные работы (далее - ТЕРп), территориальные цены на материалы, изделия, конструкции и оборудование, применяемые в строительстве (далее - ТССЦ), территориальные расценки на эксплуатацию строительных машин и автотранспортных средств (далее - ТСЭМ), территориальные цены на перевозку грузов для строительства (далее - ТССЦпг);</w:t>
      </w:r>
    </w:p>
    <w:p>
      <w:pPr>
        <w:pStyle w:val="0"/>
        <w:spacing w:before="200" w:line-rule="auto"/>
        <w:ind w:firstLine="540"/>
        <w:jc w:val="both"/>
      </w:pPr>
      <w:r>
        <w:rPr>
          <w:sz w:val="20"/>
        </w:rPr>
        <w:t xml:space="preserve">г) отраслевые сметные нормы и единичные расценки;</w:t>
      </w:r>
    </w:p>
    <w:p>
      <w:pPr>
        <w:pStyle w:val="0"/>
        <w:jc w:val="both"/>
      </w:pPr>
      <w:r>
        <w:rPr>
          <w:sz w:val="20"/>
        </w:rPr>
        <w:t xml:space="preserve">(в ред. </w:t>
      </w:r>
      <w:hyperlink w:history="0" r:id="rId2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д) сметные цены на эксплуатацию машин и механизмов и на материальные ресурсы и оборудование, применяемые в строительстве в базисном уровне цен, сложившемся на определенную дату (далее - базисный уровень цен).</w:t>
      </w:r>
    </w:p>
    <w:p>
      <w:pPr>
        <w:pStyle w:val="0"/>
        <w:jc w:val="both"/>
      </w:pPr>
      <w:r>
        <w:rPr>
          <w:sz w:val="20"/>
        </w:rPr>
        <w:t xml:space="preserve">(пп. "д" введен </w:t>
      </w:r>
      <w:hyperlink w:history="0" r:id="rId2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9. Сметная стоимость строительства определяется в уровне цен, сложившемся ко времени составления сметной документации (далее - текущий уровень цен), а также в случае, указанном в </w:t>
      </w:r>
      <w:hyperlink w:history="0" w:anchor="P74" w:tooltip="б) базисно-индексным методом - с применением к сметной стоимости, определенной с использованием единичных расценок, в том числе их отдельных составляющих, сведения о которых включены в ФРСН, разработанных в базисном уровне цен, соответствующих индексов изменения сметной стоимости.">
        <w:r>
          <w:rPr>
            <w:sz w:val="20"/>
            <w:color w:val="0000ff"/>
          </w:rPr>
          <w:t xml:space="preserve">подпункте "б" пункта 10</w:t>
        </w:r>
      </w:hyperlink>
      <w:r>
        <w:rPr>
          <w:sz w:val="20"/>
        </w:rPr>
        <w:t xml:space="preserve"> Методики, - в базисном уровне цен.</w:t>
      </w:r>
    </w:p>
    <w:p>
      <w:pPr>
        <w:pStyle w:val="0"/>
        <w:jc w:val="both"/>
      </w:pPr>
      <w:r>
        <w:rPr>
          <w:sz w:val="20"/>
        </w:rPr>
        <w:t xml:space="preserve">(в ред. </w:t>
      </w:r>
      <w:hyperlink w:history="0" r:id="rId2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10. Сметная стоимость строительства определяется:</w:t>
      </w:r>
    </w:p>
    <w:p>
      <w:pPr>
        <w:pStyle w:val="0"/>
        <w:spacing w:before="200" w:line-rule="auto"/>
        <w:ind w:firstLine="540"/>
        <w:jc w:val="both"/>
      </w:pPr>
      <w:r>
        <w:rPr>
          <w:sz w:val="20"/>
        </w:rPr>
        <w:t xml:space="preserve">а) ресурсным методом - с использованием сметных норм и сметных цен строительных ресурсов в текущем уровне цен, размещенных в федеральной государственной информационной системе ценообразования в строительстве, созданной в соответствии с </w:t>
      </w:r>
      <w:hyperlink w:history="0" r:id="rId26" w:tooltip="Постановление Правительства РФ от 23.09.2016 N 959 (ред. от 24.11.2020) &quot;О федеральной государственной информационной системе ценообразования в строительстве&quot; (вместе с &quot;Положением о федеральной государственной информационной системе ценообразования в строительстве&quot;) {КонсультантПлюс}">
        <w:r>
          <w:rPr>
            <w:sz w:val="20"/>
            <w:color w:val="0000ff"/>
          </w:rPr>
          <w:t xml:space="preserve">Положением</w:t>
        </w:r>
      </w:hyperlink>
      <w:r>
        <w:rPr>
          <w:sz w:val="20"/>
        </w:rPr>
        <w:t xml:space="preserve"> о федеральной государственной информационной системе ценообразования в строительстве, утвержденным постановлением Правительства Российской Федерации от 23 сентября 2016 г. N 959 (Собрание законодательства Российской Федерации, 2016, N 40, ст. 5741; 2017, N 51, ст. 7839) (далее - ФГИС ЦС);</w:t>
      </w:r>
    </w:p>
    <w:p>
      <w:pPr>
        <w:pStyle w:val="0"/>
        <w:jc w:val="both"/>
      </w:pPr>
      <w:r>
        <w:rPr>
          <w:sz w:val="20"/>
        </w:rPr>
        <w:t xml:space="preserve">(в ред. </w:t>
      </w:r>
      <w:hyperlink w:history="0" r:id="rId2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74" w:name="P74"/>
    <w:bookmarkEnd w:id="74"/>
    <w:p>
      <w:pPr>
        <w:pStyle w:val="0"/>
        <w:spacing w:before="200" w:line-rule="auto"/>
        <w:ind w:firstLine="540"/>
        <w:jc w:val="both"/>
      </w:pPr>
      <w:r>
        <w:rPr>
          <w:sz w:val="20"/>
        </w:rPr>
        <w:t xml:space="preserve">б) базисно-индексным методом - с применением к сметной стоимости, определенной с использованием единичных расценок, в том числе их отдельных составляющих, сведения о которых включены в ФРСН, разработанных в базисном уровне цен, соответствующих индексов изменения сметной стоимости.</w:t>
      </w:r>
    </w:p>
    <w:p>
      <w:pPr>
        <w:pStyle w:val="0"/>
        <w:spacing w:before="200" w:line-rule="auto"/>
        <w:ind w:firstLine="540"/>
        <w:jc w:val="both"/>
      </w:pPr>
      <w:r>
        <w:rPr>
          <w:sz w:val="20"/>
        </w:rPr>
        <w:t xml:space="preserve">До даты перехода на ресурсно-индексный метод определения сметной стоимости строительства в соответствии с требованиями </w:t>
      </w:r>
      <w:hyperlink w:history="0" r:id="rId28"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постановления</w:t>
        </w:r>
      </w:hyperlink>
      <w:r>
        <w:rPr>
          <w:sz w:val="20"/>
        </w:rPr>
        <w:t xml:space="preserve"> Правительства Российской Федерации от 23 декабря 2016 г. N 1452 "О мониторинге цен строительных ресурсов" (Собрание законодательства Российской Федерации, 2017, N 1, ст. 184; 2022, N 16, ст. 2705) (далее - Постановление N 1452) в случае выполнения расчета базисно-индексным методом при отсутствии в ФЕР, ФЕРр, ФЕРм, ФЕРмр и ФЕРп единичных расценок на отдельные виды работ допускается калькулирование их стоимости с использованием сметных норм, сведения о которых включены в ФРСН, разработанных для применения ресурсно-индексным и ресурсным методами, с одновременным применением информации о сметных ценах на материальные ресурсы и оборудование, машины и механизмы в базисном уровне цен, включенных в ФССЦ и ФСЭМ по состоянию на 1 января 2000 г. в следующем порядке:</w:t>
      </w:r>
    </w:p>
    <w:p>
      <w:pPr>
        <w:pStyle w:val="0"/>
        <w:spacing w:before="200" w:line-rule="auto"/>
        <w:ind w:firstLine="540"/>
        <w:jc w:val="both"/>
      </w:pPr>
      <w:r>
        <w:rPr>
          <w:sz w:val="20"/>
        </w:rPr>
        <w:t xml:space="preserve">- оплата труда рабочих и машинистов, пусконаладочного персонала в текущем уровне цен определяется на основании информации о сметных ценах на затраты труда рабочих и машинистов, размещенной в ФГИС ЦС, с учетом коэффициента инфляции на дату составления сметной документации, определяемого поквартально путем извлечения корня четвертой степени из величины годового показателя инфляции на соответствующий год, согласно данным прогноза социально-экономического развития Российской Федерации, опубликованным Министерством экономического развития Российской Федерации, по строке "Индекс потребительских цен в среднем за год" (базовый вариант) на текущий год;</w:t>
      </w:r>
    </w:p>
    <w:p>
      <w:pPr>
        <w:pStyle w:val="0"/>
        <w:spacing w:before="200" w:line-rule="auto"/>
        <w:ind w:firstLine="540"/>
        <w:jc w:val="both"/>
      </w:pPr>
      <w:r>
        <w:rPr>
          <w:sz w:val="20"/>
        </w:rPr>
        <w:t xml:space="preserve">- при отсутствии в ФСЭМ сметных цен на эксплуатацию машин и механизмов их цены в базисном уровне цен по состоянию на 1 января 2000 г. определяются с использованием сметных цен на эксплуатацию машин и механизмов в уровне цен по состоянию на 1 января 2022 г. с приведением в текущий уровень цен индексом прогнозных индексов-дефляторов и инфляции по строке "Продукция машиностроения (26, 27, 28, 29, 30, 33)", публикуемых Министерством экономического развития Российской Федерации в составе прогноза индексов дефляторов и индексов цен производителей по видам экономической деятельности (по полному кругу предприятий без НДС, косвенных налогов, торгово-транспортной наценки);</w:t>
      </w:r>
    </w:p>
    <w:p>
      <w:pPr>
        <w:pStyle w:val="0"/>
        <w:spacing w:before="200" w:line-rule="auto"/>
        <w:ind w:firstLine="540"/>
        <w:jc w:val="both"/>
      </w:pPr>
      <w:r>
        <w:rPr>
          <w:sz w:val="20"/>
        </w:rPr>
        <w:t xml:space="preserve">- при отсутствии в ФССЦ сметных цен материальных ресурсов и оборудования их цены в текущем уровне цен определяются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пунктом 13</w:t>
        </w:r>
      </w:hyperlink>
      <w:r>
        <w:rPr>
          <w:sz w:val="20"/>
        </w:rPr>
        <w:t xml:space="preserve"> Методики;</w:t>
      </w:r>
    </w:p>
    <w:p>
      <w:pPr>
        <w:pStyle w:val="0"/>
        <w:spacing w:before="200" w:line-rule="auto"/>
        <w:ind w:firstLine="540"/>
        <w:jc w:val="both"/>
      </w:pPr>
      <w:r>
        <w:rPr>
          <w:sz w:val="20"/>
        </w:rPr>
        <w:t xml:space="preserve">- приведение текущих цен на оплату труда рабочих и машинистов, эксплуатацию машин и механизмов, материальные ресурсы и оборудование в базисный уровень цен по состоянию на 1 января 2000 г. осуществляется обратным счетом путем деления их текущих цен на индекс изменения сметной стоимости в соответствии с </w:t>
      </w:r>
      <w:hyperlink w:history="0" w:anchor="P87" w:tooltip="11. При определении сметной стоимости строительства ресурсно-индексным методом, в случае отсутствия сметных цен строительных ресурсов в текущем уровне цен в ФГИС ЦС, применяются индексы, указанные в подпунктах &quot;г&quot; - &quot;ж&quot; настоящего пункта Методики. Сметная стоимость строительства базисно-индексным или ресурсно-индексным методами определяется с применением индексов изменения сметной стоимости, сведения о которых последними включены в ФРСН, в том числе:">
        <w:r>
          <w:rPr>
            <w:sz w:val="20"/>
            <w:color w:val="0000ff"/>
          </w:rPr>
          <w:t xml:space="preserve">пунктами 11</w:t>
        </w:r>
      </w:hyperlink>
      <w:r>
        <w:rPr>
          <w:sz w:val="20"/>
        </w:rPr>
        <w:t xml:space="preserve"> и </w:t>
      </w:r>
      <w:hyperlink w:history="0" w:anchor="P203" w:tooltip="45. Сметная стоимость в текущем уровне цен рассчитывается как произведение сметной стоимости, определенной в базисном уровне цен, и соответствующих индексов изменения сметной стоимости, разрабатываемых в соответствии с Методикой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N 326/пр (зарегистрирован Министерством юстиции Российской Федерации 10 сентября 2019 г., регистра...">
        <w:r>
          <w:rPr>
            <w:sz w:val="20"/>
            <w:color w:val="0000ff"/>
          </w:rPr>
          <w:t xml:space="preserve">45</w:t>
        </w:r>
      </w:hyperlink>
      <w:r>
        <w:rPr>
          <w:sz w:val="20"/>
        </w:rPr>
        <w:t xml:space="preserve"> Методики;</w:t>
      </w:r>
    </w:p>
    <w:p>
      <w:pPr>
        <w:pStyle w:val="0"/>
        <w:spacing w:before="200" w:line-rule="auto"/>
        <w:ind w:firstLine="540"/>
        <w:jc w:val="both"/>
      </w:pPr>
      <w:r>
        <w:rPr>
          <w:sz w:val="20"/>
        </w:rPr>
        <w:t xml:space="preserve">- приведенная цена эксплуатации машин и механизмов в базисном уровне цен по состоянию на 1 января 2000 г. определяется с добавлением стоимости оплаты труда машинистов, приведенной в базисный уровень цен по состоянию на 1 января 2000 г.;</w:t>
      </w:r>
    </w:p>
    <w:p>
      <w:pPr>
        <w:pStyle w:val="0"/>
        <w:spacing w:before="200" w:line-rule="auto"/>
        <w:ind w:firstLine="540"/>
        <w:jc w:val="both"/>
      </w:pPr>
      <w:r>
        <w:rPr>
          <w:sz w:val="20"/>
        </w:rPr>
        <w:t xml:space="preserve">- учет в сметной документации стоимости отдельных видов затрат, определенной указанным способом, выполняется в соответствии с </w:t>
      </w:r>
      <w:hyperlink w:history="0" w:anchor="P186" w:tooltip="38. Сметные расчеты на отдельные виды затрат разрабатываются для определения стоимости затрат, не учтенных сметными нормативами, единичными расценками, составляющими единичных расценок, сметными ценами строительных ресурсов.">
        <w:r>
          <w:rPr>
            <w:sz w:val="20"/>
            <w:color w:val="0000ff"/>
          </w:rPr>
          <w:t xml:space="preserve">пунктом 38</w:t>
        </w:r>
      </w:hyperlink>
      <w:r>
        <w:rPr>
          <w:sz w:val="20"/>
        </w:rPr>
        <w:t xml:space="preserve"> Методики.</w:t>
      </w:r>
    </w:p>
    <w:p>
      <w:pPr>
        <w:pStyle w:val="0"/>
        <w:spacing w:before="200" w:line-rule="auto"/>
        <w:ind w:firstLine="540"/>
        <w:jc w:val="both"/>
      </w:pPr>
      <w:r>
        <w:rPr>
          <w:sz w:val="20"/>
        </w:rPr>
        <w:t xml:space="preserve">Особенности определения сметной стоимости работ по сохранению объектов культурного наследия на этапе архитектурно-строительного проектирования приведены в </w:t>
      </w:r>
      <w:hyperlink w:history="0" w:anchor="P738" w:tooltip="XII. Особенности определения сметной стоимости работ">
        <w:r>
          <w:rPr>
            <w:sz w:val="20"/>
            <w:color w:val="0000ff"/>
          </w:rPr>
          <w:t xml:space="preserve">разделе XII</w:t>
        </w:r>
      </w:hyperlink>
      <w:r>
        <w:rPr>
          <w:sz w:val="20"/>
        </w:rPr>
        <w:t xml:space="preserve"> Методики. Положения </w:t>
      </w:r>
      <w:hyperlink w:history="0" w:anchor="P738" w:tooltip="XII. Особенности определения сметной стоимости работ">
        <w:r>
          <w:rPr>
            <w:sz w:val="20"/>
            <w:color w:val="0000ff"/>
          </w:rPr>
          <w:t xml:space="preserve">раздела XII</w:t>
        </w:r>
      </w:hyperlink>
      <w:r>
        <w:rPr>
          <w:sz w:val="20"/>
        </w:rPr>
        <w:t xml:space="preserve"> Методики применяются до включения в ФРСН сведений о соответствующих сметных нормативах на работы по сохранению объектов культурного наследия (памятников истории и культуры) народов Российской Федерации;</w:t>
      </w:r>
    </w:p>
    <w:p>
      <w:pPr>
        <w:pStyle w:val="0"/>
        <w:jc w:val="both"/>
      </w:pPr>
      <w:r>
        <w:rPr>
          <w:sz w:val="20"/>
        </w:rPr>
        <w:t xml:space="preserve">(пп. "б" в ред. </w:t>
      </w:r>
      <w:hyperlink w:history="0" r:id="rId2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в) ресурсно-индексным методом -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w:t>
      </w:r>
    </w:p>
    <w:p>
      <w:pPr>
        <w:pStyle w:val="0"/>
        <w:jc w:val="both"/>
      </w:pPr>
      <w:r>
        <w:rPr>
          <w:sz w:val="20"/>
        </w:rPr>
        <w:t xml:space="preserve">(в ред. </w:t>
      </w:r>
      <w:hyperlink w:history="0" r:id="rId3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Абзац утратил силу. - </w:t>
      </w:r>
      <w:hyperlink w:history="0" r:id="rId3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w:t>
        </w:r>
      </w:hyperlink>
      <w:r>
        <w:rPr>
          <w:sz w:val="20"/>
        </w:rPr>
        <w:t xml:space="preserve"> Минстроя России от 07.07.2022 N 557/пр.</w:t>
      </w:r>
    </w:p>
    <w:bookmarkStart w:id="87" w:name="P87"/>
    <w:bookmarkEnd w:id="87"/>
    <w:p>
      <w:pPr>
        <w:pStyle w:val="0"/>
        <w:spacing w:before="200" w:line-rule="auto"/>
        <w:ind w:firstLine="540"/>
        <w:jc w:val="both"/>
      </w:pPr>
      <w:r>
        <w:rPr>
          <w:sz w:val="20"/>
        </w:rPr>
        <w:t xml:space="preserve">11. При определении сметной стоимости строительства ресурсно-индексным методом, в случае отсутствия сметных цен строительных ресурсов в текущем уровне цен в ФГИС ЦС, применяются индексы, указанные в </w:t>
      </w:r>
      <w:hyperlink w:history="0" w:anchor="P93" w:tooltip="г) индексы к сметной стоимости отдельных материальных ресурсов, оборудования, эксплуатации машин и механизмов или к стоимости однородных групп таких строительных ресурсов (далее - индексы к отдельным строительным ресурсам, индексы к группам строительных ресурсов).">
        <w:r>
          <w:rPr>
            <w:sz w:val="20"/>
            <w:color w:val="0000ff"/>
          </w:rPr>
          <w:t xml:space="preserve">подпунктах "г"</w:t>
        </w:r>
      </w:hyperlink>
      <w:r>
        <w:rPr>
          <w:sz w:val="20"/>
        </w:rPr>
        <w:t xml:space="preserve"> - </w:t>
      </w:r>
      <w:hyperlink w:history="0" w:anchor="P99" w:tooltip="ж) индексы изменения сметной стоимости, рассчитываемые для применения к сметной стоимости отдельных видов прочих работ и затрат, обеспечивающих процессы строительства, не относимых на стоимость строительно-монтажных работ, оборудования, мебели и инвентаря (далее - индексы к прочим затратам).">
        <w:r>
          <w:rPr>
            <w:sz w:val="20"/>
            <w:color w:val="0000ff"/>
          </w:rPr>
          <w:t xml:space="preserve">"ж"</w:t>
        </w:r>
      </w:hyperlink>
      <w:r>
        <w:rPr>
          <w:sz w:val="20"/>
        </w:rPr>
        <w:t xml:space="preserve"> настоящего пункта Методики. Сметная стоимость строительства базисно-индексным или ресурсно-индексным методами определяется с применением индексов изменения сметной стоимости, сведения о которых последними включены в ФРСН, в том числе:</w:t>
      </w:r>
    </w:p>
    <w:p>
      <w:pPr>
        <w:pStyle w:val="0"/>
        <w:jc w:val="both"/>
      </w:pPr>
      <w:r>
        <w:rPr>
          <w:sz w:val="20"/>
        </w:rPr>
        <w:t xml:space="preserve">(в ред. </w:t>
      </w:r>
      <w:hyperlink w:history="0" r:id="rId3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а) индексы изменения сметной стоимости по видам объектов капитального строительства (далее - индексы по видам объектов), в том числе: рассчитываемые для применения к сметной оплате труда, к сметной стоимости эксплуатации машин и механизмов, к сметной стоимости материальных ресурсов (далее соответственно - элементы прямых затрат, индексы к элементам прямых затрат), рассчитываемые для применения к сметной стоимости строительно-монтажных работ (с учетом накладных расходов и сметной прибыли) (далее - индексы к СМР) в целом по объекту капитального строительства;</w:t>
      </w:r>
    </w:p>
    <w:p>
      <w:pPr>
        <w:pStyle w:val="0"/>
        <w:jc w:val="both"/>
      </w:pPr>
      <w:r>
        <w:rPr>
          <w:sz w:val="20"/>
        </w:rPr>
        <w:t xml:space="preserve">(в ред. </w:t>
      </w:r>
      <w:hyperlink w:history="0" r:id="rId3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б) индексы изменения сметной стоимости, рассчитываемые для применения по видам (комплексам) работ (далее - индексы по видам (комплексам) работ), а также по видам затрат при строительстве;</w:t>
      </w:r>
    </w:p>
    <w:p>
      <w:pPr>
        <w:pStyle w:val="0"/>
        <w:spacing w:before="200" w:line-rule="auto"/>
        <w:ind w:firstLine="540"/>
        <w:jc w:val="both"/>
      </w:pPr>
      <w:r>
        <w:rPr>
          <w:sz w:val="20"/>
        </w:rPr>
        <w:t xml:space="preserve">в) индексы изменения сметной стоимости, рассчитываемые для применения к единичным расценкам или к стоимости элементов прямых затрат единичных расценок (далее - индексы к расценкам, индексы к элементам прямых затрат расценок);</w:t>
      </w:r>
    </w:p>
    <w:bookmarkStart w:id="93" w:name="P93"/>
    <w:bookmarkEnd w:id="93"/>
    <w:p>
      <w:pPr>
        <w:pStyle w:val="0"/>
        <w:spacing w:before="200" w:line-rule="auto"/>
        <w:ind w:firstLine="540"/>
        <w:jc w:val="both"/>
      </w:pPr>
      <w:r>
        <w:rPr>
          <w:sz w:val="20"/>
        </w:rPr>
        <w:t xml:space="preserve">г) индексы к сметной стоимости отдельных материальных ресурсов, оборудования, эксплуатации машин и механизмов или к стоимости однородных групп таких строительных ресурсов (далее - индексы к отдельным строительным ресурсам, индексы к группам строительных ресурсов).</w:t>
      </w:r>
    </w:p>
    <w:p>
      <w:pPr>
        <w:pStyle w:val="0"/>
        <w:spacing w:before="200" w:line-rule="auto"/>
        <w:ind w:firstLine="540"/>
        <w:jc w:val="both"/>
      </w:pPr>
      <w:r>
        <w:rPr>
          <w:sz w:val="20"/>
        </w:rPr>
        <w:t xml:space="preserve">Номенклатура однородных групп строительных ресурсов определяется в составе сводной номенклатуры ресурсов-представителей и перечней специализированных ресурсов, формируемых в соответствии с </w:t>
      </w:r>
      <w:hyperlink w:history="0" r:id="rId34"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Постановлением</w:t>
        </w:r>
      </w:hyperlink>
      <w:r>
        <w:rPr>
          <w:sz w:val="20"/>
        </w:rPr>
        <w:t xml:space="preserve"> N 1452.</w:t>
      </w:r>
    </w:p>
    <w:p>
      <w:pPr>
        <w:pStyle w:val="0"/>
        <w:spacing w:before="200" w:line-rule="auto"/>
        <w:ind w:firstLine="540"/>
        <w:jc w:val="both"/>
      </w:pPr>
      <w:r>
        <w:rPr>
          <w:sz w:val="20"/>
        </w:rPr>
        <w:t xml:space="preserve">Номенклатура строительных ресурсов, входящих в однородные группы строительных ресурсов, определяется в составе ФССЦ, ФСЭМ;</w:t>
      </w:r>
    </w:p>
    <w:p>
      <w:pPr>
        <w:pStyle w:val="0"/>
        <w:jc w:val="both"/>
      </w:pPr>
      <w:r>
        <w:rPr>
          <w:sz w:val="20"/>
        </w:rPr>
        <w:t xml:space="preserve">(пп. "г" в ред. </w:t>
      </w:r>
      <w:hyperlink w:history="0" r:id="rId3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д) индексы изменения сметных цен на перевозку грузов для строительства автомобильным транспортом по соответствующим типам автотранспортных средств (далее - индексы на перевозку);</w:t>
      </w:r>
    </w:p>
    <w:p>
      <w:pPr>
        <w:pStyle w:val="0"/>
        <w:spacing w:before="200" w:line-rule="auto"/>
        <w:ind w:firstLine="540"/>
        <w:jc w:val="both"/>
      </w:pPr>
      <w:r>
        <w:rPr>
          <w:sz w:val="20"/>
        </w:rPr>
        <w:t xml:space="preserve">е) индексы изменения сметной стоимости, рассчитываемые для применения к сметной стоимости оборудования (далее - индексы к оборудованию);</w:t>
      </w:r>
    </w:p>
    <w:bookmarkStart w:id="99" w:name="P99"/>
    <w:bookmarkEnd w:id="99"/>
    <w:p>
      <w:pPr>
        <w:pStyle w:val="0"/>
        <w:spacing w:before="200" w:line-rule="auto"/>
        <w:ind w:firstLine="540"/>
        <w:jc w:val="both"/>
      </w:pPr>
      <w:r>
        <w:rPr>
          <w:sz w:val="20"/>
        </w:rPr>
        <w:t xml:space="preserve">ж) индексы изменения сметной стоимости, рассчитываемые для применения к сметной стоимости отдельных видов прочих работ и затрат, обеспечивающих процессы строительства, не относимых на стоимость строительно-монтажных работ, оборудования, мебели и инвентаря (далее - индексы к прочим затратам).</w:t>
      </w:r>
    </w:p>
    <w:p>
      <w:pPr>
        <w:pStyle w:val="0"/>
        <w:spacing w:before="200" w:line-rule="auto"/>
        <w:ind w:firstLine="540"/>
        <w:jc w:val="both"/>
      </w:pPr>
      <w:r>
        <w:rPr>
          <w:sz w:val="20"/>
        </w:rPr>
        <w:t xml:space="preserve">При определении сметной стоимости строительства базисно-индексным методом пересчет стоимости отдельных строительных ресурсов, величин накладных расходов и сметной прибыли из базисного в текущий уровень цен с применением индексов к СМР, используемых при пересчете сметной стоимости строительства в целом по объекту, а также индексов к элементам прямых затрат, рассчитываемых для применения к сметной стоимости эксплуатации машин и механизмов и к сметной стоимости материалов, не допускается.</w:t>
      </w:r>
    </w:p>
    <w:p>
      <w:pPr>
        <w:pStyle w:val="0"/>
        <w:jc w:val="both"/>
      </w:pPr>
      <w:r>
        <w:rPr>
          <w:sz w:val="20"/>
        </w:rPr>
        <w:t xml:space="preserve">(абзац введен </w:t>
      </w:r>
      <w:hyperlink w:history="0" r:id="rId3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12. Выбор сметных нормативов, единичных расценок и составляющих единичных расценок для определения стоимости строительно-монтажных и пусконаладочных работ осуществляется исходя из соответствия технологии производства работ, принятой в проектной и (или) иной технической документации, состава работ, перечня, характеристик и расхода строительных ресурсов, учтенных сметными нормами.</w:t>
      </w:r>
    </w:p>
    <w:p>
      <w:pPr>
        <w:pStyle w:val="0"/>
        <w:jc w:val="both"/>
      </w:pPr>
      <w:r>
        <w:rPr>
          <w:sz w:val="20"/>
        </w:rPr>
        <w:t xml:space="preserve">(в ред. </w:t>
      </w:r>
      <w:hyperlink w:history="0" r:id="rId3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04" w:name="P104"/>
    <w:bookmarkEnd w:id="104"/>
    <w:p>
      <w:pPr>
        <w:pStyle w:val="0"/>
        <w:spacing w:before="200" w:line-rule="auto"/>
        <w:ind w:firstLine="540"/>
        <w:jc w:val="both"/>
      </w:pPr>
      <w:r>
        <w:rPr>
          <w:sz w:val="20"/>
        </w:rPr>
        <w:t xml:space="preserve">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w:t>
      </w:r>
      <w:hyperlink w:history="0" w:anchor="P827" w:tooltip="Конъюнктурный анализ">
        <w:r>
          <w:rPr>
            <w:sz w:val="20"/>
            <w:color w:val="0000ff"/>
          </w:rPr>
          <w:t xml:space="preserve">Приложении N 1</w:t>
        </w:r>
      </w:hyperlink>
      <w:r>
        <w:rPr>
          <w:sz w:val="20"/>
        </w:rPr>
        <w:t xml:space="preserve"> к Методике и подписываются застройщиком или техническим заказчиком (далее - заказчик).</w:t>
      </w:r>
    </w:p>
    <w:p>
      <w:pPr>
        <w:pStyle w:val="0"/>
        <w:jc w:val="both"/>
      </w:pPr>
      <w:r>
        <w:rPr>
          <w:sz w:val="20"/>
        </w:rPr>
        <w:t xml:space="preserve">(в ред. </w:t>
      </w:r>
      <w:hyperlink w:history="0" r:id="rId3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06" w:name="P106"/>
    <w:bookmarkEnd w:id="106"/>
    <w:p>
      <w:pPr>
        <w:pStyle w:val="0"/>
        <w:spacing w:before="200" w:line-rule="auto"/>
        <w:ind w:firstLine="540"/>
        <w:jc w:val="both"/>
      </w:pPr>
      <w:r>
        <w:rPr>
          <w:sz w:val="20"/>
        </w:rPr>
        <w:t xml:space="preserve">14. Для проведения конъюнктурного анализа используется информация из открытых и (или) официальных источников о текущих ценах (в частности, печатные издания, информационно-телекоммуникационная сеть "Интернет"), подтверждаемая обосновывающими документами, подписанными производителями и (или) поставщиками соответствующих материальных ресурсов и оборудования (работ, услуг) и (или) заверенными подписями уполномоченного лица производителей и (или) поставщиков, при использовании обосновывающих документов из открытых источников - подписанные уполномоченным лицом заказчика, в том числе для:</w:t>
      </w:r>
    </w:p>
    <w:p>
      <w:pPr>
        <w:pStyle w:val="0"/>
        <w:jc w:val="both"/>
      </w:pPr>
      <w:r>
        <w:rPr>
          <w:sz w:val="20"/>
        </w:rPr>
        <w:t xml:space="preserve">(в ред. </w:t>
      </w:r>
      <w:hyperlink w:history="0" r:id="rId3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а) материальных ресурсов и оборудования: копиями или оригиналами (при наличии) прейскурантов, коммерческих предложений, технико-коммерческих предложений (далее - ТКП), расчетно-калькуляционных цен (далее - РКЦ), цен офсетных контрактов, а также информацией, принятой по данным, размещенной в информационно-телекоммуникационной сети "Интернет", используемой при проведении конъюнктурного анализа;</w:t>
      </w:r>
    </w:p>
    <w:p>
      <w:pPr>
        <w:pStyle w:val="0"/>
        <w:jc w:val="both"/>
      </w:pPr>
      <w:r>
        <w:rPr>
          <w:sz w:val="20"/>
        </w:rPr>
        <w:t xml:space="preserve">(пп. "а" в ред. </w:t>
      </w:r>
      <w:hyperlink w:history="0" r:id="rId4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б) прочих затрат: результатами конкурсов, аукционов, данными Федеральной службы государственной статистики, данными о тарифах, утверждаемых в соответствии с законодательством Российской Федерации, копиями или оригиналами (при наличии) данных о ценах и тарифах, размещаемых в форме публичной оферты, коммерческих предложений или ТКП не менее 3 (трех) (при наличии) производителей и (или) поставщиков услуг, в случаях, когда законодательством Российской Федерации не предусмотрено государственное регулирование стоимости соответствующих услуг.</w:t>
      </w:r>
    </w:p>
    <w:p>
      <w:pPr>
        <w:pStyle w:val="0"/>
        <w:jc w:val="both"/>
      </w:pPr>
      <w:r>
        <w:rPr>
          <w:sz w:val="20"/>
        </w:rPr>
        <w:t xml:space="preserve">(в ред. </w:t>
      </w:r>
      <w:hyperlink w:history="0" r:id="rId4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Обосновывающие стоимость в текущих ценах документы должны быть получены в период, не превышающий 6 месяцев до момента определения сметной стоимости.</w:t>
      </w:r>
    </w:p>
    <w:p>
      <w:pPr>
        <w:pStyle w:val="0"/>
        <w:spacing w:before="200" w:line-rule="auto"/>
        <w:ind w:firstLine="540"/>
        <w:jc w:val="both"/>
      </w:pPr>
      <w:r>
        <w:rPr>
          <w:sz w:val="20"/>
        </w:rPr>
        <w:t xml:space="preserve">Конъюнктурный анализ проводится по данным производителей (поставщиков) соответствующего субъекта Российской Федерации (части территории субъекта Российской Федерации), на территории которого осуществляется строительство. Для субъектов Российской Федерации (частей территорий субъектов Российской Федерации), на рынке которых не представлены необходимые материальные ресурсы и оборудование, допускается проведение конъюнктурного анализа по данным производителей (поставщиков), расположенных в других субъектах Российской Федерации (частях территории субъекта Российской Федерации), с учетом стоимости доставки до объекта строительства, рассчитанной в соответствии со сметными нормативами, сведения о которых включены в ФРСН, или согласно положениям </w:t>
      </w:r>
      <w:hyperlink w:history="0" w:anchor="P420" w:tooltip="91. Сметная стоимость материальных ресурсов и оборудования в текущем уровне цен, информация о которых отсутствует во ФГИС ЦС, определяется с учетом транспортных и заготовительно-складских затрат. Стоимость транспортных затрат определяется на основании расчета с учетом данных о расстоянии перевозки, классе груза, типе(-ах) транспорта, наличии погрузочно-разгрузочных работ и прочих условий транспортировки, а также информации о ценах услуг на перевозку грузов для строительства автомобильным и железнодорожны...">
        <w:r>
          <w:rPr>
            <w:sz w:val="20"/>
            <w:color w:val="0000ff"/>
          </w:rPr>
          <w:t xml:space="preserve">пункта 91</w:t>
        </w:r>
      </w:hyperlink>
      <w:r>
        <w:rPr>
          <w:sz w:val="20"/>
        </w:rPr>
        <w:t xml:space="preserve"> настоящей Методики.</w:t>
      </w:r>
    </w:p>
    <w:p>
      <w:pPr>
        <w:pStyle w:val="0"/>
        <w:jc w:val="both"/>
      </w:pPr>
      <w:r>
        <w:rPr>
          <w:sz w:val="20"/>
        </w:rPr>
        <w:t xml:space="preserve">(в ред. </w:t>
      </w:r>
      <w:hyperlink w:history="0" r:id="rId4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15" w:name="P115"/>
    <w:bookmarkEnd w:id="115"/>
    <w:p>
      <w:pPr>
        <w:pStyle w:val="0"/>
        <w:spacing w:before="200" w:line-rule="auto"/>
        <w:ind w:firstLine="540"/>
        <w:jc w:val="both"/>
      </w:pPr>
      <w:r>
        <w:rPr>
          <w:sz w:val="20"/>
        </w:rPr>
        <w:t xml:space="preserve">15. В документах, обосновывающих стоимость в текущем уровне цен соответствующих материальных ресурсов, оборудования и отдельных видов работ и услуг, предоставляемых производителями (поставщиками) или формируемых на основании данных из открытых и (или) официальных источников, указанных в </w:t>
      </w:r>
      <w:hyperlink w:history="0" w:anchor="P106" w:tooltip="14. Для проведения конъюнктурного анализа используется информация из открытых и (или) официальных источников о текущих ценах (в частности, печатные издания, информационно-телекоммуникационная сеть &quot;Интернет&quot;), подтверждаемая обосновывающими документами, подписанными производителями и (или) поставщиками соответствующих материальных ресурсов и оборудования (работ, услуг) и (или) заверенными подписями уполномоченного лица производителей и (или) поставщиков, при использовании обосновывающих документов из отк...">
        <w:r>
          <w:rPr>
            <w:sz w:val="20"/>
            <w:color w:val="0000ff"/>
          </w:rPr>
          <w:t xml:space="preserve">пункте 14</w:t>
        </w:r>
      </w:hyperlink>
      <w:r>
        <w:rPr>
          <w:sz w:val="20"/>
        </w:rPr>
        <w:t xml:space="preserve"> Методики, должна содержаться следующая информация: наименование производителя (поставщика), его идентификационный номер налогоплательщика (далее - ИНН), контактные данные, сайт в информационно-телекоммуникационной сети "Интернет" (при наличии), об исполнителе (исполнителях) (при наличии) такого обосновывающего документа с указанием фамилий и инициалов либо иных реквизитов, необходимых для идентификации этих лиц, а также о дате составления документа, дате и (или) сроках действия ценовых предложений, об учете (или не учете) в ценах отдельных затрат (в частности, на перевозку, шефмонтаж, шефналадку) и налога на добавленную стоимость (далее - НДС).</w:t>
      </w:r>
    </w:p>
    <w:p>
      <w:pPr>
        <w:pStyle w:val="0"/>
        <w:jc w:val="both"/>
      </w:pPr>
      <w:r>
        <w:rPr>
          <w:sz w:val="20"/>
        </w:rPr>
        <w:t xml:space="preserve">(п. 15 в ред. </w:t>
      </w:r>
      <w:hyperlink w:history="0" r:id="rId4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17" w:name="P117"/>
    <w:bookmarkEnd w:id="117"/>
    <w:p>
      <w:pPr>
        <w:pStyle w:val="0"/>
        <w:spacing w:before="200" w:line-rule="auto"/>
        <w:ind w:firstLine="540"/>
        <w:jc w:val="both"/>
      </w:pPr>
      <w:r>
        <w:rPr>
          <w:sz w:val="20"/>
        </w:rPr>
        <w:t xml:space="preserve">16. Данные, указанные в </w:t>
      </w:r>
      <w:hyperlink w:history="0" w:anchor="P115" w:tooltip="15. В документах, обосновывающих стоимость в текущем уровне цен соответствующих материальных ресурсов, оборудования и отдельных видов работ и услуг, предоставляемых производителями (поставщиками) или формируемых на основании данных из открытых и (или) официальных источников, указанных в пункте 14 Методики, должна содержаться следующая информация: наименование производителя (поставщика), его идентификационный номер налогоплательщика (далее - ИНН), контактные данные, сайт в информационно-телекоммуникационн...">
        <w:r>
          <w:rPr>
            <w:sz w:val="20"/>
            <w:color w:val="0000ff"/>
          </w:rPr>
          <w:t xml:space="preserve">пункте 15</w:t>
        </w:r>
      </w:hyperlink>
      <w:r>
        <w:rPr>
          <w:sz w:val="20"/>
        </w:rPr>
        <w:t xml:space="preserve"> Методики, отсутствующие в документах, обосновывающих стоимость в текущем уровне цен соответствующих материальных ресурсов, оборудования, отдельных видов работ и услуг, могут быть дополнены и подписаны уполномоченным лицом заказчика при оформлении обоснований результатов конъюнктурного анализа.</w:t>
      </w:r>
    </w:p>
    <w:p>
      <w:pPr>
        <w:pStyle w:val="0"/>
        <w:jc w:val="both"/>
      </w:pPr>
      <w:r>
        <w:rPr>
          <w:sz w:val="20"/>
        </w:rPr>
        <w:t xml:space="preserve">(п. 16 в ред. </w:t>
      </w:r>
      <w:hyperlink w:history="0" r:id="rId4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19" w:name="P119"/>
    <w:bookmarkEnd w:id="119"/>
    <w:p>
      <w:pPr>
        <w:pStyle w:val="0"/>
        <w:spacing w:before="200" w:line-rule="auto"/>
        <w:ind w:firstLine="540"/>
        <w:jc w:val="both"/>
      </w:pPr>
      <w:r>
        <w:rPr>
          <w:sz w:val="20"/>
        </w:rPr>
        <w:t xml:space="preserve">17. В ТКП помимо данных, указанных в </w:t>
      </w:r>
      <w:hyperlink w:history="0" w:anchor="P115" w:tooltip="15. В документах, обосновывающих стоимость в текущем уровне цен соответствующих материальных ресурсов, оборудования и отдельных видов работ и услуг, предоставляемых производителями (поставщиками) или формируемых на основании данных из открытых и (или) официальных источников, указанных в пункте 14 Методики, должна содержаться следующая информация: наименование производителя (поставщика), его идентификационный номер налогоплательщика (далее - ИНН), контактные данные, сайт в информационно-телекоммуникационн...">
        <w:r>
          <w:rPr>
            <w:sz w:val="20"/>
            <w:color w:val="0000ff"/>
          </w:rPr>
          <w:t xml:space="preserve">пунктах 15</w:t>
        </w:r>
      </w:hyperlink>
      <w:r>
        <w:rPr>
          <w:sz w:val="20"/>
        </w:rPr>
        <w:t xml:space="preserve"> и </w:t>
      </w:r>
      <w:hyperlink w:history="0" w:anchor="P117" w:tooltip="16. Данные, указанные в пункте 15 Методики, отсутствующие в документах, обосновывающих стоимость в текущем уровне цен соответствующих материальных ресурсов, оборудования, отдельных видов работ и услуг, могут быть дополнены и подписаны уполномоченным лицом заказчика при оформлении обоснований результатов конъюнктурного анализа.">
        <w:r>
          <w:rPr>
            <w:sz w:val="20"/>
            <w:color w:val="0000ff"/>
          </w:rPr>
          <w:t xml:space="preserve">16</w:t>
        </w:r>
      </w:hyperlink>
      <w:r>
        <w:rPr>
          <w:sz w:val="20"/>
        </w:rPr>
        <w:t xml:space="preserve"> Методики, приводится информация о стоимости материальных ресурсов, оборудования, работ и услуг с указанием единицы измерения, валюты расчета, курса пересчета (в случае использования ценовой информации в валюте иностранного государства). ТКП заверяются подписями и печатями (при наличии) уполномоченных лиц производителей с указанием их фамилий и инициалов либо иных реквизитов, необходимых для идентификации этих лиц.</w:t>
      </w:r>
    </w:p>
    <w:p>
      <w:pPr>
        <w:pStyle w:val="0"/>
        <w:spacing w:before="200" w:line-rule="auto"/>
        <w:ind w:firstLine="540"/>
        <w:jc w:val="both"/>
      </w:pPr>
      <w:r>
        <w:rPr>
          <w:sz w:val="20"/>
        </w:rPr>
        <w:t xml:space="preserve">Характеристики материальных ресурсов, оборудования, работ и услуг, содержащиеся в ТКП, должны соответствовать решениям и мероприятиям проектной и рабочей документации.</w:t>
      </w:r>
    </w:p>
    <w:bookmarkStart w:id="121" w:name="P121"/>
    <w:bookmarkEnd w:id="121"/>
    <w:p>
      <w:pPr>
        <w:pStyle w:val="0"/>
        <w:spacing w:before="200" w:line-rule="auto"/>
        <w:ind w:firstLine="540"/>
        <w:jc w:val="both"/>
      </w:pPr>
      <w:r>
        <w:rPr>
          <w:sz w:val="20"/>
        </w:rPr>
        <w:t xml:space="preserve">18. РКЦ, предоставляемые производителями, расположенными на территории Российской Федерации, содержат следующие статьи затрат:</w:t>
      </w:r>
    </w:p>
    <w:p>
      <w:pPr>
        <w:pStyle w:val="0"/>
        <w:spacing w:before="200" w:line-rule="auto"/>
        <w:ind w:firstLine="540"/>
        <w:jc w:val="both"/>
      </w:pPr>
      <w:r>
        <w:rPr>
          <w:sz w:val="20"/>
        </w:rPr>
        <w:t xml:space="preserve">а) затраты на приобретение материалов, комплектующих и полуфабрикатов, определяемые по актуальным текущим отпускным ценам, представленным производителями материальных ресурсов;</w:t>
      </w:r>
    </w:p>
    <w:p>
      <w:pPr>
        <w:pStyle w:val="0"/>
        <w:spacing w:before="200" w:line-rule="auto"/>
        <w:ind w:firstLine="540"/>
        <w:jc w:val="both"/>
      </w:pPr>
      <w:r>
        <w:rPr>
          <w:sz w:val="20"/>
        </w:rPr>
        <w:t xml:space="preserve">б) транспортные расходы (включая погрузочно-разгрузочные работы) и заготовительно-складские расходы (при наличии таких расходов), определяемые расчетом;</w:t>
      </w:r>
    </w:p>
    <w:p>
      <w:pPr>
        <w:pStyle w:val="0"/>
        <w:jc w:val="both"/>
      </w:pPr>
      <w:r>
        <w:rPr>
          <w:sz w:val="20"/>
        </w:rPr>
        <w:t xml:space="preserve">(в ред. </w:t>
      </w:r>
      <w:hyperlink w:history="0" r:id="rId4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в) затраты на оплату труда с учетом страховых взносов и время работы оборудования (машин и механизмов), которые определяются расчетом в соответствии с техническими характеристиками оборудования (машин, механизмов). Потребность в затратах труда и времени работы оборудования (машин и механизмов) учитывается в соответствии с технологией производства работ, а их расход обосновывается действующими нормативами и (или) технической документацией на изготовление оборудования. При расчете часовых ставок оплаты труда должны быть использованы данные о среднемесячной заработной плате, сложившиеся в организации производителя;</w:t>
      </w:r>
    </w:p>
    <w:p>
      <w:pPr>
        <w:pStyle w:val="0"/>
        <w:jc w:val="both"/>
      </w:pPr>
      <w:r>
        <w:rPr>
          <w:sz w:val="20"/>
        </w:rPr>
        <w:t xml:space="preserve">(в ред. </w:t>
      </w:r>
      <w:hyperlink w:history="0" r:id="rId4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г) затраты на приобретение энергоресурсов по тарифам, утвержденным в соответствии с законодательством Российской Федерации;</w:t>
      </w:r>
    </w:p>
    <w:p>
      <w:pPr>
        <w:pStyle w:val="0"/>
        <w:spacing w:before="200" w:line-rule="auto"/>
        <w:ind w:firstLine="540"/>
        <w:jc w:val="both"/>
      </w:pPr>
      <w:r>
        <w:rPr>
          <w:sz w:val="20"/>
        </w:rPr>
        <w:t xml:space="preserve">д) общепроизводственные и общехозяйственные расходы (накладные расходы), затраты на амортизацию, которые формируются в соответствии с законодательством Российской Федерации о бухгалтерском и налоговом учете. Предоставляется расшифровка каждой статьи затрат или указывается только планируемая доля (норма) данных расходов;</w:t>
      </w:r>
    </w:p>
    <w:p>
      <w:pPr>
        <w:pStyle w:val="0"/>
        <w:spacing w:before="200" w:line-rule="auto"/>
        <w:ind w:firstLine="540"/>
        <w:jc w:val="both"/>
      </w:pPr>
      <w:r>
        <w:rPr>
          <w:sz w:val="20"/>
        </w:rPr>
        <w:t xml:space="preserve">е) прибыль (норма прибыли), предусмотренная учетной политикой производителя.</w:t>
      </w:r>
    </w:p>
    <w:bookmarkStart w:id="130" w:name="P130"/>
    <w:bookmarkEnd w:id="130"/>
    <w:p>
      <w:pPr>
        <w:pStyle w:val="0"/>
        <w:spacing w:before="200" w:line-rule="auto"/>
        <w:ind w:firstLine="540"/>
        <w:jc w:val="both"/>
      </w:pPr>
      <w:r>
        <w:rPr>
          <w:sz w:val="20"/>
        </w:rPr>
        <w:t xml:space="preserve">19. Для обоснования РКЦ формируется комплект расчетно-калькуляционных материалов (далее - РКМ). Типовой комплект РКМ включает в себя:</w:t>
      </w:r>
    </w:p>
    <w:p>
      <w:pPr>
        <w:pStyle w:val="0"/>
        <w:spacing w:before="200" w:line-rule="auto"/>
        <w:ind w:firstLine="540"/>
        <w:jc w:val="both"/>
      </w:pPr>
      <w:r>
        <w:rPr>
          <w:sz w:val="20"/>
        </w:rPr>
        <w:t xml:space="preserve">а) расшифровки понесенных прямых затрат на изготовление единицы продукции, включая обоснование принятой при расчете РКЦ нормы прибыли;</w:t>
      </w:r>
    </w:p>
    <w:p>
      <w:pPr>
        <w:pStyle w:val="0"/>
        <w:spacing w:before="200" w:line-rule="auto"/>
        <w:ind w:firstLine="540"/>
        <w:jc w:val="both"/>
      </w:pPr>
      <w:r>
        <w:rPr>
          <w:sz w:val="20"/>
        </w:rPr>
        <w:t xml:space="preserve">б) информацию о расходе материалов и изделий (в физических единицах измерения);</w:t>
      </w:r>
    </w:p>
    <w:p>
      <w:pPr>
        <w:pStyle w:val="0"/>
        <w:spacing w:before="200" w:line-rule="auto"/>
        <w:ind w:firstLine="540"/>
        <w:jc w:val="both"/>
      </w:pPr>
      <w:r>
        <w:rPr>
          <w:sz w:val="20"/>
        </w:rPr>
        <w:t xml:space="preserve">в) расшифровки принятых в РКЦ накладных расходов и амортизации;</w:t>
      </w:r>
    </w:p>
    <w:p>
      <w:pPr>
        <w:pStyle w:val="0"/>
        <w:spacing w:before="200" w:line-rule="auto"/>
        <w:ind w:firstLine="540"/>
        <w:jc w:val="both"/>
      </w:pPr>
      <w:r>
        <w:rPr>
          <w:sz w:val="20"/>
        </w:rPr>
        <w:t xml:space="preserve">г) первичные бухгалтерские учетные документы, подтверждающие стоимость материалов (сырья, комплектующих) (прайс-листы, коммерческие предложения, счета-фактуры).</w:t>
      </w:r>
    </w:p>
    <w:p>
      <w:pPr>
        <w:pStyle w:val="0"/>
        <w:spacing w:before="200" w:line-rule="auto"/>
        <w:ind w:firstLine="540"/>
        <w:jc w:val="both"/>
      </w:pPr>
      <w:r>
        <w:rPr>
          <w:sz w:val="20"/>
        </w:rPr>
        <w:t xml:space="preserve">20. Для подтверждения указанных расчетов к РКМ могут прилагаться или запрашиваться дополнительно следующие документы:</w:t>
      </w:r>
    </w:p>
    <w:p>
      <w:pPr>
        <w:pStyle w:val="0"/>
        <w:spacing w:before="200" w:line-rule="auto"/>
        <w:ind w:firstLine="540"/>
        <w:jc w:val="both"/>
      </w:pPr>
      <w:r>
        <w:rPr>
          <w:sz w:val="20"/>
        </w:rPr>
        <w:t xml:space="preserve">а) рабочие чертежи изделий;</w:t>
      </w:r>
    </w:p>
    <w:p>
      <w:pPr>
        <w:pStyle w:val="0"/>
        <w:spacing w:before="200" w:line-rule="auto"/>
        <w:ind w:firstLine="540"/>
        <w:jc w:val="both"/>
      </w:pPr>
      <w:r>
        <w:rPr>
          <w:sz w:val="20"/>
        </w:rPr>
        <w:t xml:space="preserve">б) уровень нормируемой среднемесячной заработной платы работников производителя;</w:t>
      </w:r>
    </w:p>
    <w:p>
      <w:pPr>
        <w:pStyle w:val="0"/>
        <w:spacing w:before="200" w:line-rule="auto"/>
        <w:ind w:firstLine="540"/>
        <w:jc w:val="both"/>
      </w:pPr>
      <w:r>
        <w:rPr>
          <w:sz w:val="20"/>
        </w:rPr>
        <w:t xml:space="preserve">в) документы, подтверждающие размер накладных расходов производителя;</w:t>
      </w:r>
    </w:p>
    <w:p>
      <w:pPr>
        <w:pStyle w:val="0"/>
        <w:spacing w:before="200" w:line-rule="auto"/>
        <w:ind w:firstLine="540"/>
        <w:jc w:val="both"/>
      </w:pPr>
      <w:r>
        <w:rPr>
          <w:sz w:val="20"/>
        </w:rPr>
        <w:t xml:space="preserve">г) справка о выпуске продукции за отчетный период в стоимостном и количественном выражении;</w:t>
      </w:r>
    </w:p>
    <w:p>
      <w:pPr>
        <w:pStyle w:val="0"/>
        <w:spacing w:before="200" w:line-rule="auto"/>
        <w:ind w:firstLine="540"/>
        <w:jc w:val="both"/>
      </w:pPr>
      <w:r>
        <w:rPr>
          <w:sz w:val="20"/>
        </w:rPr>
        <w:t xml:space="preserve">д) первичные бухгалтерские учетные документы, подтверждающие размер понесенных затрат;</w:t>
      </w:r>
    </w:p>
    <w:p>
      <w:pPr>
        <w:pStyle w:val="0"/>
        <w:spacing w:before="200" w:line-rule="auto"/>
        <w:ind w:firstLine="540"/>
        <w:jc w:val="both"/>
      </w:pPr>
      <w:r>
        <w:rPr>
          <w:sz w:val="20"/>
        </w:rPr>
        <w:t xml:space="preserve">е) технологическая документация, подтверждающая расчет стоимости материальных ресурсов и трудозатрат.</w:t>
      </w:r>
    </w:p>
    <w:bookmarkStart w:id="142" w:name="P142"/>
    <w:bookmarkEnd w:id="142"/>
    <w:p>
      <w:pPr>
        <w:pStyle w:val="0"/>
        <w:spacing w:before="200" w:line-rule="auto"/>
        <w:ind w:firstLine="540"/>
        <w:jc w:val="both"/>
      </w:pPr>
      <w:r>
        <w:rPr>
          <w:sz w:val="20"/>
        </w:rPr>
        <w:t xml:space="preserve">21. Указанные в </w:t>
      </w:r>
      <w:hyperlink w:history="0" w:anchor="P130" w:tooltip="19. Для обоснования РКЦ формируется комплект расчетно-калькуляционных материалов (далее - РКМ). Типовой комплект РКМ включает в себя:">
        <w:r>
          <w:rPr>
            <w:sz w:val="20"/>
            <w:color w:val="0000ff"/>
          </w:rPr>
          <w:t xml:space="preserve">пункте 19</w:t>
        </w:r>
      </w:hyperlink>
      <w:r>
        <w:rPr>
          <w:sz w:val="20"/>
        </w:rPr>
        <w:t xml:space="preserve"> Методики документы должны быть заверены подписями и печатями (при наличии) уполномоченных лиц производителей и соответствовать требованиям законодательства о бухгалтерском учете Российской Федерации.</w:t>
      </w:r>
    </w:p>
    <w:p>
      <w:pPr>
        <w:pStyle w:val="0"/>
        <w:spacing w:before="200" w:line-rule="auto"/>
        <w:ind w:firstLine="540"/>
        <w:jc w:val="both"/>
      </w:pPr>
      <w:r>
        <w:rPr>
          <w:sz w:val="20"/>
        </w:rPr>
        <w:t xml:space="preserve">Указанные требования не предъявляются к РКЦ, предоставляемым производителями, расположенными за пределами территории Российской Федерации, которые оформляются в свободной форме, позволяющей идентифицировать характеристики оборудования на предмет соответствия проектным решениям, заверяются подписями и печатями (при наличии) уполномоченных лиц производителей или заказчиком.</w:t>
      </w:r>
    </w:p>
    <w:p>
      <w:pPr>
        <w:pStyle w:val="0"/>
        <w:jc w:val="both"/>
      </w:pPr>
      <w:r>
        <w:rPr>
          <w:sz w:val="20"/>
        </w:rPr>
        <w:t xml:space="preserve">(в ред. </w:t>
      </w:r>
      <w:hyperlink w:history="0" r:id="rId4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45" w:name="P145"/>
    <w:bookmarkEnd w:id="145"/>
    <w:p>
      <w:pPr>
        <w:pStyle w:val="0"/>
        <w:spacing w:before="200" w:line-rule="auto"/>
        <w:ind w:firstLine="540"/>
        <w:jc w:val="both"/>
      </w:pPr>
      <w:r>
        <w:rPr>
          <w:sz w:val="20"/>
        </w:rPr>
        <w:t xml:space="preserve">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2" w:tooltip="21. Указанные в пункте 19 Методики документы должны быть заверены подписями и печатями (при наличии) уполномоченных лиц производителей и соответствовать требованиям законодательства о бухгалтерском учете Российской Федерации.">
        <w:r>
          <w:rPr>
            <w:sz w:val="20"/>
            <w:color w:val="0000ff"/>
          </w:rPr>
          <w:t xml:space="preserve">21</w:t>
        </w:r>
      </w:hyperlink>
      <w:r>
        <w:rPr>
          <w:sz w:val="20"/>
        </w:rPr>
        <w:t xml:space="preserve">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составлении сметной документации.</w:t>
      </w:r>
    </w:p>
    <w:p>
      <w:pPr>
        <w:pStyle w:val="0"/>
        <w:jc w:val="both"/>
      </w:pPr>
      <w:r>
        <w:rPr>
          <w:sz w:val="20"/>
        </w:rPr>
        <w:t xml:space="preserve">(в ред. </w:t>
      </w:r>
      <w:hyperlink w:history="0" r:id="rId4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47" w:name="P147"/>
    <w:bookmarkEnd w:id="147"/>
    <w:p>
      <w:pPr>
        <w:pStyle w:val="0"/>
        <w:spacing w:before="200" w:line-rule="auto"/>
        <w:ind w:firstLine="540"/>
        <w:jc w:val="both"/>
      </w:pPr>
      <w:r>
        <w:rPr>
          <w:sz w:val="20"/>
        </w:rPr>
        <w:t xml:space="preserve">23. Материальным ресурсам и оборудованию, отпускная цена которых в текущем уровне цен определена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2" w:tooltip="21. Указанные в пункте 19 Методики документы должны быть заверены подписями и печатями (при наличии) уполномоченных лиц производителей и соответствовать требованиям законодательства о бухгалтерском учете Российской Федерации.">
        <w:r>
          <w:rPr>
            <w:sz w:val="20"/>
            <w:color w:val="0000ff"/>
          </w:rPr>
          <w:t xml:space="preserve">21</w:t>
        </w:r>
      </w:hyperlink>
      <w:r>
        <w:rPr>
          <w:sz w:val="20"/>
        </w:rPr>
        <w:t xml:space="preserve"> Методики, присваивается код, состоящий из буквенного обозначения "ТЦ" и пяти групп цифр: первая группа цифр соответствует коду группы </w:t>
      </w:r>
      <w:hyperlink w:history="0" r:id="rId49" w:tooltip="Приказ Минстроя России от 02.03.2017 N 597/пр (ред. от 24.08.2022) &quot;О формировании классификатора строительных ресурсов&quot; {КонсультантПлюс}">
        <w:r>
          <w:rPr>
            <w:sz w:val="20"/>
            <w:color w:val="0000ff"/>
          </w:rPr>
          <w:t xml:space="preserve">Классификатора</w:t>
        </w:r>
      </w:hyperlink>
      <w:r>
        <w:rPr>
          <w:sz w:val="20"/>
        </w:rPr>
        <w:t xml:space="preserve">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третья группа цифр содержит данные об ИНН производителя (поставщика), четвертая соответствует уровню ценовых показателей (в формате ДД.ММ.ГГГГ) в соответствии с обосновывающими отпускную цену документами, пятая группа цифр содержит указание на учет в отпускной цене затрат на перевозку строительного ресурса (01 - с учетом затрат на перевозку, 02 - без учета затрат на перевозку).</w:t>
      </w:r>
    </w:p>
    <w:p>
      <w:pPr>
        <w:pStyle w:val="0"/>
        <w:jc w:val="both"/>
      </w:pPr>
      <w:r>
        <w:rPr>
          <w:sz w:val="20"/>
        </w:rPr>
        <w:t xml:space="preserve">(п. 23 в ред. </w:t>
      </w:r>
      <w:hyperlink w:history="0" r:id="rId5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49" w:name="P149"/>
    <w:bookmarkEnd w:id="149"/>
    <w:p>
      <w:pPr>
        <w:pStyle w:val="0"/>
        <w:spacing w:before="200" w:line-rule="auto"/>
        <w:ind w:firstLine="540"/>
        <w:jc w:val="both"/>
      </w:pPr>
      <w:r>
        <w:rPr>
          <w:sz w:val="20"/>
        </w:rPr>
        <w:t xml:space="preserve">24. Вместо кода группы допускается указывать код раздела (части, книги) с указанием нулей в недостающих группах цифр, например, 64.4.00.00. Для материальных ресурсов и оборудования, не подлежащих включению в </w:t>
      </w:r>
      <w:hyperlink w:history="0" r:id="rId51" w:tooltip="Приказ Минстроя России от 02.03.2017 N 597/пр (ред. от 24.08.2022) &quot;О формировании классификатора строительных ресурсов&quot; {КонсультантПлюс}">
        <w:r>
          <w:rPr>
            <w:sz w:val="20"/>
            <w:color w:val="0000ff"/>
          </w:rPr>
          <w:t xml:space="preserve">КСР</w:t>
        </w:r>
      </w:hyperlink>
      <w:r>
        <w:rPr>
          <w:sz w:val="20"/>
        </w:rPr>
        <w:t xml:space="preserve">, вместо кода группы указывается следующая комбинация цифр: 101 - для технологического оборудования, 102 - для материальных ресурсов индивидуального изготовления, 103 - для инженерного оборудования индивидуального изготовления, 104 - для производственного и хозяйственного инвентаря, в том числе мебели, 105 - для лабораторного оборудования, 106 - для транспортных средств, 107 - для инструмента, используемого в целях осуществления технологических процессов.</w:t>
      </w:r>
    </w:p>
    <w:p>
      <w:pPr>
        <w:pStyle w:val="0"/>
        <w:jc w:val="both"/>
      </w:pPr>
      <w:r>
        <w:rPr>
          <w:sz w:val="20"/>
        </w:rPr>
        <w:t xml:space="preserve">(п. 24 в ред. </w:t>
      </w:r>
      <w:hyperlink w:history="0" r:id="rId5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2"/>
        <w:outlineLvl w:val="1"/>
        <w:jc w:val="center"/>
      </w:pPr>
      <w:r>
        <w:rPr>
          <w:sz w:val="20"/>
        </w:rPr>
        <w:t xml:space="preserve">II. Состав сметной документации и требования</w:t>
      </w:r>
    </w:p>
    <w:p>
      <w:pPr>
        <w:pStyle w:val="2"/>
        <w:jc w:val="center"/>
      </w:pPr>
      <w:r>
        <w:rPr>
          <w:sz w:val="20"/>
        </w:rPr>
        <w:t xml:space="preserve">к ее оформлению</w:t>
      </w:r>
    </w:p>
    <w:p>
      <w:pPr>
        <w:pStyle w:val="0"/>
        <w:jc w:val="both"/>
      </w:pPr>
      <w:r>
        <w:rPr>
          <w:sz w:val="20"/>
        </w:rPr>
      </w:r>
    </w:p>
    <w:p>
      <w:pPr>
        <w:pStyle w:val="0"/>
        <w:ind w:firstLine="540"/>
        <w:jc w:val="both"/>
      </w:pPr>
      <w:r>
        <w:rPr>
          <w:sz w:val="20"/>
        </w:rPr>
        <w:t xml:space="preserve">25. В составе сметной документации разрабатываются следующие сметные расчеты:</w:t>
      </w:r>
    </w:p>
    <w:p>
      <w:pPr>
        <w:pStyle w:val="0"/>
        <w:spacing w:before="200" w:line-rule="auto"/>
        <w:ind w:firstLine="540"/>
        <w:jc w:val="both"/>
      </w:pPr>
      <w:r>
        <w:rPr>
          <w:sz w:val="20"/>
        </w:rPr>
        <w:t xml:space="preserve">а) сводка затрат (при необходимости);</w:t>
      </w:r>
    </w:p>
    <w:p>
      <w:pPr>
        <w:pStyle w:val="0"/>
        <w:spacing w:before="200" w:line-rule="auto"/>
        <w:ind w:firstLine="540"/>
        <w:jc w:val="both"/>
      </w:pPr>
      <w:r>
        <w:rPr>
          <w:sz w:val="20"/>
        </w:rPr>
        <w:t xml:space="preserve">б) сводный сметный расчет стоимости строительства;</w:t>
      </w:r>
    </w:p>
    <w:p>
      <w:pPr>
        <w:pStyle w:val="0"/>
        <w:spacing w:before="200" w:line-rule="auto"/>
        <w:ind w:firstLine="540"/>
        <w:jc w:val="both"/>
      </w:pPr>
      <w:r>
        <w:rPr>
          <w:sz w:val="20"/>
        </w:rPr>
        <w:t xml:space="preserve">в) объектные сметные расчеты (сметы);</w:t>
      </w:r>
    </w:p>
    <w:p>
      <w:pPr>
        <w:pStyle w:val="0"/>
        <w:spacing w:before="200" w:line-rule="auto"/>
        <w:ind w:firstLine="540"/>
        <w:jc w:val="both"/>
      </w:pPr>
      <w:r>
        <w:rPr>
          <w:sz w:val="20"/>
        </w:rPr>
        <w:t xml:space="preserve">г) локальные сметные расчеты (сметы);</w:t>
      </w:r>
    </w:p>
    <w:p>
      <w:pPr>
        <w:pStyle w:val="0"/>
        <w:spacing w:before="200" w:line-rule="auto"/>
        <w:ind w:firstLine="540"/>
        <w:jc w:val="both"/>
      </w:pPr>
      <w:r>
        <w:rPr>
          <w:sz w:val="20"/>
        </w:rPr>
        <w:t xml:space="preserve">д) сметные расчеты на отдельные виды затрат.</w:t>
      </w:r>
    </w:p>
    <w:p>
      <w:pPr>
        <w:pStyle w:val="0"/>
        <w:spacing w:before="200" w:line-rule="auto"/>
        <w:ind w:firstLine="540"/>
        <w:jc w:val="both"/>
      </w:pPr>
      <w:r>
        <w:rPr>
          <w:sz w:val="20"/>
        </w:rPr>
        <w:t xml:space="preserve">26. Сметные расчеты разрабатываются по рекомендуемым образцам, приведенным в </w:t>
      </w:r>
      <w:hyperlink w:history="0" w:anchor="P974" w:tooltip="ФОРМЫ">
        <w:r>
          <w:rPr>
            <w:sz w:val="20"/>
            <w:color w:val="0000ff"/>
          </w:rPr>
          <w:t xml:space="preserve">Приложениях N 2</w:t>
        </w:r>
      </w:hyperlink>
      <w:r>
        <w:rPr>
          <w:sz w:val="20"/>
        </w:rPr>
        <w:t xml:space="preserve"> - </w:t>
      </w:r>
      <w:hyperlink w:history="0" w:anchor="P8837" w:tooltip="СВОДКА ЗАТРАТ">
        <w:r>
          <w:rPr>
            <w:sz w:val="20"/>
            <w:color w:val="0000ff"/>
          </w:rPr>
          <w:t xml:space="preserve">7</w:t>
        </w:r>
      </w:hyperlink>
      <w:r>
        <w:rPr>
          <w:sz w:val="20"/>
        </w:rPr>
        <w:t xml:space="preserve"> к Методике.</w:t>
      </w:r>
    </w:p>
    <w:p>
      <w:pPr>
        <w:pStyle w:val="0"/>
        <w:spacing w:before="200" w:line-rule="auto"/>
        <w:ind w:firstLine="540"/>
        <w:jc w:val="both"/>
      </w:pPr>
      <w:r>
        <w:rPr>
          <w:sz w:val="20"/>
        </w:rPr>
        <w:t xml:space="preserve">27. К сметной документации прилагаются:</w:t>
      </w:r>
    </w:p>
    <w:p>
      <w:pPr>
        <w:pStyle w:val="0"/>
        <w:jc w:val="both"/>
      </w:pPr>
      <w:r>
        <w:rPr>
          <w:sz w:val="20"/>
        </w:rPr>
        <w:t xml:space="preserve">(в ред. </w:t>
      </w:r>
      <w:hyperlink w:history="0" r:id="rId5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а) пояснительная записка;</w:t>
      </w:r>
    </w:p>
    <w:p>
      <w:pPr>
        <w:pStyle w:val="0"/>
        <w:spacing w:before="200" w:line-rule="auto"/>
        <w:ind w:firstLine="540"/>
        <w:jc w:val="both"/>
      </w:pPr>
      <w:r>
        <w:rPr>
          <w:sz w:val="20"/>
        </w:rPr>
        <w:t xml:space="preserve">б) ведомости объемов работ;</w:t>
      </w:r>
    </w:p>
    <w:p>
      <w:pPr>
        <w:pStyle w:val="0"/>
        <w:spacing w:before="200" w:line-rule="auto"/>
        <w:ind w:firstLine="540"/>
        <w:jc w:val="both"/>
      </w:pPr>
      <w:r>
        <w:rPr>
          <w:sz w:val="20"/>
        </w:rPr>
        <w:t xml:space="preserve">в) обосновывающие документы.</w:t>
      </w:r>
    </w:p>
    <w:p>
      <w:pPr>
        <w:pStyle w:val="0"/>
        <w:spacing w:before="200" w:line-rule="auto"/>
        <w:ind w:firstLine="540"/>
        <w:jc w:val="both"/>
      </w:pPr>
      <w:r>
        <w:rPr>
          <w:sz w:val="20"/>
        </w:rPr>
        <w:t xml:space="preserve">28. Оформление сметных расчетов, пояснительной записки и ведомостей объемов работ выполняется согласно документам в области стандартизации, устанавливающим основные требования к проектной документации, разрабатываемым в соответствии с Федеральным </w:t>
      </w:r>
      <w:hyperlink w:history="0" r:id="rId54" w:tooltip="Федеральный закон от 29.06.2015 N 162-ФЗ (ред. от 30.12.2020) &quot;О стандартизации в Российской Федерации&quot; {КонсультантПлюс}">
        <w:r>
          <w:rPr>
            <w:sz w:val="20"/>
            <w:color w:val="0000ff"/>
          </w:rPr>
          <w:t xml:space="preserve">законом</w:t>
        </w:r>
      </w:hyperlink>
      <w:r>
        <w:rPr>
          <w:sz w:val="20"/>
        </w:rPr>
        <w:t xml:space="preserve"> от 29 июня 2015 г. N 162-ФЗ "О стандартизации в Российской Федерации" (Собрание законодательства Российской Федерации, 2015, N 27, ст. 3953; 2016, N 27, ст. 4229), а также с учетом </w:t>
      </w:r>
      <w:hyperlink w:history="0" r:id="rId55" w:tooltip="Приказ Минстроя России от 12.05.2017 N 783/пр &quot;Об утверждении требований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quot; (Зарегистрировано в Минюсте России 25.08.2017 N 47947) {КонсультантПлюс}">
        <w:r>
          <w:rPr>
            <w:sz w:val="20"/>
            <w:color w:val="0000ff"/>
          </w:rPr>
          <w:t xml:space="preserve">требований</w:t>
        </w:r>
      </w:hyperlink>
      <w:r>
        <w:rPr>
          <w:sz w:val="20"/>
        </w:rPr>
        <w:t xml:space="preserve">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 утвержденных приказом Министерства строительства и жилищно-коммунального хозяйства Российской Федерации от 12 мая 2017 г. N 783/пр (зарегистрирован Министерством юстиции Российской Федерации 25 августа 2017 г., регистрационный N 47947).</w:t>
      </w:r>
    </w:p>
    <w:p>
      <w:pPr>
        <w:pStyle w:val="0"/>
        <w:jc w:val="both"/>
      </w:pPr>
      <w:r>
        <w:rPr>
          <w:sz w:val="20"/>
        </w:rPr>
        <w:t xml:space="preserve">(в ред. </w:t>
      </w:r>
      <w:hyperlink w:history="0" r:id="rId5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29. Каждому сметному расчету присваивается шифр, содержащий буквенное обозначение и номер.</w:t>
      </w:r>
    </w:p>
    <w:p>
      <w:pPr>
        <w:pStyle w:val="0"/>
        <w:spacing w:before="200" w:line-rule="auto"/>
        <w:ind w:firstLine="540"/>
        <w:jc w:val="both"/>
      </w:pPr>
      <w:r>
        <w:rPr>
          <w:sz w:val="20"/>
        </w:rPr>
        <w:t xml:space="preserve">Буквенное обозначение отражает вид сметного расчета (сметы):</w:t>
      </w:r>
    </w:p>
    <w:p>
      <w:pPr>
        <w:pStyle w:val="0"/>
        <w:spacing w:before="200" w:line-rule="auto"/>
        <w:ind w:firstLine="540"/>
        <w:jc w:val="both"/>
      </w:pPr>
      <w:r>
        <w:rPr>
          <w:sz w:val="20"/>
        </w:rPr>
        <w:t xml:space="preserve">а) СР - сметный расчет на отдельные виды затрат;</w:t>
      </w:r>
    </w:p>
    <w:p>
      <w:pPr>
        <w:pStyle w:val="0"/>
        <w:spacing w:before="200" w:line-rule="auto"/>
        <w:ind w:firstLine="540"/>
        <w:jc w:val="both"/>
      </w:pPr>
      <w:r>
        <w:rPr>
          <w:sz w:val="20"/>
        </w:rPr>
        <w:t xml:space="preserve">б) ЛСР (ЛС) - локальный сметный расчет (смета);</w:t>
      </w:r>
    </w:p>
    <w:p>
      <w:pPr>
        <w:pStyle w:val="0"/>
        <w:spacing w:before="200" w:line-rule="auto"/>
        <w:ind w:firstLine="540"/>
        <w:jc w:val="both"/>
      </w:pPr>
      <w:r>
        <w:rPr>
          <w:sz w:val="20"/>
        </w:rPr>
        <w:t xml:space="preserve">в) ОСР (ОС) - объектный сметный расчет (смета);</w:t>
      </w:r>
    </w:p>
    <w:p>
      <w:pPr>
        <w:pStyle w:val="0"/>
        <w:spacing w:before="200" w:line-rule="auto"/>
        <w:ind w:firstLine="540"/>
        <w:jc w:val="both"/>
      </w:pPr>
      <w:r>
        <w:rPr>
          <w:sz w:val="20"/>
        </w:rPr>
        <w:t xml:space="preserve">г) ССРСС - сводный сметный расчет стоимости строительства.</w:t>
      </w:r>
    </w:p>
    <w:p>
      <w:pPr>
        <w:pStyle w:val="0"/>
        <w:spacing w:before="200" w:line-rule="auto"/>
        <w:ind w:firstLine="540"/>
        <w:jc w:val="both"/>
      </w:pPr>
      <w:r>
        <w:rPr>
          <w:sz w:val="20"/>
        </w:rPr>
        <w:t xml:space="preserve">Сквозная нумерация сметных расчетов на отдельные виды затрат производится целыми числами в порядке их включения в сметную документацию. Например, СР-1.</w:t>
      </w:r>
    </w:p>
    <w:p>
      <w:pPr>
        <w:pStyle w:val="0"/>
        <w:spacing w:before="200" w:line-rule="auto"/>
        <w:ind w:firstLine="540"/>
        <w:jc w:val="both"/>
      </w:pPr>
      <w:r>
        <w:rPr>
          <w:sz w:val="20"/>
        </w:rPr>
        <w:t xml:space="preserve">30. Номер локального сметного расчета (сметы) содержит три группы цифр: первые две группы цифр соответствуют номеру объектного сметного расчета (сметы), третья группа цифр - порядковому номеру локального сметного расчета (сметы) в объектном сметном расчете (смете). Например, ЛС-02-01-01.</w:t>
      </w:r>
    </w:p>
    <w:p>
      <w:pPr>
        <w:pStyle w:val="0"/>
        <w:spacing w:before="200" w:line-rule="auto"/>
        <w:ind w:firstLine="540"/>
        <w:jc w:val="both"/>
      </w:pPr>
      <w:r>
        <w:rPr>
          <w:sz w:val="20"/>
        </w:rPr>
        <w:t xml:space="preserve">31. Номер объектного сметного расчета (сметы) содержит две группы цифр: первые две цифры соответствуют номеру главы сводного сметного расчета, вторые две цифры - порядковому номеру строки в главе сводного сметного расчета стоимости строительства. Например, ОС-02-01.</w:t>
      </w:r>
    </w:p>
    <w:p>
      <w:pPr>
        <w:pStyle w:val="0"/>
        <w:spacing w:before="200" w:line-rule="auto"/>
        <w:ind w:firstLine="540"/>
        <w:jc w:val="both"/>
      </w:pPr>
      <w:r>
        <w:rPr>
          <w:sz w:val="20"/>
        </w:rPr>
        <w:t xml:space="preserve">32. Сводный сметный расчет стоимости строительства содержит буквенное обозначение - ССРСС. В случае, когда подготовка проектной документации по инициативе заказчика осуществляется применительно к отдельным этапам строительства, сводному сметному расчету стоимости строительства присваивается также номер этапа строительства.</w:t>
      </w:r>
    </w:p>
    <w:p>
      <w:pPr>
        <w:pStyle w:val="0"/>
        <w:spacing w:before="200" w:line-rule="auto"/>
        <w:ind w:firstLine="540"/>
        <w:jc w:val="both"/>
      </w:pPr>
      <w:r>
        <w:rPr>
          <w:sz w:val="20"/>
        </w:rPr>
        <w:t xml:space="preserve">33. Сводке затрат не присваиваются буквенное обозначение и порядковый номер.</w:t>
      </w:r>
    </w:p>
    <w:p>
      <w:pPr>
        <w:pStyle w:val="0"/>
        <w:spacing w:before="200" w:line-rule="auto"/>
        <w:ind w:firstLine="540"/>
        <w:jc w:val="both"/>
      </w:pPr>
      <w:r>
        <w:rPr>
          <w:sz w:val="20"/>
        </w:rPr>
        <w:t xml:space="preserve">34. Нумерация локальных и объектных сметных расчетов (смет), а также сметных расчетов на отдельные виды затрат может быть дополнена группой цифр, соответствующих номеру этапа строительства.</w:t>
      </w:r>
    </w:p>
    <w:p>
      <w:pPr>
        <w:pStyle w:val="0"/>
        <w:spacing w:before="200" w:line-rule="auto"/>
        <w:ind w:firstLine="540"/>
        <w:jc w:val="both"/>
      </w:pPr>
      <w:r>
        <w:rPr>
          <w:sz w:val="20"/>
        </w:rPr>
        <w:t xml:space="preserve">35. Сметные расчеты разрабатываются на основании проектной и (или) иной технической документации, ведомостей объемов работ с указанием наименований работ, их единиц измерения и объемов работ, ссылок на чертежи и спецификации, расчета объемов работ и расхода материальных ресурсов (с приведением формул расчета), а также иных исходных данных, необходимых для определения сметной стоимости строительства.</w:t>
      </w:r>
    </w:p>
    <w:p>
      <w:pPr>
        <w:pStyle w:val="0"/>
        <w:jc w:val="both"/>
      </w:pPr>
      <w:r>
        <w:rPr>
          <w:sz w:val="20"/>
        </w:rPr>
        <w:t xml:space="preserve">(в ред. </w:t>
      </w:r>
      <w:hyperlink w:history="0" r:id="rId5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36. Локальные сметные расчеты (сметы) разрабатываются на конструктивные решения и (или) комплексы (виды) работ в соответствии с технологической последовательностью выполнения работ и с учетом условий их выполнения.</w:t>
      </w:r>
    </w:p>
    <w:p>
      <w:pPr>
        <w:pStyle w:val="0"/>
        <w:spacing w:before="200" w:line-rule="auto"/>
        <w:ind w:firstLine="540"/>
        <w:jc w:val="both"/>
      </w:pPr>
      <w:r>
        <w:rPr>
          <w:sz w:val="20"/>
        </w:rPr>
        <w:t xml:space="preserve">37. При составлении локальных сметных расчетов (смет) детализация объекта капитального строительства на конструктивные решения (элементы) и (или) комплексы (виды) работ определяется заказчиком исходя из архитектурных, функционально-технологических, конструктивных и инженерно-технических решений, содержащихся в проектной и (или) иной технической документации, в зависимости от специфических особенностей объекта капитального строительства.</w:t>
      </w:r>
    </w:p>
    <w:p>
      <w:pPr>
        <w:pStyle w:val="0"/>
        <w:jc w:val="both"/>
      </w:pPr>
      <w:r>
        <w:rPr>
          <w:sz w:val="20"/>
        </w:rPr>
        <w:t xml:space="preserve">(в ред. </w:t>
      </w:r>
      <w:hyperlink w:history="0" r:id="rId5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186" w:name="P186"/>
    <w:bookmarkEnd w:id="186"/>
    <w:p>
      <w:pPr>
        <w:pStyle w:val="0"/>
        <w:spacing w:before="200" w:line-rule="auto"/>
        <w:ind w:firstLine="540"/>
        <w:jc w:val="both"/>
      </w:pPr>
      <w:r>
        <w:rPr>
          <w:sz w:val="20"/>
        </w:rPr>
        <w:t xml:space="preserve">38. Сметные расчеты на отдельные виды затрат разрабатываются для определения стоимости затрат, не учтенных сметными нормативами, единичными расценками, составляющими единичных расценок, сметными ценами строительных ресурсов.</w:t>
      </w:r>
    </w:p>
    <w:p>
      <w:pPr>
        <w:pStyle w:val="0"/>
        <w:spacing w:before="200" w:line-rule="auto"/>
        <w:ind w:firstLine="540"/>
        <w:jc w:val="both"/>
      </w:pPr>
      <w:r>
        <w:rPr>
          <w:sz w:val="20"/>
        </w:rPr>
        <w:t xml:space="preserve">Калькулирование отдельных видов работ, отсутствующих в ФЕР, ФЕРр, ФЕРм, ФЕРмр и ФЕРп, до перехода на ресурсно-индексный метод выполняется в сметных расчетах на отдельные виды затрат в соответствии с положениями </w:t>
      </w:r>
      <w:hyperlink w:history="0" w:anchor="P74" w:tooltip="б) базисно-индексным методом - с применением к сметной стоимости, определенной с использованием единичных расценок, в том числе их отдельных составляющих, сведения о которых включены в ФРСН, разработанных в базисном уровне цен, соответствующих индексов изменения сметной стоимости.">
        <w:r>
          <w:rPr>
            <w:sz w:val="20"/>
            <w:color w:val="0000ff"/>
          </w:rPr>
          <w:t xml:space="preserve">подпункта "б" пункта 10</w:t>
        </w:r>
      </w:hyperlink>
      <w:r>
        <w:rPr>
          <w:sz w:val="20"/>
        </w:rPr>
        <w:t xml:space="preserve"> Методики с последующим включением сметной стоимости оплаты труда рабочих, материальных ресурсов и оборудования, эксплуатации машин и механизмов (включая оплату труда машинистов), определенной в базисном уровне цен по состоянию на 1 января 2000 г., в соответствующие строки отдельных позиций локальных сметных расчетов (смет), составляемых по рекомендуемым образцам, приведенным в </w:t>
      </w:r>
      <w:hyperlink w:history="0" w:anchor="P974" w:tooltip="ФОРМЫ">
        <w:r>
          <w:rPr>
            <w:sz w:val="20"/>
            <w:color w:val="0000ff"/>
          </w:rPr>
          <w:t xml:space="preserve">Приложении N 2</w:t>
        </w:r>
      </w:hyperlink>
      <w:r>
        <w:rPr>
          <w:sz w:val="20"/>
        </w:rPr>
        <w:t xml:space="preserve"> к Методике.</w:t>
      </w:r>
    </w:p>
    <w:p>
      <w:pPr>
        <w:pStyle w:val="0"/>
        <w:jc w:val="both"/>
      </w:pPr>
      <w:r>
        <w:rPr>
          <w:sz w:val="20"/>
        </w:rPr>
        <w:t xml:space="preserve">(абзац введен </w:t>
      </w:r>
      <w:hyperlink w:history="0" r:id="rId5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39. Объектные сметные расчеты (сметы) разрабатываются на отдельные объекты капитального строительства и включают итоговые стоимостные показатели локальных сметных расчетов (смет).</w:t>
      </w:r>
    </w:p>
    <w:p>
      <w:pPr>
        <w:pStyle w:val="0"/>
        <w:spacing w:before="200" w:line-rule="auto"/>
        <w:ind w:firstLine="540"/>
        <w:jc w:val="both"/>
      </w:pPr>
      <w:r>
        <w:rPr>
          <w:sz w:val="20"/>
        </w:rPr>
        <w:t xml:space="preserve">В случае, если сметная стоимость объекта капитального строительства определена по одному локальному сметному расчету (смете), то объектный сметный расчет (смета) может не разрабатываться.</w:t>
      </w:r>
    </w:p>
    <w:p>
      <w:pPr>
        <w:pStyle w:val="0"/>
        <w:spacing w:before="200" w:line-rule="auto"/>
        <w:ind w:firstLine="540"/>
        <w:jc w:val="both"/>
      </w:pPr>
      <w:r>
        <w:rPr>
          <w:sz w:val="20"/>
        </w:rPr>
        <w:t xml:space="preserve">40. Сводный сметный расчет стоимости строительства разрабатывается на объект строительства и (или) этап строительства на основании итоговых стоимостных показателей объектных и (или) локальных сметных расчетов (смет), а также сметных расчетов на отдельные виды затрат.</w:t>
      </w:r>
    </w:p>
    <w:p>
      <w:pPr>
        <w:pStyle w:val="0"/>
        <w:spacing w:before="200" w:line-rule="auto"/>
        <w:ind w:firstLine="540"/>
        <w:jc w:val="both"/>
      </w:pPr>
      <w:r>
        <w:rPr>
          <w:sz w:val="20"/>
        </w:rPr>
        <w:t xml:space="preserve">41. Сводка затрат разрабатывается, когда в проектной документации на строительство объектов производственного назначения предусматривается строительство объектов непроизводственного назначения, а также при подготовке проектной документации применительно к отдельным этапам строительства. Рекомендуемый образец сводки затрат приведен в </w:t>
      </w:r>
      <w:hyperlink w:history="0" w:anchor="P8837" w:tooltip="СВОДКА ЗАТРАТ">
        <w:r>
          <w:rPr>
            <w:sz w:val="20"/>
            <w:color w:val="0000ff"/>
          </w:rPr>
          <w:t xml:space="preserve">Приложении N 7</w:t>
        </w:r>
      </w:hyperlink>
      <w:r>
        <w:rPr>
          <w:sz w:val="20"/>
        </w:rPr>
        <w:t xml:space="preserve"> к Методике.</w:t>
      </w:r>
    </w:p>
    <w:p>
      <w:pPr>
        <w:pStyle w:val="0"/>
        <w:spacing w:before="200" w:line-rule="auto"/>
        <w:ind w:firstLine="540"/>
        <w:jc w:val="both"/>
      </w:pPr>
      <w:r>
        <w:rPr>
          <w:sz w:val="20"/>
        </w:rPr>
        <w:t xml:space="preserve">42. Результаты вычислений (построчные) и итоговые данные указываются в локальных сметных расчетах (сметах), в сметных расчетах на отдельные виды затрат в рублях с округлением до двух знаков после запятой (до копеек), в объектных сметных расчетах (сметах), сводном сметном расчете стоимости строительства и сводке затрат - в тысячах рублей с округлением до двух знаков после запятой.</w:t>
      </w:r>
    </w:p>
    <w:p>
      <w:pPr>
        <w:pStyle w:val="0"/>
        <w:jc w:val="both"/>
      </w:pPr>
      <w:r>
        <w:rPr>
          <w:sz w:val="20"/>
        </w:rPr>
        <w:t xml:space="preserve">(п. 42 в ред. </w:t>
      </w:r>
      <w:hyperlink w:history="0" r:id="rId6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2"/>
        <w:outlineLvl w:val="1"/>
        <w:jc w:val="center"/>
      </w:pPr>
      <w:r>
        <w:rPr>
          <w:sz w:val="20"/>
        </w:rPr>
        <w:t xml:space="preserve">III. Локальные сметные расчеты (сметы)</w:t>
      </w:r>
    </w:p>
    <w:p>
      <w:pPr>
        <w:pStyle w:val="0"/>
        <w:jc w:val="both"/>
      </w:pPr>
      <w:r>
        <w:rPr>
          <w:sz w:val="20"/>
        </w:rPr>
      </w:r>
    </w:p>
    <w:p>
      <w:pPr>
        <w:pStyle w:val="0"/>
        <w:ind w:firstLine="540"/>
        <w:jc w:val="both"/>
      </w:pPr>
      <w:r>
        <w:rPr>
          <w:sz w:val="20"/>
        </w:rPr>
        <w:t xml:space="preserve">43. Рекомендуемые образцы локальных сметных расчетов (смет) приведены для базисно-индексного метода в </w:t>
      </w:r>
      <w:hyperlink w:history="0" w:anchor="P974" w:tooltip="ФОРМЫ">
        <w:r>
          <w:rPr>
            <w:sz w:val="20"/>
            <w:color w:val="0000ff"/>
          </w:rPr>
          <w:t xml:space="preserve">Приложении N 2</w:t>
        </w:r>
      </w:hyperlink>
      <w:r>
        <w:rPr>
          <w:sz w:val="20"/>
        </w:rPr>
        <w:t xml:space="preserve"> к Методике, для ресурсно-индексного метода - в </w:t>
      </w:r>
      <w:hyperlink w:history="0" w:anchor="P4951" w:tooltip="ФОРМА">
        <w:r>
          <w:rPr>
            <w:sz w:val="20"/>
            <w:color w:val="0000ff"/>
          </w:rPr>
          <w:t xml:space="preserve">Приложении N 3</w:t>
        </w:r>
      </w:hyperlink>
      <w:r>
        <w:rPr>
          <w:sz w:val="20"/>
        </w:rPr>
        <w:t xml:space="preserve"> к Методике, для ресурсного метода - в </w:t>
      </w:r>
      <w:hyperlink w:history="0" w:anchor="P6831" w:tooltip="ФОРМА">
        <w:r>
          <w:rPr>
            <w:sz w:val="20"/>
            <w:color w:val="0000ff"/>
          </w:rPr>
          <w:t xml:space="preserve">Приложении N 4</w:t>
        </w:r>
      </w:hyperlink>
      <w:r>
        <w:rPr>
          <w:sz w:val="20"/>
        </w:rPr>
        <w:t xml:space="preserve"> к Методике.</w:t>
      </w:r>
    </w:p>
    <w:bookmarkStart w:id="199" w:name="P199"/>
    <w:bookmarkEnd w:id="199"/>
    <w:p>
      <w:pPr>
        <w:pStyle w:val="0"/>
        <w:spacing w:before="200" w:line-rule="auto"/>
        <w:ind w:firstLine="540"/>
        <w:jc w:val="both"/>
      </w:pPr>
      <w:r>
        <w:rPr>
          <w:sz w:val="20"/>
        </w:rPr>
        <w:t xml:space="preserve">44. Сметная стоимость строительства, определенная с применением базисно-индексного метода, приводится в локальных сметных расчетах (сметах) в двух уровнях цен: базисном и текущем.</w:t>
      </w:r>
    </w:p>
    <w:p>
      <w:pPr>
        <w:pStyle w:val="0"/>
        <w:spacing w:before="200" w:line-rule="auto"/>
        <w:ind w:firstLine="540"/>
        <w:jc w:val="both"/>
      </w:pPr>
      <w:r>
        <w:rPr>
          <w:sz w:val="20"/>
        </w:rPr>
        <w:t xml:space="preserve">Для определения сметной стоимости в базисном уровне цен применяются единичные расценки, составляющие единичных расценок, сведения о которых включены в ФРСН.</w:t>
      </w:r>
    </w:p>
    <w:p>
      <w:pPr>
        <w:pStyle w:val="0"/>
        <w:spacing w:before="200" w:line-rule="auto"/>
        <w:ind w:firstLine="540"/>
        <w:jc w:val="both"/>
      </w:pPr>
      <w:r>
        <w:rPr>
          <w:sz w:val="20"/>
        </w:rPr>
        <w:t xml:space="preserve">При отсутствии информации о сметных ценах в базисном уровне по отдельным материальным ресурсам и оборудованию, их сметная цена формируется на основании расчета в соответствии с </w:t>
      </w:r>
      <w:hyperlink w:history="0" w:anchor="P415" w:tooltip="90. При отсутствии данных по отдельным материальным ресурсам во ФГИС ЦС их сметная цена в текущем уровне формируется на основании расчета в соответствии со сметными нормативами, сведения о которых включены в ФРСН, и результатов конъюнктурного анализа текущих цен не менее 3 (трех) (при наличии) производителей и (или) поставщиков в соответствии с положениями пунктов 13 - 21 Методики.">
        <w:r>
          <w:rPr>
            <w:sz w:val="20"/>
            <w:color w:val="0000ff"/>
          </w:rPr>
          <w:t xml:space="preserve">пунктами 90</w:t>
        </w:r>
      </w:hyperlink>
      <w:r>
        <w:rPr>
          <w:sz w:val="20"/>
        </w:rPr>
        <w:t xml:space="preserve"> - </w:t>
      </w:r>
      <w:hyperlink w:history="0" w:anchor="P423" w:tooltip="92. Размер заготовительно-складских расходов определяется в процентах от суммы отпускной цены материалов, изделий, конструкций, оборудования и транспортных затрат в следующих размерах:">
        <w:r>
          <w:rPr>
            <w:sz w:val="20"/>
            <w:color w:val="0000ff"/>
          </w:rPr>
          <w:t xml:space="preserve">92</w:t>
        </w:r>
      </w:hyperlink>
      <w:r>
        <w:rPr>
          <w:sz w:val="20"/>
        </w:rPr>
        <w:t xml:space="preserve">, </w:t>
      </w:r>
      <w:hyperlink w:history="0" w:anchor="P491" w:tooltip="112. Сметная стоимость стандартного оборудования в текущем уровне цен определяется в порядке, приведенном в пунктах 88 - 92 Методики.">
        <w:r>
          <w:rPr>
            <w:sz w:val="20"/>
            <w:color w:val="0000ff"/>
          </w:rPr>
          <w:t xml:space="preserve">112</w:t>
        </w:r>
      </w:hyperlink>
      <w:r>
        <w:rPr>
          <w:sz w:val="20"/>
        </w:rPr>
        <w:t xml:space="preserve"> - </w:t>
      </w:r>
      <w:hyperlink w:history="0" w:anchor="P497" w:tooltip="115. Стоимость нестандартизированного оборудования в текущем уровне цен определяется на основании договора выполнения научно-исследовательских и опытно-конструкторских работ (далее - НИОКР). В иных случаях в сметной стоимости оборудования затраты на НИОКР не учитываются.">
        <w:r>
          <w:rPr>
            <w:sz w:val="20"/>
            <w:color w:val="0000ff"/>
          </w:rPr>
          <w:t xml:space="preserve">115</w:t>
        </w:r>
      </w:hyperlink>
      <w:r>
        <w:rPr>
          <w:sz w:val="20"/>
        </w:rPr>
        <w:t xml:space="preserve"> Методики с учетом положений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пунктов 22</w:t>
        </w:r>
      </w:hyperlink>
      <w:r>
        <w:rPr>
          <w:sz w:val="20"/>
        </w:rPr>
        <w:t xml:space="preserve"> и </w:t>
      </w:r>
      <w:hyperlink w:history="0" w:anchor="P147" w:tooltip="23. Материальным ресурсам и оборудованию, отпускная цена которых в текущем уровне цен определена в соответствии с положениями пунктов 13 - 21 Методики, присваивается код, состоящий из буквенного обозначения &quot;ТЦ&quot; и пяти групп цифр: первая группа цифр соответствует коду группы Классификатора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
        <w:r>
          <w:rPr>
            <w:sz w:val="20"/>
            <w:color w:val="0000ff"/>
          </w:rPr>
          <w:t xml:space="preserve">23</w:t>
        </w:r>
      </w:hyperlink>
      <w:r>
        <w:rPr>
          <w:sz w:val="20"/>
        </w:rPr>
        <w:t xml:space="preserve"> Методики.</w:t>
      </w:r>
    </w:p>
    <w:p>
      <w:pPr>
        <w:pStyle w:val="0"/>
        <w:spacing w:before="200" w:line-rule="auto"/>
        <w:ind w:firstLine="540"/>
        <w:jc w:val="both"/>
      </w:pPr>
      <w:r>
        <w:rPr>
          <w:sz w:val="20"/>
        </w:rPr>
        <w:t xml:space="preserve">Сметные цены в базисном уровне цен на высокотехнологичные и уникальные строительные машины, изготавливаемые по индивидуальным проектам (по единичным заказам, в том числе в единственном экземпляре), находящиеся, как правило, в собственности юридических лиц, не зарегистрированных на территории Российской Федерации, не применяемые (или применяемые в рамках индивидуального проектирования) на территории Российской Федерации, включенные во ФСЭМ без сметных расценок и отмеченные в </w:t>
      </w:r>
      <w:hyperlink w:history="0" w:anchor="P974" w:tooltip="ФОРМЫ">
        <w:r>
          <w:rPr>
            <w:sz w:val="20"/>
            <w:color w:val="0000ff"/>
          </w:rPr>
          <w:t xml:space="preserve">графах 4</w:t>
        </w:r>
      </w:hyperlink>
      <w:r>
        <w:rPr>
          <w:sz w:val="20"/>
        </w:rPr>
        <w:t xml:space="preserve"> и </w:t>
      </w:r>
      <w:hyperlink w:history="0" w:anchor="P974" w:tooltip="ФОРМЫ">
        <w:r>
          <w:rPr>
            <w:sz w:val="20"/>
            <w:color w:val="0000ff"/>
          </w:rPr>
          <w:t xml:space="preserve">5</w:t>
        </w:r>
      </w:hyperlink>
      <w:r>
        <w:rPr>
          <w:sz w:val="20"/>
        </w:rPr>
        <w:t xml:space="preserve"> знаком "- *" (далее - несерийные строительные машины), определяются в соответствии с </w:t>
      </w:r>
      <w:hyperlink w:history="0" w:anchor="P369" w:tooltip="83. Сметные цены на эксплуатацию машин и механизмов  определяются на основании данных ФГИС ЦС. При этом, сметные цены на эксплуатацию несерийных строительных машин в текущем уровне цен (Смаш.р) определяются по формуле (3.1):">
        <w:r>
          <w:rPr>
            <w:sz w:val="20"/>
            <w:color w:val="0000ff"/>
          </w:rPr>
          <w:t xml:space="preserve">пунктом 83</w:t>
        </w:r>
      </w:hyperlink>
      <w:r>
        <w:rPr>
          <w:sz w:val="20"/>
        </w:rPr>
        <w:t xml:space="preserve"> Методики.</w:t>
      </w:r>
    </w:p>
    <w:bookmarkStart w:id="203" w:name="P203"/>
    <w:bookmarkEnd w:id="203"/>
    <w:p>
      <w:pPr>
        <w:pStyle w:val="0"/>
        <w:spacing w:before="200" w:line-rule="auto"/>
        <w:ind w:firstLine="540"/>
        <w:jc w:val="both"/>
      </w:pPr>
      <w:r>
        <w:rPr>
          <w:sz w:val="20"/>
        </w:rPr>
        <w:t xml:space="preserve">45. Сметная стоимость в текущем уровне цен рассчитывается как произведение сметной стоимости, определенной в базисном уровне цен, и соответствующих индексов изменения сметной стоимости, разрабатываемых в соответствии с </w:t>
      </w:r>
      <w:hyperlink w:history="0" r:id="rId61"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Методикой</w:t>
        </w:r>
      </w:hyperlink>
      <w:r>
        <w:rPr>
          <w:sz w:val="20"/>
        </w:rPr>
        <w:t xml:space="preserve">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N 326/пр (зарегистрирован Министерством юстиции Российской Федерации 10 сентября 2019 г., регистрационный N 55869) (далее - Методика N 326/пр), в том числе:</w:t>
      </w:r>
    </w:p>
    <w:p>
      <w:pPr>
        <w:pStyle w:val="0"/>
        <w:jc w:val="both"/>
      </w:pPr>
      <w:r>
        <w:rPr>
          <w:sz w:val="20"/>
        </w:rPr>
        <w:t xml:space="preserve">(в ред. </w:t>
      </w:r>
      <w:hyperlink w:history="0" r:id="rId6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а) индексы к СМР применяются к итоговым стоимостным показателям СМР по ЛСР (ЛС);</w:t>
      </w:r>
    </w:p>
    <w:p>
      <w:pPr>
        <w:pStyle w:val="0"/>
        <w:spacing w:before="200" w:line-rule="auto"/>
        <w:ind w:firstLine="540"/>
        <w:jc w:val="both"/>
      </w:pPr>
      <w:r>
        <w:rPr>
          <w:sz w:val="20"/>
        </w:rPr>
        <w:t xml:space="preserve">б) индексы к элементам прямых затрат применяются в порядке, аналогичном порядку применения индексов к СМР, установленному </w:t>
      </w:r>
      <w:hyperlink w:history="0" r:id="rId63"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пунктами 5</w:t>
        </w:r>
      </w:hyperlink>
      <w:r>
        <w:rPr>
          <w:sz w:val="20"/>
        </w:rPr>
        <w:t xml:space="preserve">, </w:t>
      </w:r>
      <w:hyperlink w:history="0" r:id="rId64"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5.1</w:t>
        </w:r>
      </w:hyperlink>
      <w:r>
        <w:rPr>
          <w:sz w:val="20"/>
        </w:rPr>
        <w:t xml:space="preserve">, </w:t>
      </w:r>
      <w:hyperlink w:history="0" r:id="rId65"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5.2</w:t>
        </w:r>
      </w:hyperlink>
      <w:r>
        <w:rPr>
          <w:sz w:val="20"/>
        </w:rPr>
        <w:t xml:space="preserve">, </w:t>
      </w:r>
      <w:hyperlink w:history="0" r:id="rId66"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5.5</w:t>
        </w:r>
      </w:hyperlink>
      <w:r>
        <w:rPr>
          <w:sz w:val="20"/>
        </w:rPr>
        <w:t xml:space="preserve">, </w:t>
      </w:r>
      <w:hyperlink w:history="0" r:id="rId67"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5.6</w:t>
        </w:r>
      </w:hyperlink>
      <w:r>
        <w:rPr>
          <w:sz w:val="20"/>
        </w:rPr>
        <w:t xml:space="preserve">, </w:t>
      </w:r>
      <w:hyperlink w:history="0" r:id="rId68"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6</w:t>
        </w:r>
      </w:hyperlink>
      <w:r>
        <w:rPr>
          <w:sz w:val="20"/>
        </w:rPr>
        <w:t xml:space="preserve">, </w:t>
      </w:r>
      <w:hyperlink w:history="0" r:id="rId69"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6.1</w:t>
        </w:r>
      </w:hyperlink>
      <w:r>
        <w:rPr>
          <w:sz w:val="20"/>
        </w:rPr>
        <w:t xml:space="preserve"> и </w:t>
      </w:r>
      <w:hyperlink w:history="0" r:id="rId70"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6.2</w:t>
        </w:r>
      </w:hyperlink>
      <w:r>
        <w:rPr>
          <w:sz w:val="20"/>
        </w:rPr>
        <w:t xml:space="preserve"> Методики N 326/пр:</w:t>
      </w:r>
    </w:p>
    <w:p>
      <w:pPr>
        <w:pStyle w:val="0"/>
        <w:spacing w:before="200" w:line-rule="auto"/>
        <w:ind w:firstLine="540"/>
        <w:jc w:val="both"/>
      </w:pPr>
      <w:r>
        <w:rPr>
          <w:sz w:val="20"/>
        </w:rPr>
        <w:t xml:space="preserve">к итоговым стоимостным показателям элементов прямых затрат в целом по ЛСР (ЛС) - сметной стоимости эксплуатации машин и механизмов (в том числе оплате труда машинистов) и сметной стоимости материальных ресурсов;</w:t>
      </w:r>
    </w:p>
    <w:p>
      <w:pPr>
        <w:pStyle w:val="0"/>
        <w:spacing w:before="200" w:line-rule="auto"/>
        <w:ind w:firstLine="540"/>
        <w:jc w:val="both"/>
      </w:pPr>
      <w:r>
        <w:rPr>
          <w:sz w:val="20"/>
        </w:rPr>
        <w:t xml:space="preserve">к итоговым стоимостным показателям элементов прямых затрат по каждой расценке и (или) позиции, включенной в ЛСР (ЛС), - к сметной стоимости оплаты труда, сметной стоимости затрат на перевозку грузов для строительства и затрат на погрузочно-разгрузочные работы;</w:t>
      </w:r>
    </w:p>
    <w:p>
      <w:pPr>
        <w:pStyle w:val="0"/>
        <w:jc w:val="both"/>
      </w:pPr>
      <w:r>
        <w:rPr>
          <w:sz w:val="20"/>
        </w:rPr>
        <w:t xml:space="preserve">(пп. "б" в ред. </w:t>
      </w:r>
      <w:hyperlink w:history="0" r:id="rId7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в) индексы по видам (комплексам) работ применяются к итоговым стоимостным показателям в целом по ЛСР (ЛС), например, к сметной стоимости пусконаладочных работ;</w:t>
      </w:r>
    </w:p>
    <w:p>
      <w:pPr>
        <w:pStyle w:val="0"/>
        <w:spacing w:before="200" w:line-rule="auto"/>
        <w:ind w:firstLine="540"/>
        <w:jc w:val="both"/>
      </w:pPr>
      <w:r>
        <w:rPr>
          <w:sz w:val="20"/>
        </w:rPr>
        <w:t xml:space="preserve">г) индексы к расценкам применяются к итоговым стоимостным показателям прямых затрат по каждой расценке, включенной в ЛСР (ЛС);</w:t>
      </w:r>
    </w:p>
    <w:p>
      <w:pPr>
        <w:pStyle w:val="0"/>
        <w:spacing w:before="200" w:line-rule="auto"/>
        <w:ind w:firstLine="540"/>
        <w:jc w:val="both"/>
      </w:pPr>
      <w:r>
        <w:rPr>
          <w:sz w:val="20"/>
        </w:rPr>
        <w:t xml:space="preserve">д) индексы к элементам прямых затрат расценок применяются к итоговым стоимостным показателям элементов прямых затрат по каждой расценке, включенной в ЛСР (ЛС);</w:t>
      </w:r>
    </w:p>
    <w:p>
      <w:pPr>
        <w:pStyle w:val="0"/>
        <w:spacing w:before="200" w:line-rule="auto"/>
        <w:ind w:firstLine="540"/>
        <w:jc w:val="both"/>
      </w:pPr>
      <w:r>
        <w:rPr>
          <w:sz w:val="20"/>
        </w:rPr>
        <w:t xml:space="preserve">е) индексы на перевозку применяются к сметной стоимости затрат на перевозку грузов для строительства автомобильным транспортом, в том числе на дополнительное расстояние сверх учтенного сметными ценами на материальные ресурсы и оборудование, в соответствии с типом автотранспортных средств по каждой позиции ЛСР (ЛС).</w:t>
      </w:r>
    </w:p>
    <w:p>
      <w:pPr>
        <w:pStyle w:val="0"/>
        <w:spacing w:before="200" w:line-rule="auto"/>
        <w:ind w:firstLine="540"/>
        <w:jc w:val="both"/>
      </w:pPr>
      <w:r>
        <w:rPr>
          <w:sz w:val="20"/>
        </w:rPr>
        <w:t xml:space="preserve">Затраты на перевозку грузов для строительства автомобильным транспортом, в том числе на дополнительное расстояние сверх учтенного сметными ценами на материальные ресурсы и оборудование, при отсутствии индексов на перевозку, определяются в текущем уровне цен с использованием индекса к СМР, а при его отсутствии - рассчитываемого для применения к сметной стоимости эксплуатации машин и механизмов.</w:t>
      </w:r>
    </w:p>
    <w:p>
      <w:pPr>
        <w:pStyle w:val="0"/>
        <w:spacing w:before="200" w:line-rule="auto"/>
        <w:ind w:firstLine="540"/>
        <w:jc w:val="both"/>
      </w:pPr>
      <w:r>
        <w:rPr>
          <w:sz w:val="20"/>
        </w:rPr>
        <w:t xml:space="preserve">Затраты на погрузочно-разгрузочные работы определяются в текущем уровне цен по каждой позиции ЛСР (ЛС) с использованием индекса к СМР, а при его отсутствии - рассчитываемого для применения к сметной стоимости эксплуатации машин и механизмов.</w:t>
      </w:r>
    </w:p>
    <w:p>
      <w:pPr>
        <w:pStyle w:val="0"/>
        <w:spacing w:before="200" w:line-rule="auto"/>
        <w:ind w:firstLine="540"/>
        <w:jc w:val="both"/>
      </w:pPr>
      <w:r>
        <w:rPr>
          <w:sz w:val="20"/>
        </w:rPr>
        <w:t xml:space="preserve">Определение затрат на перевозку грузов для строительства отдельными видами транспорта, учитываемых в сметной документации по данным конъюнктурного анализа, в базисном уровне цен выполняется обратным счетом путем деления текущей стоимости таких затрат на индекс к СМР, а при его отсутствии - рассчитываемого для применения к сметной стоимости эксплуатации машин и механизмов;</w:t>
      </w:r>
    </w:p>
    <w:p>
      <w:pPr>
        <w:pStyle w:val="0"/>
        <w:jc w:val="both"/>
      </w:pPr>
      <w:r>
        <w:rPr>
          <w:sz w:val="20"/>
        </w:rPr>
        <w:t xml:space="preserve">(пп. "е" в ред. </w:t>
      </w:r>
      <w:hyperlink w:history="0" r:id="rId7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ж) индексы к оборудованию применяются к итоговым стоимостным показателям оборудования в целом по ЛСР (ЛС) или по каждой позиции в зависимости от принятых индексов изменения сметной стоимости строительно-монтажных работ.</w:t>
      </w:r>
    </w:p>
    <w:p>
      <w:pPr>
        <w:pStyle w:val="0"/>
        <w:spacing w:before="200" w:line-rule="auto"/>
        <w:ind w:firstLine="540"/>
        <w:jc w:val="both"/>
      </w:pPr>
      <w:r>
        <w:rPr>
          <w:sz w:val="20"/>
        </w:rPr>
        <w:t xml:space="preserve">46. Сметная стоимость, определенная с применением ресурсного и ресурсно-индексного методов, приводится в локальных сметных расчетах (сметах) в текущем уровне цен.</w:t>
      </w:r>
    </w:p>
    <w:p>
      <w:pPr>
        <w:pStyle w:val="0"/>
        <w:spacing w:before="200" w:line-rule="auto"/>
        <w:ind w:firstLine="540"/>
        <w:jc w:val="both"/>
      </w:pPr>
      <w:r>
        <w:rPr>
          <w:sz w:val="20"/>
        </w:rPr>
        <w:t xml:space="preserve">47. В локальных сметных расчетах (сметах), разрабатываемых ресурсным и ресурсно-индексным методами, по каждой позиции выделяют следующие показатели строительных ресурсов:</w:t>
      </w:r>
    </w:p>
    <w:p>
      <w:pPr>
        <w:pStyle w:val="0"/>
        <w:spacing w:before="200" w:line-rule="auto"/>
        <w:ind w:firstLine="540"/>
        <w:jc w:val="both"/>
      </w:pPr>
      <w:r>
        <w:rPr>
          <w:sz w:val="20"/>
        </w:rPr>
        <w:t xml:space="preserve">а) затраты труда рабочих с указанием среднего разряда работы или квалификационного состава рабочих, звена пусконаладочного персонала, чел.-ч;</w:t>
      </w:r>
    </w:p>
    <w:p>
      <w:pPr>
        <w:pStyle w:val="0"/>
        <w:spacing w:before="200" w:line-rule="auto"/>
        <w:ind w:firstLine="540"/>
        <w:jc w:val="both"/>
      </w:pPr>
      <w:r>
        <w:rPr>
          <w:sz w:val="20"/>
        </w:rPr>
        <w:t xml:space="preserve">б) затраты труда машинистов, чел.-ч;</w:t>
      </w:r>
    </w:p>
    <w:p>
      <w:pPr>
        <w:pStyle w:val="0"/>
        <w:spacing w:before="200" w:line-rule="auto"/>
        <w:ind w:firstLine="540"/>
        <w:jc w:val="both"/>
      </w:pPr>
      <w:r>
        <w:rPr>
          <w:sz w:val="20"/>
        </w:rPr>
        <w:t xml:space="preserve">в) потребность в машинах и механизмах, маш.-ч;</w:t>
      </w:r>
    </w:p>
    <w:p>
      <w:pPr>
        <w:pStyle w:val="0"/>
        <w:spacing w:before="200" w:line-rule="auto"/>
        <w:ind w:firstLine="540"/>
        <w:jc w:val="both"/>
      </w:pPr>
      <w:r>
        <w:rPr>
          <w:sz w:val="20"/>
        </w:rPr>
        <w:t xml:space="preserve">г) потребность в материальных ресурсах в натуральных единицах измерения (м, м</w:t>
      </w:r>
      <w:r>
        <w:rPr>
          <w:sz w:val="20"/>
          <w:vertAlign w:val="superscript"/>
        </w:rPr>
        <w:t xml:space="preserve">3</w:t>
      </w:r>
      <w:r>
        <w:rPr>
          <w:sz w:val="20"/>
        </w:rPr>
        <w:t xml:space="preserve">, м</w:t>
      </w:r>
      <w:r>
        <w:rPr>
          <w:sz w:val="20"/>
          <w:vertAlign w:val="superscript"/>
        </w:rPr>
        <w:t xml:space="preserve">2</w:t>
      </w:r>
      <w:r>
        <w:rPr>
          <w:sz w:val="20"/>
        </w:rPr>
        <w:t xml:space="preserve">, т, кг и других натуральных единицах измерения);</w:t>
      </w:r>
    </w:p>
    <w:p>
      <w:pPr>
        <w:pStyle w:val="0"/>
        <w:spacing w:before="200" w:line-rule="auto"/>
        <w:ind w:firstLine="540"/>
        <w:jc w:val="both"/>
      </w:pPr>
      <w:r>
        <w:rPr>
          <w:sz w:val="20"/>
        </w:rPr>
        <w:t xml:space="preserve">д) потребность в оборудовании в натуральных единицах измерения (шт, компл, т и других натуральных единицах измерения).</w:t>
      </w:r>
    </w:p>
    <w:p>
      <w:pPr>
        <w:pStyle w:val="0"/>
        <w:spacing w:before="200" w:line-rule="auto"/>
        <w:ind w:firstLine="540"/>
        <w:jc w:val="both"/>
      </w:pPr>
      <w:r>
        <w:rPr>
          <w:sz w:val="20"/>
        </w:rPr>
        <w:t xml:space="preserve">48. Потребность в строительных ресурсах определяется на основании сметных норм, сведения о которых включены в ФРСН, перечня и объемов работ, принятых на основании проектной и (или) иной технической документации. При отсутствии в сметных нормах данных о расходе строительных ресурсов, их количество принимается по данным проектной документации с учетом положений Методики.</w:t>
      </w:r>
    </w:p>
    <w:p>
      <w:pPr>
        <w:pStyle w:val="0"/>
        <w:spacing w:before="200" w:line-rule="auto"/>
        <w:ind w:firstLine="540"/>
        <w:jc w:val="both"/>
      </w:pPr>
      <w:r>
        <w:rPr>
          <w:sz w:val="20"/>
        </w:rPr>
        <w:t xml:space="preserve">49. Сметная стоимость строительных ресурсов при применении ресурсного метода определяется в текущем уровне цен в соответствии с положениями </w:t>
      </w:r>
      <w:hyperlink w:history="0" w:anchor="P303" w:tooltip="IV. Особенности определения сметной стоимости">
        <w:r>
          <w:rPr>
            <w:sz w:val="20"/>
            <w:color w:val="0000ff"/>
          </w:rPr>
          <w:t xml:space="preserve">раздела IV</w:t>
        </w:r>
      </w:hyperlink>
      <w:r>
        <w:rPr>
          <w:sz w:val="20"/>
        </w:rPr>
        <w:t xml:space="preserve"> Методики.</w:t>
      </w:r>
    </w:p>
    <w:p>
      <w:pPr>
        <w:pStyle w:val="0"/>
        <w:spacing w:before="200" w:line-rule="auto"/>
        <w:ind w:firstLine="540"/>
        <w:jc w:val="both"/>
      </w:pPr>
      <w:r>
        <w:rPr>
          <w:sz w:val="20"/>
        </w:rPr>
        <w:t xml:space="preserve">50. Сметная стоимость строительных ресурсов при применении ресурсно-индексного метода определяется в текущем уровне цен в соответствии с положениями </w:t>
      </w:r>
      <w:hyperlink w:history="0" w:anchor="P431" w:tooltip="V. Особенности определения сметной стоимости оплаты">
        <w:r>
          <w:rPr>
            <w:sz w:val="20"/>
            <w:color w:val="0000ff"/>
          </w:rPr>
          <w:t xml:space="preserve">раздела V</w:t>
        </w:r>
      </w:hyperlink>
      <w:r>
        <w:rPr>
          <w:sz w:val="20"/>
        </w:rPr>
        <w:t xml:space="preserve"> Методики.</w:t>
      </w:r>
    </w:p>
    <w:p>
      <w:pPr>
        <w:pStyle w:val="0"/>
        <w:spacing w:before="200" w:line-rule="auto"/>
        <w:ind w:firstLine="540"/>
        <w:jc w:val="both"/>
      </w:pPr>
      <w:r>
        <w:rPr>
          <w:sz w:val="20"/>
        </w:rPr>
        <w:t xml:space="preserve">51. В локальных сметных расчетах (сметах) выделяются разделы для учета архитектурных, функционально-технологических, конструктивных и инженерно-технических решений, содержащихся в проектной и (или) иной технической документации применительно к отдельным конструктивным решениям (элементам) и (или) видам работ.</w:t>
      </w:r>
    </w:p>
    <w:bookmarkStart w:id="230" w:name="P230"/>
    <w:bookmarkEnd w:id="230"/>
    <w:p>
      <w:pPr>
        <w:pStyle w:val="0"/>
        <w:spacing w:before="200" w:line-rule="auto"/>
        <w:ind w:firstLine="540"/>
        <w:jc w:val="both"/>
      </w:pPr>
      <w:r>
        <w:rPr>
          <w:sz w:val="20"/>
        </w:rPr>
        <w:t xml:space="preserve">52. При разработке локальных сметных расчетов (смет) для учета усложняющих факторов и условий производства работ, указанных в проектной и (или) иной технической документации, используются коэффициенты к сметным нормам (единичным расценкам), в том числе их отдельным составляющим, приведенные в </w:t>
      </w:r>
      <w:hyperlink w:history="0" w:anchor="P9526" w:tooltip="КОЭФФИЦИЕНТЫ">
        <w:r>
          <w:rPr>
            <w:sz w:val="20"/>
            <w:color w:val="0000ff"/>
          </w:rPr>
          <w:t xml:space="preserve">Приложении N 10</w:t>
        </w:r>
      </w:hyperlink>
      <w:r>
        <w:rPr>
          <w:sz w:val="20"/>
        </w:rPr>
        <w:t xml:space="preserve"> к Методике.</w:t>
      </w:r>
    </w:p>
    <w:p>
      <w:pPr>
        <w:pStyle w:val="0"/>
        <w:spacing w:before="200" w:line-rule="auto"/>
        <w:ind w:firstLine="540"/>
        <w:jc w:val="both"/>
      </w:pPr>
      <w:r>
        <w:rPr>
          <w:sz w:val="20"/>
        </w:rPr>
        <w:t xml:space="preserve">52.1. При определении дополнительных затрат на перевозку грузов для строительства автомобильным транспортом в горной местности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к сметным ценам на перевозку грузов для строительства автомобильным транспортом по состоянию на 1 января 2000 г. применяются следующие коэффициенты:</w:t>
      </w:r>
    </w:p>
    <w:p>
      <w:pPr>
        <w:pStyle w:val="0"/>
        <w:spacing w:before="200" w:line-rule="auto"/>
        <w:ind w:firstLine="540"/>
        <w:jc w:val="both"/>
      </w:pPr>
      <w:r>
        <w:rPr>
          <w:sz w:val="20"/>
        </w:rPr>
        <w:t xml:space="preserve">а) на высоте свыше 1500 до 2500 м над уровнем моря - 1,25;</w:t>
      </w:r>
    </w:p>
    <w:p>
      <w:pPr>
        <w:pStyle w:val="0"/>
        <w:spacing w:before="200" w:line-rule="auto"/>
        <w:ind w:firstLine="540"/>
        <w:jc w:val="both"/>
      </w:pPr>
      <w:r>
        <w:rPr>
          <w:sz w:val="20"/>
        </w:rPr>
        <w:t xml:space="preserve">б) на высоте свыше 2500 до 3000 м над уровнем моря - 1,35;</w:t>
      </w:r>
    </w:p>
    <w:p>
      <w:pPr>
        <w:pStyle w:val="0"/>
        <w:spacing w:before="200" w:line-rule="auto"/>
        <w:ind w:firstLine="540"/>
        <w:jc w:val="both"/>
      </w:pPr>
      <w:r>
        <w:rPr>
          <w:sz w:val="20"/>
        </w:rPr>
        <w:t xml:space="preserve">в) на высоте свыше 3000 м над уровнем моря - 1,50.</w:t>
      </w:r>
    </w:p>
    <w:p>
      <w:pPr>
        <w:pStyle w:val="0"/>
        <w:jc w:val="both"/>
      </w:pPr>
      <w:r>
        <w:rPr>
          <w:sz w:val="20"/>
        </w:rPr>
        <w:t xml:space="preserve">(п. 52.1 введен </w:t>
      </w:r>
      <w:hyperlink w:history="0" r:id="rId7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53. Коэффициенты, приведенные в </w:t>
      </w:r>
      <w:hyperlink w:history="0" w:anchor="P9526" w:tooltip="КОЭФФИЦИЕНТЫ">
        <w:r>
          <w:rPr>
            <w:sz w:val="20"/>
            <w:color w:val="0000ff"/>
          </w:rPr>
          <w:t xml:space="preserve">Приложении N 10</w:t>
        </w:r>
      </w:hyperlink>
      <w:r>
        <w:rPr>
          <w:sz w:val="20"/>
        </w:rPr>
        <w:t xml:space="preserve"> к Методике, применяются к количественным или стоимостным показателям сметных норм (единичных расценок): затратам труда (оплате труда) рабочих и (или) пусконаладочного персонала, времени (стоимости) эксплуатации машин и механизмов, в том числе затратам труда (оплате труда) машинистов с учетом положений, указанных в </w:t>
      </w:r>
      <w:hyperlink w:history="0" w:anchor="P9526" w:tooltip="КОЭФФИЦИЕНТЫ">
        <w:r>
          <w:rPr>
            <w:sz w:val="20"/>
            <w:color w:val="0000ff"/>
          </w:rPr>
          <w:t xml:space="preserve">примечаниях</w:t>
        </w:r>
      </w:hyperlink>
      <w:r>
        <w:rPr>
          <w:sz w:val="20"/>
        </w:rPr>
        <w:t xml:space="preserve"> к таблицам Приложения N 10.</w:t>
      </w:r>
    </w:p>
    <w:p>
      <w:pPr>
        <w:pStyle w:val="0"/>
        <w:spacing w:before="200" w:line-rule="auto"/>
        <w:ind w:firstLine="540"/>
        <w:jc w:val="both"/>
      </w:pPr>
      <w:r>
        <w:rPr>
          <w:sz w:val="20"/>
        </w:rPr>
        <w:t xml:space="preserve">53.1. В целях применения коэффициентов, приведенных в </w:t>
      </w:r>
      <w:hyperlink w:history="0" w:anchor="P9526" w:tooltip="КОЭФФИЦИЕНТЫ">
        <w:r>
          <w:rPr>
            <w:sz w:val="20"/>
            <w:color w:val="0000ff"/>
          </w:rPr>
          <w:t xml:space="preserve">Приложении N 10</w:t>
        </w:r>
      </w:hyperlink>
      <w:r>
        <w:rPr>
          <w:sz w:val="20"/>
        </w:rPr>
        <w:t xml:space="preserve"> к Методике, при обосновании применения указанных коэффициентов в проектной документации учитывается, что:</w:t>
      </w:r>
    </w:p>
    <w:p>
      <w:pPr>
        <w:pStyle w:val="0"/>
        <w:spacing w:before="200" w:line-rule="auto"/>
        <w:ind w:firstLine="540"/>
        <w:jc w:val="both"/>
      </w:pPr>
      <w:r>
        <w:rPr>
          <w:sz w:val="20"/>
        </w:rPr>
        <w:t xml:space="preserve">а) вредные условия труда определяются в соответствии со </w:t>
      </w:r>
      <w:hyperlink w:history="0" r:id="rId74" w:tooltip="Федеральный закон от 28.12.2013 N 426-ФЗ (ред. от 30.12.2020) &quot;О специальной оценке условий труда&quot; (с изм. и доп., вступ. в силу с 01.01.2021) {КонсультантПлюс}">
        <w:r>
          <w:rPr>
            <w:sz w:val="20"/>
            <w:color w:val="0000ff"/>
          </w:rPr>
          <w:t xml:space="preserve">статьей 14</w:t>
        </w:r>
      </w:hyperlink>
      <w:r>
        <w:rPr>
          <w:sz w:val="20"/>
        </w:rPr>
        <w:t xml:space="preserve"> Федерального закона от 28 декабря 2013 г. N 426-ФЗ "О специальной оценке условий труда" (Собрание законодательства Российской Федерации, 2013, N 52, ст. 6991; 2016, N 18, ст. 2512);</w:t>
      </w:r>
    </w:p>
    <w:p>
      <w:pPr>
        <w:pStyle w:val="0"/>
        <w:spacing w:before="200" w:line-rule="auto"/>
        <w:ind w:firstLine="540"/>
        <w:jc w:val="both"/>
      </w:pPr>
      <w:r>
        <w:rPr>
          <w:sz w:val="20"/>
        </w:rPr>
        <w:t xml:space="preserve">б) охранные зоны вдоль воздушных линий электропередачи определяются в соответствии с </w:t>
      </w:r>
      <w:hyperlink w:history="0" r:id="rId75" w:tooltip="Постановление Правительства РФ от 24.02.2009 N 160 (ред. от 21.12.2018)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0"/>
            <w:color w:val="0000ff"/>
          </w:rPr>
          <w:t xml:space="preserve">подпунктом "а"</w:t>
        </w:r>
      </w:hyperlink>
      <w:r>
        <w:rPr>
          <w:sz w:val="20"/>
        </w:rPr>
        <w:t xml:space="preserve"> приложения к Правилам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 постановлением Правительства Российской Федерации от 24 февраля 2009 г. N 160 (Собрание законодательства Российской Федерации, 2009, N 10, ст. 1220);</w:t>
      </w:r>
    </w:p>
    <w:p>
      <w:pPr>
        <w:pStyle w:val="0"/>
        <w:spacing w:before="200" w:line-rule="auto"/>
        <w:ind w:firstLine="540"/>
        <w:jc w:val="both"/>
      </w:pPr>
      <w:r>
        <w:rPr>
          <w:sz w:val="20"/>
        </w:rPr>
        <w:t xml:space="preserve">в) стесненные условия населенных пунктов определяются наличием трех из перечисленных факторов: интенсивное движение городского транспорта и пешеходов в непосредственной близости (в пределах 50 м) от зоны производства работ; сети подземных коммуникаций, подлежащие перекладке или подвеске; расположение объектов капитального строительства и сохраняемых зеленых насаждений в непосредственной близости (в пределах 50 м) от зоны производства работ; стесненные условия или невозможность складирования материалов; ограничение поворота стрелы грузоподъемного крана в соответствии с данными проекта организации строительства;</w:t>
      </w:r>
    </w:p>
    <w:p>
      <w:pPr>
        <w:pStyle w:val="0"/>
        <w:spacing w:before="200" w:line-rule="auto"/>
        <w:ind w:firstLine="540"/>
        <w:jc w:val="both"/>
      </w:pPr>
      <w:r>
        <w:rPr>
          <w:sz w:val="20"/>
        </w:rPr>
        <w:t xml:space="preserve">г) к работам, выполняемым в подземных условиях, в том числе относятся монтажные и демонтажные работы систем инженерно-технического обеспечения, выполняемые после устройства перекрытия при строительстве тоннелей и метрополитенов открытым способом (тоннели, сооружения, устройства и станционные помещения, находящиеся ниже уровня первой ступени эскалатора (лестничного марша) наземного вестибюля станции, и сам вестибюль станции (с тоннелями, сооружениями, устройствами и станционными помещениями), вход в который расположен в подземном (подуличном) переходе);</w:t>
      </w:r>
    </w:p>
    <w:p>
      <w:pPr>
        <w:pStyle w:val="0"/>
        <w:spacing w:before="200" w:line-rule="auto"/>
        <w:ind w:firstLine="540"/>
        <w:jc w:val="both"/>
      </w:pPr>
      <w:r>
        <w:rPr>
          <w:sz w:val="20"/>
        </w:rPr>
        <w:t xml:space="preserve">д) эксплуатируемыми объектами капитального строительства являются объекты, введенные в эксплуатацию;</w:t>
      </w:r>
    </w:p>
    <w:p>
      <w:pPr>
        <w:pStyle w:val="0"/>
        <w:spacing w:before="200" w:line-rule="auto"/>
        <w:ind w:firstLine="540"/>
        <w:jc w:val="both"/>
      </w:pPr>
      <w:r>
        <w:rPr>
          <w:sz w:val="20"/>
        </w:rPr>
        <w:t xml:space="preserve">е) к рабочим процессам относятся производственные процессы на предприятиях и в организациях различных видов деятельности (производственного и непроизводственного назначения);</w:t>
      </w:r>
    </w:p>
    <w:p>
      <w:pPr>
        <w:pStyle w:val="0"/>
        <w:spacing w:before="200" w:line-rule="auto"/>
        <w:ind w:firstLine="540"/>
        <w:jc w:val="both"/>
      </w:pPr>
      <w:r>
        <w:rPr>
          <w:sz w:val="20"/>
        </w:rPr>
        <w:t xml:space="preserve">ж) к кровлям средней сложности относятся кровли с прямолинейными поверхностями (шатровые, вальмовые, вальмовые с переломом скатов и мансардные, полувальмовые, с фонарем, четырехщипцовые, а также кровли Г- и Т-образного очертания в плане, складчатые, кровли совмещенные с уклоном свыше 10%) или кровли с количеством скатов от трех до пяти. К сложным кровлям относятся также кровли с криволинейными поверхностями (куполообразные, сводчатые, конусообразные, сферические, шпилеобразные, крыши с крестовым сводом) или кровли с количеством скатов более пяти.</w:t>
      </w:r>
    </w:p>
    <w:p>
      <w:pPr>
        <w:pStyle w:val="0"/>
        <w:jc w:val="both"/>
      </w:pPr>
      <w:r>
        <w:rPr>
          <w:sz w:val="20"/>
        </w:rPr>
        <w:t xml:space="preserve">(п. 53.1 введен </w:t>
      </w:r>
      <w:hyperlink w:history="0" r:id="rId7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54. Коэффициенты, учитывающие условия производства работ, обусловлены специфическими особенностями их выполнения на территории строительства, объекте капитального строительства или его части (выполнение работ в условиях эксплуатируемых зданий и сооружений, вблизи объектов, находящихся под электрическим напряжением, на территории действующих предприятий, имеющих разветвленную сеть транспортных и инженерных коммуникаций, стесненные условия для складирования материалов и прочие).</w:t>
      </w:r>
    </w:p>
    <w:p>
      <w:pPr>
        <w:pStyle w:val="0"/>
        <w:spacing w:before="200" w:line-rule="auto"/>
        <w:ind w:firstLine="540"/>
        <w:jc w:val="both"/>
      </w:pPr>
      <w:r>
        <w:rPr>
          <w:sz w:val="20"/>
        </w:rPr>
        <w:t xml:space="preserve">55. Коэффициенты, учитывающие условия производства работ, дифференцированы в зависимости от вида применяемых сметных норм (единичных расценок) для строительства, реконструкции, капитального ремонта, пусконаладочных работ и сохранения объектов культурного наследия.</w:t>
      </w:r>
    </w:p>
    <w:bookmarkStart w:id="248" w:name="P248"/>
    <w:bookmarkEnd w:id="248"/>
    <w:p>
      <w:pPr>
        <w:pStyle w:val="0"/>
        <w:spacing w:before="200" w:line-rule="auto"/>
        <w:ind w:firstLine="540"/>
        <w:jc w:val="both"/>
      </w:pPr>
      <w:r>
        <w:rPr>
          <w:sz w:val="20"/>
        </w:rPr>
        <w:t xml:space="preserve">56. Коэффициенты, учитывающие усложняющие факторы и условия производства работ, применяются одновременно с другими коэффициентами в порядке, установленном Методикой. При одновременном применении коэффициенты перемножаются, результат округляется до семи знаков после запятой.</w:t>
      </w:r>
    </w:p>
    <w:p>
      <w:pPr>
        <w:pStyle w:val="0"/>
        <w:spacing w:before="200" w:line-rule="auto"/>
        <w:ind w:firstLine="540"/>
        <w:jc w:val="both"/>
      </w:pPr>
      <w:r>
        <w:rPr>
          <w:sz w:val="20"/>
        </w:rPr>
        <w:t xml:space="preserve">57. Коэффициенты, учитывающие технологические особенности производства отдельных видов работ (например, разработка мокрого грунта, кирпичная кладка закругленных стен и тому подобное), применяются к количественным или стоимостным показателям строительных ресурсов (за исключением оборудования) в соответствии с положениями разделов "Общие положения" и "Приложения" соответствующих сборников сметных норм (единичных расценок), а также в соответствии с положениями сметных нормативов, сведения о которых включены в ФРСН.</w:t>
      </w:r>
    </w:p>
    <w:bookmarkStart w:id="250" w:name="P250"/>
    <w:bookmarkEnd w:id="250"/>
    <w:p>
      <w:pPr>
        <w:pStyle w:val="0"/>
        <w:spacing w:before="200" w:line-rule="auto"/>
        <w:ind w:firstLine="540"/>
        <w:jc w:val="both"/>
      </w:pPr>
      <w:r>
        <w:rPr>
          <w:sz w:val="20"/>
        </w:rPr>
        <w:t xml:space="preserve">58. При отсутствии необходимых сметных норм (единичных расценок), включенных в сборники ГЭСНр (ФЕРр, ТЕРр), сметные затраты на работы по капитальному ремонту и реконструкции объектов капитального строительства могут быть определены:</w:t>
      </w:r>
    </w:p>
    <w:p>
      <w:pPr>
        <w:pStyle w:val="0"/>
        <w:spacing w:before="200" w:line-rule="auto"/>
        <w:ind w:firstLine="540"/>
        <w:jc w:val="both"/>
      </w:pPr>
      <w:r>
        <w:rPr>
          <w:sz w:val="20"/>
        </w:rPr>
        <w:t xml:space="preserve">а) по сметным нормам ГЭСН (ФЕР, ТЕР) 81-02-46-XXXX "Работы при реконструкции зданий и сооружений";</w:t>
      </w:r>
    </w:p>
    <w:p>
      <w:pPr>
        <w:pStyle w:val="0"/>
        <w:spacing w:before="200" w:line-rule="auto"/>
        <w:ind w:firstLine="540"/>
        <w:jc w:val="both"/>
      </w:pPr>
      <w:r>
        <w:rPr>
          <w:sz w:val="20"/>
        </w:rPr>
        <w:t xml:space="preserve">б) по сметным нормам, включенным в ГЭСН (ФЕР, ТЕР), аналогичным технологическим процессам в новом строительстве, в том числе по возведению новых конструктивных элементов, с применением коэффициентов 1,15 к затратам труда (оплате труда) рабочих и 1,25 нормам времени (стоимости) эксплуатации машин и механизмов, затратам труда (оплате труда) машинистов.</w:t>
      </w:r>
    </w:p>
    <w:p>
      <w:pPr>
        <w:pStyle w:val="0"/>
        <w:spacing w:before="200" w:line-rule="auto"/>
        <w:ind w:firstLine="540"/>
        <w:jc w:val="both"/>
      </w:pPr>
      <w:r>
        <w:rPr>
          <w:sz w:val="20"/>
        </w:rPr>
        <w:t xml:space="preserve">59. Указанные в </w:t>
      </w:r>
      <w:hyperlink w:history="0" w:anchor="P250" w:tooltip="58. При отсутствии необходимых сметных норм (единичных расценок), включенных в сборники ГЭСНр (ФЕРр, ТЕРр), сметные затраты на работы по капитальному ремонту и реконструкции объектов капитального строительства могут быть определены:">
        <w:r>
          <w:rPr>
            <w:sz w:val="20"/>
            <w:color w:val="0000ff"/>
          </w:rPr>
          <w:t xml:space="preserve">пункте 58</w:t>
        </w:r>
      </w:hyperlink>
      <w:r>
        <w:rPr>
          <w:sz w:val="20"/>
        </w:rPr>
        <w:t xml:space="preserve"> Методики коэффициенты не применяются:</w:t>
      </w:r>
    </w:p>
    <w:p>
      <w:pPr>
        <w:pStyle w:val="0"/>
        <w:spacing w:before="200" w:line-rule="auto"/>
        <w:ind w:firstLine="540"/>
        <w:jc w:val="both"/>
      </w:pPr>
      <w:r>
        <w:rPr>
          <w:sz w:val="20"/>
        </w:rPr>
        <w:t xml:space="preserve">а) к сметным нормам и расценкам ГЭСН (ФЕР, ТЕР) 81-02-46-XXXX "Работы при реконструкции зданий и сооружений";</w:t>
      </w:r>
    </w:p>
    <w:p>
      <w:pPr>
        <w:pStyle w:val="0"/>
        <w:spacing w:before="200" w:line-rule="auto"/>
        <w:ind w:firstLine="540"/>
        <w:jc w:val="both"/>
      </w:pPr>
      <w:r>
        <w:rPr>
          <w:sz w:val="20"/>
        </w:rPr>
        <w:t xml:space="preserve">б) к сметным нормам и расценкам ГЭСНм (ФЕРм, ТЕРм), ГЭСНмр (ФЕРмр, ТЕРмр), ГЭСНр (ФЕРр, ТЕРр), ГЭСНрр (ФЕРрр, ТЕРрр), ГЭСНп (ФЕРп, ТЕРп);</w:t>
      </w:r>
    </w:p>
    <w:p>
      <w:pPr>
        <w:pStyle w:val="0"/>
        <w:spacing w:before="200" w:line-rule="auto"/>
        <w:ind w:firstLine="540"/>
        <w:jc w:val="both"/>
      </w:pPr>
      <w:r>
        <w:rPr>
          <w:sz w:val="20"/>
        </w:rPr>
        <w:t xml:space="preserve">в) на работы по разборке (демонтажу) строительных конструкций, систем и сетей инженерно-технического обеспечения, сметная стоимость которых определена с использованием сметных норм и расценок по разборке (демонтажу), включенных в ГЭСН (ФЕР, ТЕР);</w:t>
      </w:r>
    </w:p>
    <w:p>
      <w:pPr>
        <w:pStyle w:val="0"/>
        <w:spacing w:before="200" w:line-rule="auto"/>
        <w:ind w:firstLine="540"/>
        <w:jc w:val="both"/>
      </w:pPr>
      <w:r>
        <w:rPr>
          <w:sz w:val="20"/>
        </w:rPr>
        <w:t xml:space="preserve">г) на работы по разборке (демонтажу) строительных конструкций, систем и сетей инженерно-технического обеспечения в случае полной разборки (демонтажа) указанных конструкций, систем и сетей, сметная стоимость которых определена по сметным нормам и расценкам на устройство (монтаж) ГЭСН (ФЕР, ТЕР) с применением понижающих коэффициентов на разборку (демонтаж);</w:t>
      </w:r>
    </w:p>
    <w:p>
      <w:pPr>
        <w:pStyle w:val="0"/>
        <w:spacing w:before="200" w:line-rule="auto"/>
        <w:ind w:firstLine="540"/>
        <w:jc w:val="both"/>
      </w:pPr>
      <w:r>
        <w:rPr>
          <w:sz w:val="20"/>
        </w:rPr>
        <w:t xml:space="preserve">д) на работы по реконструкции и капитальному ремонту дорог и инженерных сооружений (в том числе гидротехнических сооружений, мостов, путепроводов и тому подобное) в объемах, обеспечивающих работы полноценными захватками, сметная стоимость которых определена по сметным нормам ГЭСН (ФЕР, ТЕР);</w:t>
      </w:r>
    </w:p>
    <w:p>
      <w:pPr>
        <w:pStyle w:val="0"/>
        <w:spacing w:before="200" w:line-rule="auto"/>
        <w:ind w:firstLine="540"/>
        <w:jc w:val="both"/>
      </w:pPr>
      <w:r>
        <w:rPr>
          <w:sz w:val="20"/>
        </w:rPr>
        <w:t xml:space="preserve">е) в случае невыполнения условий, приведенных в </w:t>
      </w:r>
      <w:hyperlink w:history="0" w:anchor="P260" w:tooltip="60. Коэффициенты, предусмотренные в пункте 58 Методики, учитывают:">
        <w:r>
          <w:rPr>
            <w:sz w:val="20"/>
            <w:color w:val="0000ff"/>
          </w:rPr>
          <w:t xml:space="preserve">пункте 60</w:t>
        </w:r>
      </w:hyperlink>
      <w:r>
        <w:rPr>
          <w:sz w:val="20"/>
        </w:rPr>
        <w:t xml:space="preserve"> Методики.</w:t>
      </w:r>
    </w:p>
    <w:bookmarkStart w:id="260" w:name="P260"/>
    <w:bookmarkEnd w:id="260"/>
    <w:p>
      <w:pPr>
        <w:pStyle w:val="0"/>
        <w:spacing w:before="200" w:line-rule="auto"/>
        <w:ind w:firstLine="540"/>
        <w:jc w:val="both"/>
      </w:pPr>
      <w:r>
        <w:rPr>
          <w:sz w:val="20"/>
        </w:rPr>
        <w:t xml:space="preserve">60. Коэффициенты, предусмотренные в </w:t>
      </w:r>
      <w:hyperlink w:history="0" w:anchor="P250" w:tooltip="58. При отсутствии необходимых сметных норм (единичных расценок), включенных в сборники ГЭСНр (ФЕРр, ТЕРр), сметные затраты на работы по капитальному ремонту и реконструкции объектов капитального строительства могут быть определены:">
        <w:r>
          <w:rPr>
            <w:sz w:val="20"/>
            <w:color w:val="0000ff"/>
          </w:rPr>
          <w:t xml:space="preserve">пункте 58</w:t>
        </w:r>
      </w:hyperlink>
      <w:r>
        <w:rPr>
          <w:sz w:val="20"/>
        </w:rPr>
        <w:t xml:space="preserve"> Методики, учитывают:</w:t>
      </w:r>
    </w:p>
    <w:p>
      <w:pPr>
        <w:pStyle w:val="0"/>
        <w:spacing w:before="200" w:line-rule="auto"/>
        <w:ind w:firstLine="540"/>
        <w:jc w:val="both"/>
      </w:pPr>
      <w:r>
        <w:rPr>
          <w:sz w:val="20"/>
        </w:rPr>
        <w:t xml:space="preserve">а) отсутствие возможности применения технологических схем производства работ, принятых в сметных нормах, включенных в сборники ГЭСН;</w:t>
      </w:r>
    </w:p>
    <w:p>
      <w:pPr>
        <w:pStyle w:val="0"/>
        <w:spacing w:before="200" w:line-rule="auto"/>
        <w:ind w:firstLine="540"/>
        <w:jc w:val="both"/>
      </w:pPr>
      <w:r>
        <w:rPr>
          <w:sz w:val="20"/>
        </w:rPr>
        <w:t xml:space="preserve">б) необходимость проведения работ отдельными малыми участками с ограниченным объемом работ, в том числе снижение производительности машин и механизмов.</w:t>
      </w:r>
    </w:p>
    <w:bookmarkStart w:id="263" w:name="P263"/>
    <w:bookmarkEnd w:id="263"/>
    <w:p>
      <w:pPr>
        <w:pStyle w:val="0"/>
        <w:spacing w:before="200" w:line-rule="auto"/>
        <w:ind w:firstLine="540"/>
        <w:jc w:val="both"/>
      </w:pPr>
      <w:r>
        <w:rPr>
          <w:sz w:val="20"/>
        </w:rPr>
        <w:t xml:space="preserve">60.1. При разработке локальных сметных расчетов (смет) на строительство объектов обороны и безопасности, особо опасных, технически сложных и уникальных объектов, включая линейные объекты капитального строительства, для которых в ФГИС ЦС отсутствуют утвержденные в установленном порядке среднемесячные размеры оплаты труда рабочего первого разряда, занятого в строительной отрасли, учитывающие отраслевую специфику, применяются поправочные коэффициенты к показателям оплаты труда рабочих и машинистов в размере 1,25.</w:t>
      </w:r>
    </w:p>
    <w:p>
      <w:pPr>
        <w:pStyle w:val="0"/>
        <w:jc w:val="both"/>
      </w:pPr>
      <w:r>
        <w:rPr>
          <w:sz w:val="20"/>
        </w:rPr>
        <w:t xml:space="preserve">(п. 60.1 введен </w:t>
      </w:r>
      <w:hyperlink w:history="0" r:id="rId7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bookmarkStart w:id="265" w:name="P265"/>
    <w:bookmarkEnd w:id="265"/>
    <w:p>
      <w:pPr>
        <w:pStyle w:val="0"/>
        <w:spacing w:before="200" w:line-rule="auto"/>
        <w:ind w:firstLine="540"/>
        <w:jc w:val="both"/>
      </w:pPr>
      <w:r>
        <w:rPr>
          <w:sz w:val="20"/>
        </w:rPr>
        <w:t xml:space="preserve">61. Коэффициенты, предусмотренные в </w:t>
      </w:r>
      <w:hyperlink w:history="0" w:anchor="P250" w:tooltip="58. При отсутствии необходимых сметных норм (единичных расценок), включенных в сборники ГЭСНр (ФЕРр, ТЕРр), сметные затраты на работы по капитальному ремонту и реконструкции объектов капитального строительства могут быть определены:">
        <w:r>
          <w:rPr>
            <w:sz w:val="20"/>
            <w:color w:val="0000ff"/>
          </w:rPr>
          <w:t xml:space="preserve">пунктах 58</w:t>
        </w:r>
      </w:hyperlink>
      <w:r>
        <w:rPr>
          <w:sz w:val="20"/>
        </w:rPr>
        <w:t xml:space="preserve"> и </w:t>
      </w:r>
      <w:hyperlink w:history="0" w:anchor="P263" w:tooltip="60.1. При разработке локальных сметных расчетов (смет) на строительство объектов обороны и безопасности, особо опасных, технически сложных и уникальных объектов, включая линейные объекты капитального строительства, для которых в ФГИС ЦС отсутствуют утвержденные в установленном порядке среднемесячные размеры оплаты труда рабочего первого разряда, занятого в строительной отрасли, учитывающие отраслевую специфику, применяются поправочные коэффициенты к показателям оплаты труда рабочих и машинистов в размере...">
        <w:r>
          <w:rPr>
            <w:sz w:val="20"/>
            <w:color w:val="0000ff"/>
          </w:rPr>
          <w:t xml:space="preserve">60.1</w:t>
        </w:r>
      </w:hyperlink>
      <w:r>
        <w:rPr>
          <w:sz w:val="20"/>
        </w:rPr>
        <w:t xml:space="preserve"> Методики, применяются при определении сметной стоимости одновременно с коэффициентами, учитывающими усложняющие факторы и условия производства работ, а также коэффициентами, учитывающими технологические особенности производства отдельных видов работ в порядке, определенном </w:t>
      </w:r>
      <w:hyperlink w:history="0" w:anchor="P248" w:tooltip="56. Коэффициенты, учитывающие усложняющие факторы и условия производства работ, применяются одновременно с другими коэффициентами в порядке, установленном Методикой. При одновременном применении коэффициенты перемножаются, результат округляется до семи знаков после запятой.">
        <w:r>
          <w:rPr>
            <w:sz w:val="20"/>
            <w:color w:val="0000ff"/>
          </w:rPr>
          <w:t xml:space="preserve">пунктом 56</w:t>
        </w:r>
      </w:hyperlink>
      <w:r>
        <w:rPr>
          <w:sz w:val="20"/>
        </w:rPr>
        <w:t xml:space="preserve"> Методики.</w:t>
      </w:r>
    </w:p>
    <w:p>
      <w:pPr>
        <w:pStyle w:val="0"/>
        <w:jc w:val="both"/>
      </w:pPr>
      <w:r>
        <w:rPr>
          <w:sz w:val="20"/>
        </w:rPr>
        <w:t xml:space="preserve">(в ред. </w:t>
      </w:r>
      <w:hyperlink w:history="0" r:id="rId7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267" w:name="P267"/>
    <w:bookmarkEnd w:id="267"/>
    <w:p>
      <w:pPr>
        <w:pStyle w:val="0"/>
        <w:spacing w:before="200" w:line-rule="auto"/>
        <w:ind w:firstLine="540"/>
        <w:jc w:val="both"/>
      </w:pPr>
      <w:r>
        <w:rPr>
          <w:sz w:val="20"/>
        </w:rPr>
        <w:t xml:space="preserve">62. При определении сметных затрат на демонтаж строительных конструкций и оборудования стоимость погрузки, перевозки (от строительной площадки до места утилизации или складирования) и разгрузки строительного мусора и материалов, полученных при разборке строительных конструкций и оборудования, а также оборачиваемых материалов и конструкций (при соответствующем указании в разделе "Общие положения" сборников сметных норм (единичных расценок), следует учитывать дополнительно.</w:t>
      </w:r>
    </w:p>
    <w:p>
      <w:pPr>
        <w:pStyle w:val="0"/>
        <w:jc w:val="both"/>
      </w:pPr>
      <w:r>
        <w:rPr>
          <w:sz w:val="20"/>
        </w:rPr>
        <w:t xml:space="preserve">(в ред. </w:t>
      </w:r>
      <w:hyperlink w:history="0" r:id="rId7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Наименование, перечень, масса и расстояние перевозки строительного мусора и материалов, полученных при разборке, определяются на основании проектной и (или) иной технической документации, проекта организации работ по сносу объекта капитального строительства.</w:t>
      </w:r>
    </w:p>
    <w:bookmarkStart w:id="270" w:name="P270"/>
    <w:bookmarkEnd w:id="270"/>
    <w:p>
      <w:pPr>
        <w:pStyle w:val="0"/>
        <w:spacing w:before="200" w:line-rule="auto"/>
        <w:ind w:firstLine="540"/>
        <w:jc w:val="both"/>
      </w:pPr>
      <w:r>
        <w:rPr>
          <w:sz w:val="20"/>
        </w:rPr>
        <w:t xml:space="preserve">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перевозку грузов для строительства на расстояние, указанное в проектной и (или) иной технической документации, включаются с учетом объема перевозимых грузов.</w:t>
      </w:r>
    </w:p>
    <w:p>
      <w:pPr>
        <w:pStyle w:val="0"/>
        <w:spacing w:before="200" w:line-rule="auto"/>
        <w:ind w:firstLine="540"/>
        <w:jc w:val="both"/>
      </w:pPr>
      <w:r>
        <w:rPr>
          <w:sz w:val="20"/>
        </w:rPr>
        <w:t xml:space="preserve">Затраты на перевозку грузов для строительства на дополнительное расстояние, а также на погрузочно-разгрузочные работы в случаях, предусмотренных сметными нормативами, сведения о которых включены в ФРСН, приводятся в локальных сметных расчетах (сметах) отдельными строками с одновременным указанием кода строительного ресурса, к которому относятся указанные затраты. Дополнительные затраты на перевозку, а также на погрузо-разгрузочные работы материальных ресурсов в локальных расчетах (сметах) относятся к сметной стоимости материалов. Дополнительные затраты на перевозку и погрузочно-разгрузочные работы оборудования в локальных расчетах (сметах) включаются в сметную стоимость оборудования.</w:t>
      </w:r>
    </w:p>
    <w:p>
      <w:pPr>
        <w:pStyle w:val="0"/>
        <w:jc w:val="both"/>
      </w:pPr>
      <w:r>
        <w:rPr>
          <w:sz w:val="20"/>
        </w:rPr>
        <w:t xml:space="preserve">(п. 63 в ред. </w:t>
      </w:r>
      <w:hyperlink w:history="0" r:id="rId8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64. Сметная стоимость перебазировки машин с базы механизации на строительную площадку и обратно со строительной площадки на базу механизации, по которым данные затраты не включены в сметную цену эксплуатации машин и механизмов, но обоснованы проектной и (или) иной технической документацией, учитывается дополнительно отдельной строкой в главе 9 "Прочие работы и затраты" сводного сметного расчета (графы 7 и 8). Указанные затраты определяются на основании расчета, выполненного в соответствии со сметными нормативами, сведения о которых включены в ФРСН.</w:t>
      </w:r>
    </w:p>
    <w:p>
      <w:pPr>
        <w:pStyle w:val="0"/>
        <w:jc w:val="both"/>
      </w:pPr>
      <w:r>
        <w:rPr>
          <w:sz w:val="20"/>
        </w:rPr>
        <w:t xml:space="preserve">(п. 64 в ред. </w:t>
      </w:r>
      <w:hyperlink w:history="0" r:id="rId8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65. В случае, если проектной и (или) иной технической документацией предусмотрено приготовление (изготовление) отдельных материальных ресурсов (бетон, раствор, битум, асфальтобетонные и черные щебеночные смеси, битумные эмульсии, металлические конструкции и другие) в построечных условиях или условиях производственных баз, указанные затраты определяются в локальных сметных расчетах (сметах) по соответствующим сметным нормам (единичным расценкам), сведения о которых включены в ФРСН либо в соответствии с положениями и размерами, указанными в разделах "Общие положения" и "Приложения" сметных норм, единичных расценок.</w:t>
      </w:r>
    </w:p>
    <w:p>
      <w:pPr>
        <w:pStyle w:val="0"/>
        <w:jc w:val="both"/>
      </w:pPr>
      <w:r>
        <w:rPr>
          <w:sz w:val="20"/>
        </w:rPr>
        <w:t xml:space="preserve">(в ред. </w:t>
      </w:r>
      <w:hyperlink w:history="0" r:id="rId8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277" w:name="P277"/>
    <w:bookmarkEnd w:id="277"/>
    <w:p>
      <w:pPr>
        <w:pStyle w:val="0"/>
        <w:spacing w:before="200" w:line-rule="auto"/>
        <w:ind w:firstLine="540"/>
        <w:jc w:val="both"/>
      </w:pPr>
      <w:r>
        <w:rPr>
          <w:sz w:val="20"/>
        </w:rPr>
        <w:t xml:space="preserve">66. Сметная стоимость материальных ресурсов, учтенных в сметных нормах с обобщенным наименованием и указанием кода группы или не учтенных в единичных расценках, расход которых зависит от проектных решений, определяется на основании данных проектной и (или) иной технической документации об их количестве с учетом нормативов трудноустранимых потерь и отходов, определяемых по проектным данным (при наличии) или в соответствии с положениями сметных нормативов, сведения о которых включены в ФРСН.</w:t>
      </w:r>
    </w:p>
    <w:p>
      <w:pPr>
        <w:pStyle w:val="0"/>
        <w:spacing w:before="200" w:line-rule="auto"/>
        <w:ind w:firstLine="540"/>
        <w:jc w:val="both"/>
      </w:pPr>
      <w:r>
        <w:rPr>
          <w:sz w:val="20"/>
        </w:rPr>
        <w:t xml:space="preserve">67. Сметная стоимость материальных ресурсов, используемых несколько раз при выполнении отдельных видов работ в соответствии с технологией строительного производства (далее - оборачиваемые ресурсы), определяется на основании данных об их количестве с учетом неоднократной оборачиваемости, приведенных в сметных нормах.</w:t>
      </w:r>
    </w:p>
    <w:p>
      <w:pPr>
        <w:pStyle w:val="0"/>
        <w:spacing w:before="200" w:line-rule="auto"/>
        <w:ind w:firstLine="540"/>
        <w:jc w:val="both"/>
      </w:pPr>
      <w:r>
        <w:rPr>
          <w:sz w:val="20"/>
        </w:rPr>
        <w:t xml:space="preserve">68. Сметная стоимость оборачиваемых ресурсов, учтенных в сметных нормах с обобщенным наименованием и указанием кода группы или не учтенных в единичных расценках и приведенных с литерой "П", определяется с учетом их нормативной оборачиваемости, указанной в соответствующих разделах сборников сметных норм (единичных расценок).</w:t>
      </w:r>
    </w:p>
    <w:p>
      <w:pPr>
        <w:pStyle w:val="0"/>
        <w:spacing w:before="200" w:line-rule="auto"/>
        <w:ind w:firstLine="540"/>
        <w:jc w:val="both"/>
      </w:pPr>
      <w:r>
        <w:rPr>
          <w:sz w:val="20"/>
        </w:rPr>
        <w:t xml:space="preserve">69. В случаях, когда при обосновании проектом организации строительства (далее - ПОС) на объекте невозможно достичь нормативного числа оборота отдельных материалов (опалубка, крепления и тому подобное), оборачиваемость которых учтена сметными нормами, норма расхода таких материалов корректируется на основании данных проектной документации с учетом положений сметных нормативов, сведения о которых включены в ФРСН, устанавливающих методы применения нормативов трудноустранимых потерь и отходов материальных ресурсов.</w:t>
      </w:r>
    </w:p>
    <w:p>
      <w:pPr>
        <w:pStyle w:val="0"/>
        <w:spacing w:before="200" w:line-rule="auto"/>
        <w:ind w:firstLine="540"/>
        <w:jc w:val="both"/>
      </w:pPr>
      <w:r>
        <w:rPr>
          <w:sz w:val="20"/>
        </w:rPr>
        <w:t xml:space="preserve">70. Стоимость материальных ресурсов и оборудования, указанных в проектной, а также иной технической документации и (или) задании на проектирование, учитывается в сметной документации, вне зависимости от условий их приобретения (заказчиком, подрядчиком).</w:t>
      </w:r>
    </w:p>
    <w:p>
      <w:pPr>
        <w:pStyle w:val="0"/>
        <w:spacing w:before="200" w:line-rule="auto"/>
        <w:ind w:firstLine="540"/>
        <w:jc w:val="both"/>
      </w:pPr>
      <w:r>
        <w:rPr>
          <w:sz w:val="20"/>
        </w:rPr>
        <w:t xml:space="preserve">71. В случае, если проектной документацией предусмотрено применение годных для повторного использования (ранее использованных один и более раз) материальных ресурсов, их стоимость в текущем уровне цен определяется заказчиком с учетом оценки возможного повторного использования, в размерах, не превышающих сметные цены соответствующих новых материальных ресурсов в текущем уровне цен, с учетом степени их износа на основании локальных нормативных актов, утвержденных заказчиком.</w:t>
      </w:r>
    </w:p>
    <w:p>
      <w:pPr>
        <w:pStyle w:val="0"/>
        <w:jc w:val="both"/>
      </w:pPr>
      <w:r>
        <w:rPr>
          <w:sz w:val="20"/>
        </w:rPr>
        <w:t xml:space="preserve">(п. 71 в ред. </w:t>
      </w:r>
      <w:hyperlink w:history="0" r:id="rId8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72. В локальных сметных расчетах (сметах) учитываются сметные прямые затраты, сметная стоимость оборудования, накладные расходы и сметная прибыль.</w:t>
      </w:r>
    </w:p>
    <w:bookmarkStart w:id="285" w:name="P285"/>
    <w:bookmarkEnd w:id="285"/>
    <w:p>
      <w:pPr>
        <w:pStyle w:val="0"/>
        <w:spacing w:before="200" w:line-rule="auto"/>
        <w:ind w:firstLine="540"/>
        <w:jc w:val="both"/>
      </w:pPr>
      <w:r>
        <w:rPr>
          <w:sz w:val="20"/>
        </w:rPr>
        <w:t xml:space="preserve">73. В составе сметных прямых затрат при обосновании проектной и (или) иной технической документацией дополнительно учитывается разница в стоимости электроэнергии, получаемой от передвижных источников снабжения, по сравнению со стоимостью электроэнергии, передаваемой от производителей единой энергетической системы России, относимая на стоимость материальных ресурсов.</w:t>
      </w:r>
    </w:p>
    <w:p>
      <w:pPr>
        <w:pStyle w:val="0"/>
        <w:jc w:val="both"/>
      </w:pPr>
      <w:r>
        <w:rPr>
          <w:sz w:val="20"/>
        </w:rPr>
        <w:t xml:space="preserve">(в ред. </w:t>
      </w:r>
      <w:hyperlink w:history="0" r:id="rId8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Стоимость электроэнергии, получаемой от передвижных источников снабжения, рассчитывается как произведение времени и стоимости 1 маш.-ч эксплуатации соответствующего передвижного источника снабжения (с учетом накладных расходов и сметной прибыли), исходя из его выработки в кВт-ч. Время эксплуатации определяется в соответствии с проектной и (или) иной технической документацией, стоимость в соответствии с </w:t>
      </w:r>
      <w:hyperlink w:history="0" w:anchor="P199" w:tooltip="44. Сметная стоимость строительства, определенная с применением базисно-индексного метода, приводится в локальных сметных расчетах (сметах) в двух уровнях цен: базисном и текущем.">
        <w:r>
          <w:rPr>
            <w:sz w:val="20"/>
            <w:color w:val="0000ff"/>
          </w:rPr>
          <w:t xml:space="preserve">пунктами 44</w:t>
        </w:r>
      </w:hyperlink>
      <w:r>
        <w:rPr>
          <w:sz w:val="20"/>
        </w:rPr>
        <w:t xml:space="preserve"> или </w:t>
      </w:r>
      <w:hyperlink w:history="0" w:anchor="P349" w:tooltip="81. Сметная стоимость эксплуатации машин и механизмов (ЭММтек) определяется в текущем уровне цен на основании данных о составе, времени эксплуатации и сметных ценах на эксплуатацию машин и механизмов по формуле (2):">
        <w:r>
          <w:rPr>
            <w:sz w:val="20"/>
            <w:color w:val="0000ff"/>
          </w:rPr>
          <w:t xml:space="preserve">81</w:t>
        </w:r>
      </w:hyperlink>
      <w:r>
        <w:rPr>
          <w:sz w:val="20"/>
        </w:rPr>
        <w:t xml:space="preserve"> - </w:t>
      </w:r>
      <w:hyperlink w:history="0" w:anchor="P369" w:tooltip="83. Сметные цены на эксплуатацию машин и механизмов  определяются на основании данных ФГИС ЦС. При этом, сметные цены на эксплуатацию несерийных строительных машин в текущем уровне цен (Смаш.р) определяются по формуле (3.1):">
        <w:r>
          <w:rPr>
            <w:sz w:val="20"/>
            <w:color w:val="0000ff"/>
          </w:rPr>
          <w:t xml:space="preserve">83</w:t>
        </w:r>
      </w:hyperlink>
      <w:r>
        <w:rPr>
          <w:sz w:val="20"/>
        </w:rPr>
        <w:t xml:space="preserve"> Методики, а также </w:t>
      </w:r>
      <w:hyperlink w:history="0" w:anchor="P437" w:tooltip="94. Сметная стоимость эксплуатации машин и механизмов (ЭММтек) определяется в текущем уровне цен на основании данных о составе, времени эксплуатации и размещенных в ФГИС ЦС сметных ценах на эксплуатацию машин и механизмов по формуле (2) с учетом положений, изложенных в пунктах 81 - 84 Методики.">
        <w:r>
          <w:rPr>
            <w:sz w:val="20"/>
            <w:color w:val="0000ff"/>
          </w:rPr>
          <w:t xml:space="preserve">пунктами 94</w:t>
        </w:r>
      </w:hyperlink>
      <w:r>
        <w:rPr>
          <w:sz w:val="20"/>
        </w:rPr>
        <w:t xml:space="preserve"> и </w:t>
      </w:r>
      <w:hyperlink w:history="0" w:anchor="P438" w:tooltip="95. При отсутствии данных по отдельным строительным машинам и механизмам в ФГИС ЦС сметная цена их эксплуатации в текущем уровне рассчитывается как произведение сметной цены таких машин и механизмов в базисном уровне цен и индексов к группам аналогичных машин и механизмов.">
        <w:r>
          <w:rPr>
            <w:sz w:val="20"/>
            <w:color w:val="0000ff"/>
          </w:rPr>
          <w:t xml:space="preserve">95</w:t>
        </w:r>
      </w:hyperlink>
      <w:r>
        <w:rPr>
          <w:sz w:val="20"/>
        </w:rPr>
        <w:t xml:space="preserve"> Методики в зависимости от применяемого метода определения сметной стоимости.</w:t>
      </w:r>
    </w:p>
    <w:p>
      <w:pPr>
        <w:pStyle w:val="0"/>
        <w:spacing w:before="200" w:line-rule="auto"/>
        <w:ind w:firstLine="540"/>
        <w:jc w:val="both"/>
      </w:pPr>
      <w:r>
        <w:rPr>
          <w:sz w:val="20"/>
        </w:rPr>
        <w:t xml:space="preserve">Стоимость электроэнергии, передаваемой от производителей единой энергетической системы России, определяется произведением потребности в электроэнергии и стоимости электроэнергии. Потребность в электроэнергии определяется на основании проектной и (или) иной технической документации, стоимость электроэнергии по ценам (тарифам), утверждаемым в соответствии с законодательством Российской Федерации в области регулируемых цен (тарифов) в электроэнергетике.</w:t>
      </w:r>
    </w:p>
    <w:p>
      <w:pPr>
        <w:pStyle w:val="0"/>
        <w:spacing w:before="200" w:line-rule="auto"/>
        <w:ind w:firstLine="540"/>
        <w:jc w:val="both"/>
      </w:pPr>
      <w:r>
        <w:rPr>
          <w:sz w:val="20"/>
        </w:rPr>
        <w:t xml:space="preserve">74. Затраты на электроэнергию, потребляемую ручным инструментом, относятся к сметной стоимости материальных ресурсов, учитываются в локальных сметных расчетах дополнительно отдельной строкой в случаях и размерах, указанных в разделах "Общие положения" и "Приложения" сметных норм, единичных расценок.</w:t>
      </w:r>
    </w:p>
    <w:p>
      <w:pPr>
        <w:pStyle w:val="0"/>
        <w:jc w:val="both"/>
      </w:pPr>
      <w:r>
        <w:rPr>
          <w:sz w:val="20"/>
        </w:rPr>
        <w:t xml:space="preserve">(в ред. </w:t>
      </w:r>
      <w:hyperlink w:history="0" r:id="rId8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291" w:name="P291"/>
    <w:bookmarkEnd w:id="291"/>
    <w:p>
      <w:pPr>
        <w:pStyle w:val="0"/>
        <w:spacing w:before="200" w:line-rule="auto"/>
        <w:ind w:firstLine="540"/>
        <w:jc w:val="both"/>
      </w:pPr>
      <w:r>
        <w:rPr>
          <w:sz w:val="20"/>
        </w:rPr>
        <w:t xml:space="preserve">75. При определении сметной стоимости работ с использованием сметных норм на монтаж оборудования (далее - ГЭСНм) и капитальный ремонт оборудования (далее - ГЭСНмр) дополнительно следует учитывать сметную стоимость вспомогательных ненормируемых материальных ресурсов, не учтенных в указанных сметных нормах (например, ветошь, бумага, керосин, бензин, смазочное масло, солидол) в следующих размерах:</w:t>
      </w:r>
    </w:p>
    <w:p>
      <w:pPr>
        <w:pStyle w:val="0"/>
        <w:spacing w:before="200" w:line-rule="auto"/>
        <w:ind w:firstLine="540"/>
        <w:jc w:val="both"/>
      </w:pPr>
      <w:r>
        <w:rPr>
          <w:sz w:val="20"/>
        </w:rPr>
        <w:t xml:space="preserve">а) 2 (два) процента от сметной оплаты труда рабочих, определенной на основании затрат труда, указанных в ГЭСНм;</w:t>
      </w:r>
    </w:p>
    <w:p>
      <w:pPr>
        <w:pStyle w:val="0"/>
        <w:spacing w:before="200" w:line-rule="auto"/>
        <w:ind w:firstLine="540"/>
        <w:jc w:val="both"/>
      </w:pPr>
      <w:r>
        <w:rPr>
          <w:sz w:val="20"/>
        </w:rPr>
        <w:t xml:space="preserve">б) 3 (три) процента от сметной оплаты труда рабочих, определенной на основании затрат труда, указанных в ГЭСНмр.</w:t>
      </w:r>
    </w:p>
    <w:p>
      <w:pPr>
        <w:pStyle w:val="0"/>
        <w:spacing w:before="200" w:line-rule="auto"/>
        <w:ind w:firstLine="540"/>
        <w:jc w:val="both"/>
      </w:pPr>
      <w:r>
        <w:rPr>
          <w:sz w:val="20"/>
        </w:rPr>
        <w:t xml:space="preserve">76. Стоимость накладных расходов и сметной прибыли в локальных сметных расчетах (сметах) определяется с применением сметных нормативов, сведения о которых включены в ФРСН, и приводится:</w:t>
      </w:r>
    </w:p>
    <w:p>
      <w:pPr>
        <w:pStyle w:val="0"/>
        <w:spacing w:before="200" w:line-rule="auto"/>
        <w:ind w:firstLine="540"/>
        <w:jc w:val="both"/>
      </w:pPr>
      <w:r>
        <w:rPr>
          <w:sz w:val="20"/>
        </w:rPr>
        <w:t xml:space="preserve">а) по итогу каждой позиции;</w:t>
      </w:r>
    </w:p>
    <w:p>
      <w:pPr>
        <w:pStyle w:val="0"/>
        <w:spacing w:before="200" w:line-rule="auto"/>
        <w:ind w:firstLine="540"/>
        <w:jc w:val="both"/>
      </w:pPr>
      <w:r>
        <w:rPr>
          <w:sz w:val="20"/>
        </w:rPr>
        <w:t xml:space="preserve">б) после итога прямых затрат по разделам (при формировании разделов);</w:t>
      </w:r>
    </w:p>
    <w:p>
      <w:pPr>
        <w:pStyle w:val="0"/>
        <w:spacing w:before="200" w:line-rule="auto"/>
        <w:ind w:firstLine="540"/>
        <w:jc w:val="both"/>
      </w:pPr>
      <w:r>
        <w:rPr>
          <w:sz w:val="20"/>
        </w:rPr>
        <w:t xml:space="preserve">в) после итога прямых затрат по локальному сметному расчету (смете).</w:t>
      </w:r>
    </w:p>
    <w:p>
      <w:pPr>
        <w:pStyle w:val="0"/>
        <w:spacing w:before="200" w:line-rule="auto"/>
        <w:ind w:firstLine="540"/>
        <w:jc w:val="both"/>
      </w:pPr>
      <w:r>
        <w:rPr>
          <w:sz w:val="20"/>
        </w:rPr>
        <w:t xml:space="preserve">77. В локальных сметных расчетах по каждой позиции приводятся итоговые данные составляющих сметных прямых затрат, оборудования, накладных расходов и сметной прибыли.</w:t>
      </w:r>
    </w:p>
    <w:p>
      <w:pPr>
        <w:pStyle w:val="0"/>
        <w:jc w:val="both"/>
      </w:pPr>
      <w:r>
        <w:rPr>
          <w:sz w:val="20"/>
        </w:rPr>
        <w:t xml:space="preserve">(п. 77 в ред. </w:t>
      </w:r>
      <w:hyperlink w:history="0" r:id="rId8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78. Итоги по разделам и по локальному сметному расчету (смете) включают данные о сметной стоимости прямых затрат, включая затраты на перевозку, накладных расходов, сметной прибыли, оборудования и суммарные итоги по разделу (смете), при этом сметная стоимость материальных ресурсов и оборудования, определенная на основании конъюнктурного анализа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указывается дополнительно отдельно.</w:t>
      </w:r>
    </w:p>
    <w:p>
      <w:pPr>
        <w:pStyle w:val="0"/>
        <w:jc w:val="both"/>
      </w:pPr>
      <w:r>
        <w:rPr>
          <w:sz w:val="20"/>
        </w:rPr>
        <w:t xml:space="preserve">(п. 78 в ред. </w:t>
      </w:r>
      <w:hyperlink w:history="0" r:id="rId8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bookmarkStart w:id="303" w:name="P303"/>
    <w:bookmarkEnd w:id="303"/>
    <w:p>
      <w:pPr>
        <w:pStyle w:val="2"/>
        <w:outlineLvl w:val="1"/>
        <w:jc w:val="center"/>
      </w:pPr>
      <w:r>
        <w:rPr>
          <w:sz w:val="20"/>
        </w:rPr>
        <w:t xml:space="preserve">IV. Особенности определения сметной стоимости</w:t>
      </w:r>
    </w:p>
    <w:p>
      <w:pPr>
        <w:pStyle w:val="2"/>
        <w:jc w:val="center"/>
      </w:pPr>
      <w:r>
        <w:rPr>
          <w:sz w:val="20"/>
        </w:rPr>
        <w:t xml:space="preserve">оплаты труда, эксплуатации машин и механизмов, материальных</w:t>
      </w:r>
    </w:p>
    <w:p>
      <w:pPr>
        <w:pStyle w:val="2"/>
        <w:jc w:val="center"/>
      </w:pPr>
      <w:r>
        <w:rPr>
          <w:sz w:val="20"/>
        </w:rPr>
        <w:t xml:space="preserve">ресурсов и оборудования при разработке локальных сметных</w:t>
      </w:r>
    </w:p>
    <w:p>
      <w:pPr>
        <w:pStyle w:val="2"/>
        <w:jc w:val="center"/>
      </w:pPr>
      <w:r>
        <w:rPr>
          <w:sz w:val="20"/>
        </w:rPr>
        <w:t xml:space="preserve">расчетов (смет) ресурсным методом</w:t>
      </w:r>
    </w:p>
    <w:p>
      <w:pPr>
        <w:pStyle w:val="0"/>
        <w:jc w:val="both"/>
      </w:pPr>
      <w:r>
        <w:rPr>
          <w:sz w:val="20"/>
        </w:rPr>
      </w:r>
    </w:p>
    <w:bookmarkStart w:id="308" w:name="P308"/>
    <w:bookmarkEnd w:id="308"/>
    <w:p>
      <w:pPr>
        <w:pStyle w:val="0"/>
        <w:ind w:firstLine="540"/>
        <w:jc w:val="both"/>
      </w:pPr>
      <w:r>
        <w:rPr>
          <w:sz w:val="20"/>
        </w:rPr>
        <w:t xml:space="preserve">79. Размер средств на оплату труда рабочих (ОТ</w:t>
      </w:r>
      <w:r>
        <w:rPr>
          <w:sz w:val="20"/>
          <w:vertAlign w:val="subscript"/>
        </w:rPr>
        <w:t xml:space="preserve">тек</w:t>
      </w:r>
      <w:r>
        <w:rPr>
          <w:sz w:val="20"/>
        </w:rPr>
        <w:t xml:space="preserve">) определяется в текущем уровне цен на основании сметных норм, сметных цен на затраты труда и данных об объемах работ, принятых в проектной и (или) иной технической документации по формуле (1):</w:t>
      </w:r>
    </w:p>
    <w:p>
      <w:pPr>
        <w:pStyle w:val="0"/>
        <w:jc w:val="both"/>
      </w:pPr>
      <w:r>
        <w:rPr>
          <w:sz w:val="20"/>
        </w:rPr>
      </w:r>
    </w:p>
    <w:bookmarkStart w:id="310" w:name="P310"/>
    <w:bookmarkEnd w:id="310"/>
    <w:p>
      <w:pPr>
        <w:pStyle w:val="0"/>
        <w:jc w:val="center"/>
      </w:pPr>
      <w:r>
        <w:rPr>
          <w:position w:val="-23"/>
        </w:rPr>
        <w:drawing>
          <wp:inline distT="0" distB="0" distL="0" distR="0">
            <wp:extent cx="21717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val="0"/>
                        </a:ext>
                      </a:extLst>
                    </a:blip>
                    <a:srcRect/>
                    <a:stretch>
                      <a:fillRect/>
                    </a:stretch>
                  </pic:blipFill>
                  <pic:spPr bwMode="auto">
                    <a:xfrm>
                      <a:off x="0" y="0"/>
                      <a:ext cx="2171700" cy="4286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ЗТ</w:t>
      </w:r>
      <w:r>
        <w:rPr>
          <w:sz w:val="20"/>
          <w:vertAlign w:val="subscript"/>
        </w:rPr>
        <w:t xml:space="preserve">i</w:t>
      </w:r>
      <w:r>
        <w:rPr>
          <w:sz w:val="20"/>
        </w:rPr>
        <w:t xml:space="preserve"> - затраты труда рабочих, работников - исполнителей реставрационных работ или пусконаладочного персонала на измеритель сметной нормы по i-ой сметной норме, чел.-ч;</w:t>
      </w:r>
    </w:p>
    <w:p>
      <w:pPr>
        <w:pStyle w:val="0"/>
        <w:spacing w:before="200" w:line-rule="auto"/>
        <w:ind w:firstLine="540"/>
        <w:jc w:val="both"/>
      </w:pPr>
      <w:r>
        <w:rPr>
          <w:position w:val="-8"/>
        </w:rPr>
        <w:drawing>
          <wp:inline distT="0" distB="0" distL="0" distR="0">
            <wp:extent cx="419100"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419100" cy="238125"/>
                    </a:xfrm>
                    <a:prstGeom prst="rect">
                      <a:avLst/>
                    </a:prstGeom>
                    <a:noFill/>
                    <a:ln>
                      <a:noFill/>
                    </a:ln>
                  </pic:spPr>
                </pic:pic>
              </a:graphicData>
            </a:graphic>
          </wp:inline>
        </w:drawing>
      </w:r>
      <w:r>
        <w:rPr>
          <w:sz w:val="20"/>
        </w:rPr>
        <w:t xml:space="preserve"> - сметная цена на затраты труда соответствующего среднего разряда работы или категории работников - исполнителей реставрационных работ, пусконаладочного персонала в текущем уровне цен, руб./чел.-ч;</w:t>
      </w:r>
    </w:p>
    <w:p>
      <w:pPr>
        <w:pStyle w:val="0"/>
        <w:jc w:val="both"/>
      </w:pPr>
      <w:r>
        <w:rPr>
          <w:sz w:val="20"/>
        </w:rPr>
        <w:t xml:space="preserve">(в ред. </w:t>
      </w:r>
      <w:hyperlink w:history="0" r:id="rId9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V</w:t>
      </w:r>
      <w:r>
        <w:rPr>
          <w:sz w:val="20"/>
          <w:vertAlign w:val="subscript"/>
        </w:rPr>
        <w:t xml:space="preserve">i</w:t>
      </w:r>
      <w:r>
        <w:rPr>
          <w:sz w:val="20"/>
        </w:rPr>
        <w:t xml:space="preserve"> - объем работ по i-ой сметной норме в соответствии с ее измерителем;</w:t>
      </w:r>
    </w:p>
    <w:p>
      <w:pPr>
        <w:pStyle w:val="0"/>
        <w:spacing w:before="200" w:line-rule="auto"/>
        <w:ind w:firstLine="540"/>
        <w:jc w:val="both"/>
      </w:pPr>
      <w:r>
        <w:rPr>
          <w:sz w:val="20"/>
        </w:rPr>
        <w:t xml:space="preserve">i = 1 </w:t>
      </w:r>
      <w:r>
        <w:drawing>
          <wp:inline distT="0" distB="0" distL="0" distR="0">
            <wp:extent cx="123825" cy="12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sz w:val="20"/>
        </w:rPr>
        <w:t xml:space="preserve"> I, где:</w:t>
      </w:r>
    </w:p>
    <w:p>
      <w:pPr>
        <w:pStyle w:val="0"/>
        <w:jc w:val="both"/>
      </w:pPr>
      <w:r>
        <w:rPr>
          <w:sz w:val="20"/>
        </w:rPr>
        <w:t xml:space="preserve">(в ред. </w:t>
      </w:r>
      <w:hyperlink w:history="0" r:id="rId9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I - количество сметных норм в локальном сметном расчете (смете).</w:t>
      </w:r>
    </w:p>
    <w:bookmarkStart w:id="320" w:name="P320"/>
    <w:bookmarkEnd w:id="320"/>
    <w:p>
      <w:pPr>
        <w:pStyle w:val="0"/>
        <w:spacing w:before="200" w:line-rule="auto"/>
        <w:ind w:firstLine="540"/>
        <w:jc w:val="both"/>
      </w:pPr>
      <w:r>
        <w:rPr>
          <w:sz w:val="20"/>
        </w:rPr>
        <w:t xml:space="preserve">80. Затраты труда рабочих, работников - исполнителей реставрационных работ или пусконаладочного персонала на измеритель сметной нормы, а также средний разряд работ или состав звена пусконаладочного персонала определяются на основании сметных норм.</w:t>
      </w:r>
    </w:p>
    <w:p>
      <w:pPr>
        <w:pStyle w:val="0"/>
        <w:spacing w:before="200" w:line-rule="auto"/>
        <w:ind w:firstLine="540"/>
        <w:jc w:val="both"/>
      </w:pPr>
      <w:r>
        <w:rPr>
          <w:sz w:val="20"/>
        </w:rPr>
        <w:t xml:space="preserve">Сметная цена на затраты труда принимается с учетом среднего разряда работы на основании данных ФГИС ЦС.</w:t>
      </w:r>
    </w:p>
    <w:p>
      <w:pPr>
        <w:pStyle w:val="0"/>
        <w:spacing w:before="200" w:line-rule="auto"/>
        <w:ind w:firstLine="540"/>
        <w:jc w:val="both"/>
      </w:pPr>
      <w:r>
        <w:rPr>
          <w:sz w:val="20"/>
        </w:rPr>
        <w:t xml:space="preserve">При обосновании проектной и (или) иной технической документацией к затратам труда и (или) сметным ценам на затраты труда применяются коэффициенты, учитывающие условия производства работ в соответствии с положениями </w:t>
      </w:r>
      <w:hyperlink w:history="0" w:anchor="P230" w:tooltip="52. При разработке локальных сметных расчетов (смет) для учета усложняющих факторов и условий производства работ, указанных в проектной и (или) иной технической документации, используются коэффициенты к сметным нормам (единичным расценкам), в том числе их отдельным составляющим, приведенные в Приложении N 10 к Методике.">
        <w:r>
          <w:rPr>
            <w:sz w:val="20"/>
            <w:color w:val="0000ff"/>
          </w:rPr>
          <w:t xml:space="preserve">пунктов 52</w:t>
        </w:r>
      </w:hyperlink>
      <w:r>
        <w:rPr>
          <w:sz w:val="20"/>
        </w:rPr>
        <w:t xml:space="preserve"> - </w:t>
      </w:r>
      <w:hyperlink w:history="0" w:anchor="P265" w:tooltip="61. Коэффициенты, предусмотренные в пунктах 58 и 60.1 Методики, применяются при определении сметной стоимости одновременно с коэффициентами, учитывающими усложняющие факторы и условия производства работ, а также коэффициентами, учитывающими технологические особенности производства отдельных видов работ в порядке, определенном пунктом 56 Методики.">
        <w:r>
          <w:rPr>
            <w:sz w:val="20"/>
            <w:color w:val="0000ff"/>
          </w:rPr>
          <w:t xml:space="preserve">61</w:t>
        </w:r>
      </w:hyperlink>
      <w:r>
        <w:rPr>
          <w:sz w:val="20"/>
        </w:rPr>
        <w:t xml:space="preserve"> Методики.</w:t>
      </w:r>
    </w:p>
    <w:p>
      <w:pPr>
        <w:pStyle w:val="0"/>
        <w:spacing w:before="200" w:line-rule="auto"/>
        <w:ind w:firstLine="540"/>
        <w:jc w:val="both"/>
      </w:pPr>
      <w:r>
        <w:rPr>
          <w:sz w:val="20"/>
        </w:rPr>
        <w:t xml:space="preserve">Размер средств на оплату труда машинистов (ОТм</w:t>
      </w:r>
      <w:r>
        <w:rPr>
          <w:sz w:val="20"/>
          <w:vertAlign w:val="subscript"/>
        </w:rPr>
        <w:t xml:space="preserve">тек</w:t>
      </w:r>
      <w:r>
        <w:rPr>
          <w:sz w:val="20"/>
        </w:rPr>
        <w:t xml:space="preserve">) определяется по формуле (1.1):</w:t>
      </w:r>
    </w:p>
    <w:p>
      <w:pPr>
        <w:pStyle w:val="0"/>
        <w:jc w:val="both"/>
      </w:pPr>
      <w:r>
        <w:rPr>
          <w:sz w:val="20"/>
        </w:rPr>
        <w:t xml:space="preserve">(в ред. </w:t>
      </w:r>
      <w:hyperlink w:history="0" r:id="rId9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0"/>
        <w:jc w:val="center"/>
      </w:pPr>
      <w:r>
        <w:rPr>
          <w:position w:val="-23"/>
        </w:rPr>
        <w:drawing>
          <wp:inline distT="0" distB="0" distL="0" distR="0">
            <wp:extent cx="193357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1933575" cy="428625"/>
                    </a:xfrm>
                    <a:prstGeom prst="rect">
                      <a:avLst/>
                    </a:prstGeom>
                    <a:noFill/>
                    <a:ln>
                      <a:noFill/>
                    </a:ln>
                  </pic:spPr>
                </pic:pic>
              </a:graphicData>
            </a:graphic>
          </wp:inline>
        </w:drawing>
      </w:r>
      <w:r>
        <w:rPr>
          <w:sz w:val="20"/>
        </w:rPr>
        <w:t xml:space="preserve"> (1.1),</w:t>
      </w:r>
    </w:p>
    <w:p>
      <w:pPr>
        <w:pStyle w:val="0"/>
        <w:jc w:val="both"/>
      </w:pPr>
      <w:r>
        <w:rPr>
          <w:sz w:val="20"/>
        </w:rPr>
        <w:t xml:space="preserve">(в ред. </w:t>
      </w:r>
      <w:hyperlink w:history="0" r:id="rId9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0"/>
        <w:ind w:firstLine="540"/>
        <w:jc w:val="both"/>
      </w:pPr>
      <w:r>
        <w:rPr>
          <w:sz w:val="20"/>
        </w:rPr>
        <w:t xml:space="preserve">где:</w:t>
      </w:r>
    </w:p>
    <w:p>
      <w:pPr>
        <w:pStyle w:val="0"/>
        <w:jc w:val="both"/>
      </w:pPr>
      <w:r>
        <w:rPr>
          <w:sz w:val="20"/>
        </w:rPr>
        <w:t xml:space="preserve">(в ред. </w:t>
      </w:r>
      <w:hyperlink w:history="0" r:id="rId9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ЗТ</w:t>
      </w:r>
      <w:r>
        <w:rPr>
          <w:sz w:val="20"/>
          <w:vertAlign w:val="subscript"/>
        </w:rPr>
        <w:t xml:space="preserve">ki</w:t>
      </w:r>
      <w:r>
        <w:rPr>
          <w:sz w:val="20"/>
        </w:rPr>
        <w:t xml:space="preserve"> - затраты труда машиниста по каждой k-ой машине на измеритель сметной нормы по i-ой сметной норме, чел.-ч;</w:t>
      </w:r>
    </w:p>
    <w:p>
      <w:pPr>
        <w:pStyle w:val="0"/>
        <w:jc w:val="both"/>
      </w:pPr>
      <w:r>
        <w:rPr>
          <w:sz w:val="20"/>
        </w:rPr>
        <w:t xml:space="preserve">(в ред. </w:t>
      </w:r>
      <w:hyperlink w:history="0" r:id="rId9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СЦ</w:t>
      </w:r>
      <w:r>
        <w:rPr>
          <w:sz w:val="20"/>
          <w:vertAlign w:val="subscript"/>
        </w:rPr>
        <w:t xml:space="preserve">k</w:t>
      </w:r>
      <w:r>
        <w:rPr>
          <w:sz w:val="20"/>
        </w:rPr>
        <w:t xml:space="preserve"> - сметная цена на затраты труда машиниста соответствующего среднего разряда по каждой k-ой машине в текущем уровне цен, руб./чел.-ч;</w:t>
      </w:r>
    </w:p>
    <w:p>
      <w:pPr>
        <w:pStyle w:val="0"/>
        <w:jc w:val="both"/>
      </w:pPr>
      <w:r>
        <w:rPr>
          <w:sz w:val="20"/>
        </w:rPr>
        <w:t xml:space="preserve">(в ред. </w:t>
      </w:r>
      <w:hyperlink w:history="0" r:id="rId9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V</w:t>
      </w:r>
      <w:r>
        <w:rPr>
          <w:sz w:val="20"/>
          <w:vertAlign w:val="subscript"/>
        </w:rPr>
        <w:t xml:space="preserve">i</w:t>
      </w:r>
      <w:r>
        <w:rPr>
          <w:sz w:val="20"/>
        </w:rPr>
        <w:t xml:space="preserve"> - объем работ по i-ой сметной норме в соответствии с ее измерителем;</w:t>
      </w:r>
    </w:p>
    <w:p>
      <w:pPr>
        <w:pStyle w:val="0"/>
        <w:jc w:val="both"/>
      </w:pPr>
      <w:r>
        <w:rPr>
          <w:sz w:val="20"/>
        </w:rPr>
        <w:t xml:space="preserve">(в ред. </w:t>
      </w:r>
      <w:hyperlink w:history="0" r:id="rId9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0"/>
        <w:ind w:firstLine="540"/>
        <w:jc w:val="both"/>
      </w:pPr>
      <w:r>
        <w:rPr>
          <w:position w:val="-2"/>
        </w:rPr>
        <w:drawing>
          <wp:inline distT="0" distB="0" distL="0" distR="0">
            <wp:extent cx="466725" cy="1619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val="0"/>
                        </a:ext>
                      </a:extLst>
                    </a:blip>
                    <a:srcRect/>
                    <a:stretch>
                      <a:fillRect/>
                    </a:stretch>
                  </pic:blipFill>
                  <pic:spPr bwMode="auto">
                    <a:xfrm>
                      <a:off x="0" y="0"/>
                      <a:ext cx="466725" cy="161925"/>
                    </a:xfrm>
                    <a:prstGeom prst="rect">
                      <a:avLst/>
                    </a:prstGeom>
                    <a:noFill/>
                    <a:ln>
                      <a:noFill/>
                    </a:ln>
                  </pic:spPr>
                </pic:pic>
              </a:graphicData>
            </a:graphic>
          </wp:inline>
        </w:drawing>
      </w:r>
      <w:r>
        <w:rPr>
          <w:sz w:val="20"/>
        </w:rPr>
        <w:t xml:space="preserve">, где:</w:t>
      </w:r>
    </w:p>
    <w:p>
      <w:pPr>
        <w:pStyle w:val="0"/>
        <w:jc w:val="both"/>
      </w:pPr>
      <w:r>
        <w:rPr>
          <w:sz w:val="20"/>
        </w:rPr>
        <w:t xml:space="preserve">(в ред. </w:t>
      </w:r>
      <w:hyperlink w:history="0" r:id="rId10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0"/>
        <w:ind w:firstLine="540"/>
        <w:jc w:val="both"/>
      </w:pPr>
      <w:r>
        <w:rPr>
          <w:sz w:val="20"/>
        </w:rPr>
        <w:t xml:space="preserve">I - количество сметных норм в локальном сметном расчете (смете);</w:t>
      </w:r>
    </w:p>
    <w:p>
      <w:pPr>
        <w:pStyle w:val="0"/>
        <w:jc w:val="both"/>
      </w:pPr>
      <w:r>
        <w:rPr>
          <w:sz w:val="20"/>
        </w:rPr>
        <w:t xml:space="preserve">(в ред. </w:t>
      </w:r>
      <w:hyperlink w:history="0" r:id="rId10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0"/>
        <w:ind w:firstLine="540"/>
        <w:jc w:val="both"/>
      </w:pPr>
      <w:r>
        <w:rPr>
          <w:position w:val="-2"/>
        </w:rPr>
        <w:drawing>
          <wp:inline distT="0" distB="0" distL="0" distR="0">
            <wp:extent cx="581025" cy="1619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a:extLst>
                        <a:ext uri="{28A0092B-C50C-407E-A947-70E740481C1C}">
                          <a14:useLocalDpi xmlns:a14="http://schemas.microsoft.com/office/drawing/2010/main" val="0"/>
                        </a:ext>
                      </a:extLst>
                    </a:blip>
                    <a:srcRect/>
                    <a:stretch>
                      <a:fillRect/>
                    </a:stretch>
                  </pic:blipFill>
                  <pic:spPr bwMode="auto">
                    <a:xfrm>
                      <a:off x="0" y="0"/>
                      <a:ext cx="581025" cy="161925"/>
                    </a:xfrm>
                    <a:prstGeom prst="rect">
                      <a:avLst/>
                    </a:prstGeom>
                    <a:noFill/>
                    <a:ln>
                      <a:noFill/>
                    </a:ln>
                  </pic:spPr>
                </pic:pic>
              </a:graphicData>
            </a:graphic>
          </wp:inline>
        </w:drawing>
      </w:r>
      <w:r>
        <w:rPr>
          <w:sz w:val="20"/>
        </w:rPr>
        <w:t xml:space="preserve">, где:</w:t>
      </w:r>
    </w:p>
    <w:p>
      <w:pPr>
        <w:pStyle w:val="0"/>
        <w:jc w:val="both"/>
      </w:pPr>
      <w:r>
        <w:rPr>
          <w:sz w:val="20"/>
        </w:rPr>
        <w:t xml:space="preserve">(в ред. </w:t>
      </w:r>
      <w:hyperlink w:history="0" r:id="rId10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0"/>
        <w:ind w:firstLine="540"/>
        <w:jc w:val="both"/>
      </w:pPr>
      <w:r>
        <w:rPr>
          <w:sz w:val="20"/>
        </w:rPr>
        <w:t xml:space="preserve">K - количество машин в i-ой сметной норме.</w:t>
      </w:r>
    </w:p>
    <w:p>
      <w:pPr>
        <w:pStyle w:val="0"/>
        <w:jc w:val="both"/>
      </w:pPr>
      <w:r>
        <w:rPr>
          <w:sz w:val="20"/>
        </w:rPr>
        <w:t xml:space="preserve">(в ред. </w:t>
      </w:r>
      <w:hyperlink w:history="0" r:id="rId10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349" w:name="P349"/>
    <w:bookmarkEnd w:id="349"/>
    <w:p>
      <w:pPr>
        <w:pStyle w:val="0"/>
        <w:spacing w:before="200" w:line-rule="auto"/>
        <w:ind w:firstLine="540"/>
        <w:jc w:val="both"/>
      </w:pPr>
      <w:r>
        <w:rPr>
          <w:sz w:val="20"/>
        </w:rPr>
        <w:t xml:space="preserve">81. Сметная стоимость эксплуатации машин и механизмов (ЭММ</w:t>
      </w:r>
      <w:r>
        <w:rPr>
          <w:sz w:val="20"/>
          <w:vertAlign w:val="subscript"/>
        </w:rPr>
        <w:t xml:space="preserve">тек</w:t>
      </w:r>
      <w:r>
        <w:rPr>
          <w:sz w:val="20"/>
        </w:rPr>
        <w:t xml:space="preserve">) определяется в текущем уровне цен на основании данных о составе, времени эксплуатации и сметных ценах на эксплуатацию машин и механизмов по формуле (2):</w:t>
      </w:r>
    </w:p>
    <w:p>
      <w:pPr>
        <w:pStyle w:val="0"/>
        <w:jc w:val="both"/>
      </w:pPr>
      <w:r>
        <w:rPr>
          <w:sz w:val="20"/>
        </w:rPr>
      </w:r>
    </w:p>
    <w:bookmarkStart w:id="351" w:name="P351"/>
    <w:bookmarkEnd w:id="351"/>
    <w:p>
      <w:pPr>
        <w:pStyle w:val="0"/>
        <w:jc w:val="center"/>
      </w:pPr>
      <w:r>
        <w:rPr>
          <w:position w:val="-23"/>
        </w:rPr>
        <w:drawing>
          <wp:inline distT="0" distB="0" distL="0" distR="0">
            <wp:extent cx="206692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a:extLst>
                        <a:ext uri="{28A0092B-C50C-407E-A947-70E740481C1C}">
                          <a14:useLocalDpi xmlns:a14="http://schemas.microsoft.com/office/drawing/2010/main" val="0"/>
                        </a:ext>
                      </a:extLst>
                    </a:blip>
                    <a:srcRect/>
                    <a:stretch>
                      <a:fillRect/>
                    </a:stretch>
                  </pic:blipFill>
                  <pic:spPr bwMode="auto">
                    <a:xfrm>
                      <a:off x="0" y="0"/>
                      <a:ext cx="2066925" cy="4286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w:t>
      </w:r>
      <w:r>
        <w:rPr>
          <w:sz w:val="20"/>
          <w:vertAlign w:val="superscript"/>
        </w:rPr>
        <w:t xml:space="preserve">k</w:t>
      </w:r>
      <w:r>
        <w:rPr>
          <w:sz w:val="20"/>
        </w:rPr>
        <w:t xml:space="preserve"> - время эксплуатации k-той машины (механизма), маш.-ч;</w:t>
      </w:r>
    </w:p>
    <w:p>
      <w:pPr>
        <w:pStyle w:val="0"/>
        <w:spacing w:before="200" w:line-rule="auto"/>
        <w:ind w:firstLine="540"/>
        <w:jc w:val="both"/>
      </w:pPr>
      <w:r>
        <w:rPr>
          <w:position w:val="-8"/>
        </w:rPr>
        <w:drawing>
          <wp:inline distT="0" distB="0" distL="0" distR="0">
            <wp:extent cx="5429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a:extLst>
                        <a:ext uri="{28A0092B-C50C-407E-A947-70E740481C1C}">
                          <a14:useLocalDpi xmlns:a14="http://schemas.microsoft.com/office/drawing/2010/main" val="0"/>
                        </a:ext>
                      </a:extLst>
                    </a:blip>
                    <a:srcRect/>
                    <a:stretch>
                      <a:fillRect/>
                    </a:stretch>
                  </pic:blipFill>
                  <pic:spPr bwMode="auto">
                    <a:xfrm>
                      <a:off x="0" y="0"/>
                      <a:ext cx="542925" cy="238125"/>
                    </a:xfrm>
                    <a:prstGeom prst="rect">
                      <a:avLst/>
                    </a:prstGeom>
                    <a:noFill/>
                    <a:ln>
                      <a:noFill/>
                    </a:ln>
                  </pic:spPr>
                </pic:pic>
              </a:graphicData>
            </a:graphic>
          </wp:inline>
        </w:drawing>
      </w:r>
      <w:r>
        <w:rPr>
          <w:sz w:val="20"/>
        </w:rPr>
        <w:t xml:space="preserve"> - сметная цена эксплуатации k-той машины (механизма) в текущем уровне цен, руб./маш.-ч;</w:t>
      </w:r>
    </w:p>
    <w:p>
      <w:pPr>
        <w:pStyle w:val="0"/>
        <w:jc w:val="both"/>
      </w:pPr>
      <w:r>
        <w:rPr>
          <w:sz w:val="20"/>
        </w:rPr>
        <w:t xml:space="preserve">(в ред. </w:t>
      </w:r>
      <w:hyperlink w:history="0" r:id="rId10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k = 1 </w:t>
      </w:r>
      <w:r>
        <w:drawing>
          <wp:inline distT="0" distB="0" distL="0" distR="0">
            <wp:extent cx="123825" cy="12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sz w:val="20"/>
        </w:rPr>
        <w:t xml:space="preserve"> K, где:</w:t>
      </w:r>
    </w:p>
    <w:p>
      <w:pPr>
        <w:pStyle w:val="0"/>
        <w:jc w:val="both"/>
      </w:pPr>
      <w:r>
        <w:rPr>
          <w:sz w:val="20"/>
        </w:rPr>
        <w:t xml:space="preserve">(в ред. </w:t>
      </w:r>
      <w:hyperlink w:history="0" r:id="rId11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K - количество наименований машин и механизмов в локальном сметном расчете (смете).</w:t>
      </w:r>
    </w:p>
    <w:p>
      <w:pPr>
        <w:pStyle w:val="0"/>
        <w:spacing w:before="200" w:line-rule="auto"/>
        <w:ind w:firstLine="540"/>
        <w:jc w:val="both"/>
      </w:pPr>
      <w:r>
        <w:rPr>
          <w:sz w:val="20"/>
        </w:rPr>
        <w:t xml:space="preserve">82. Время эксплуатации машин и механизмов (T</w:t>
      </w:r>
      <w:r>
        <w:rPr>
          <w:sz w:val="20"/>
          <w:vertAlign w:val="superscript"/>
        </w:rPr>
        <w:t xml:space="preserve">k</w:t>
      </w:r>
      <w:r>
        <w:rPr>
          <w:sz w:val="20"/>
        </w:rPr>
        <w:t xml:space="preserve">) определяется на основании нормативной потребности в машинах и механизмах, приведенной в сметных нормах, и объемов работ, принятых на основании проектной и (или) иной технической документации, по формуле (3):</w:t>
      </w:r>
    </w:p>
    <w:p>
      <w:pPr>
        <w:pStyle w:val="0"/>
        <w:jc w:val="both"/>
      </w:pPr>
      <w:r>
        <w:rPr>
          <w:sz w:val="20"/>
        </w:rPr>
      </w:r>
    </w:p>
    <w:p>
      <w:pPr>
        <w:pStyle w:val="0"/>
        <w:jc w:val="center"/>
      </w:pPr>
      <w:r>
        <w:rPr>
          <w:position w:val="-23"/>
        </w:rPr>
        <w:drawing>
          <wp:inline distT="0" distB="0" distL="0" distR="0">
            <wp:extent cx="134302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1343025" cy="4286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T</w:t>
      </w:r>
      <w:r>
        <w:rPr>
          <w:sz w:val="20"/>
          <w:vertAlign w:val="subscript"/>
        </w:rPr>
        <w:t xml:space="preserve">k</w:t>
      </w:r>
      <w:r>
        <w:rPr>
          <w:sz w:val="20"/>
        </w:rPr>
        <w:t xml:space="preserve"> - время эксплуатации k-ой машины (механизма) по i-ой сметной норме, маш.-ч.</w:t>
      </w:r>
    </w:p>
    <w:p>
      <w:pPr>
        <w:pStyle w:val="0"/>
        <w:spacing w:before="200" w:line-rule="auto"/>
        <w:ind w:firstLine="540"/>
        <w:jc w:val="both"/>
      </w:pPr>
      <w:r>
        <w:rPr>
          <w:sz w:val="20"/>
        </w:rPr>
        <w:t xml:space="preserve">Время эксплуатации машин и механизмов, включенных в сметные нормы с обобщенным наименованием и указанием кода группы, расход которых приведен с литерой "П", определяется на основании данных проектной документации, при этом их технические, качественные, эксплуатационные и прочие характеристики подлежат уточнению по проектным данным для однозначной идентификации машины и механизма.</w:t>
      </w:r>
    </w:p>
    <w:p>
      <w:pPr>
        <w:pStyle w:val="0"/>
        <w:spacing w:before="200" w:line-rule="auto"/>
        <w:ind w:firstLine="540"/>
        <w:jc w:val="both"/>
      </w:pPr>
      <w:r>
        <w:rPr>
          <w:sz w:val="20"/>
        </w:rPr>
        <w:t xml:space="preserve">В случаях, когда проектной и (или) иной технической документацией обосновано применение грузоподъемного крана, технические характеристики которого отличаются от учтенных сметными нормами в связи с отличием и технологических и организационных схем производства работ, используемых при строительстве (реконструкции) объекта капитального строительства по сравнению с учтенными при разработке сметных норм, в сметной документации допускается корректировка таких сметных норм и (или) разработанных на их основе единичных расценок в части замены крана, если это предусмотрено положениями разделов соответствующих сборников сметных норм. При обосновании проектной и (или) иной технической документацией время эксплуатации машин и механизмов и (или) оплата труда машинистов определяются с применением коэффициентов, учитывающих усложняющие факторы и условия производства работ, в соответствии с положениями </w:t>
      </w:r>
      <w:hyperlink w:history="0" w:anchor="P230" w:tooltip="52. При разработке локальных сметных расчетов (смет) для учета усложняющих факторов и условий производства работ, указанных в проектной и (или) иной технической документации, используются коэффициенты к сметным нормам (единичным расценкам), в том числе их отдельным составляющим, приведенные в Приложении N 10 к Методике.">
        <w:r>
          <w:rPr>
            <w:sz w:val="20"/>
            <w:color w:val="0000ff"/>
          </w:rPr>
          <w:t xml:space="preserve">пунктов 52</w:t>
        </w:r>
      </w:hyperlink>
      <w:r>
        <w:rPr>
          <w:sz w:val="20"/>
        </w:rPr>
        <w:t xml:space="preserve"> - </w:t>
      </w:r>
      <w:hyperlink w:history="0" w:anchor="P265" w:tooltip="61. Коэффициенты, предусмотренные в пунктах 58 и 60.1 Методики, применяются при определении сметной стоимости одновременно с коэффициентами, учитывающими усложняющие факторы и условия производства работ, а также коэффициентами, учитывающими технологические особенности производства отдельных видов работ в порядке, определенном пунктом 56 Методики.">
        <w:r>
          <w:rPr>
            <w:sz w:val="20"/>
            <w:color w:val="0000ff"/>
          </w:rPr>
          <w:t xml:space="preserve">61</w:t>
        </w:r>
      </w:hyperlink>
      <w:r>
        <w:rPr>
          <w:sz w:val="20"/>
        </w:rPr>
        <w:t xml:space="preserve"> Методики.</w:t>
      </w:r>
    </w:p>
    <w:p>
      <w:pPr>
        <w:pStyle w:val="0"/>
        <w:jc w:val="both"/>
      </w:pPr>
      <w:r>
        <w:rPr>
          <w:sz w:val="20"/>
        </w:rPr>
        <w:t xml:space="preserve">(в ред. </w:t>
      </w:r>
      <w:hyperlink w:history="0" r:id="rId11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369" w:name="P369"/>
    <w:bookmarkEnd w:id="369"/>
    <w:p>
      <w:pPr>
        <w:pStyle w:val="0"/>
        <w:spacing w:before="200" w:line-rule="auto"/>
        <w:ind w:firstLine="540"/>
        <w:jc w:val="both"/>
      </w:pPr>
      <w:r>
        <w:rPr>
          <w:sz w:val="20"/>
        </w:rPr>
        <w:t xml:space="preserve">83. Сметные цены на эксплуатацию машин и механизмов </w:t>
      </w:r>
      <w:r>
        <w:rPr>
          <w:position w:val="-8"/>
        </w:rPr>
        <w:drawing>
          <wp:inline distT="0" distB="0" distL="0" distR="0">
            <wp:extent cx="6762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676275" cy="238125"/>
                    </a:xfrm>
                    <a:prstGeom prst="rect">
                      <a:avLst/>
                    </a:prstGeom>
                    <a:noFill/>
                    <a:ln>
                      <a:noFill/>
                    </a:ln>
                  </pic:spPr>
                </pic:pic>
              </a:graphicData>
            </a:graphic>
          </wp:inline>
        </w:drawing>
      </w:r>
      <w:r>
        <w:rPr>
          <w:sz w:val="20"/>
        </w:rPr>
        <w:t xml:space="preserve"> определяются на основании данных ФГИС ЦС. При этом, сметные цены на эксплуатацию несерийных строительных машин в текущем уровне цен (С</w:t>
      </w:r>
      <w:r>
        <w:rPr>
          <w:sz w:val="20"/>
          <w:vertAlign w:val="subscript"/>
        </w:rPr>
        <w:t xml:space="preserve">маш.р</w:t>
      </w:r>
      <w:r>
        <w:rPr>
          <w:sz w:val="20"/>
        </w:rPr>
        <w:t xml:space="preserve">) определяются по формуле (3.1):</w:t>
      </w:r>
    </w:p>
    <w:p>
      <w:pPr>
        <w:pStyle w:val="0"/>
        <w:jc w:val="both"/>
      </w:pPr>
      <w:r>
        <w:rPr>
          <w:sz w:val="20"/>
        </w:rPr>
      </w:r>
    </w:p>
    <w:p>
      <w:pPr>
        <w:pStyle w:val="0"/>
        <w:jc w:val="center"/>
      </w:pPr>
      <w:r>
        <w:rPr>
          <w:position w:val="-23"/>
        </w:rPr>
        <w:drawing>
          <wp:inline distT="0" distB="0" distL="0" distR="0">
            <wp:extent cx="75247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752475" cy="428625"/>
                    </a:xfrm>
                    <a:prstGeom prst="rect">
                      <a:avLst/>
                    </a:prstGeom>
                    <a:noFill/>
                    <a:ln>
                      <a:noFill/>
                    </a:ln>
                  </pic:spPr>
                </pic:pic>
              </a:graphicData>
            </a:graphic>
          </wp:inline>
        </w:drawing>
      </w:r>
      <w:r>
        <w:rPr>
          <w:sz w:val="20"/>
        </w:rPr>
        <w:t xml:space="preserve"> (3.1),</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Ц</w:t>
      </w:r>
      <w:r>
        <w:rPr>
          <w:sz w:val="20"/>
          <w:vertAlign w:val="subscript"/>
        </w:rPr>
        <w:t xml:space="preserve">а</w:t>
      </w:r>
      <w:r>
        <w:rPr>
          <w:sz w:val="20"/>
        </w:rPr>
        <w:t xml:space="preserve"> - суточная арендная плата за временное пользование несерийными строительными машинами, определяемая по коммерческим предложениям, полученным от юридических лиц, оказывающих услуги по предоставлению в аренду несерийных строительных машин (арендодатели). При этом, размер суточной арендной платы, если он не выделен отдельно в коммерческом предложении, определяется путем деления полной стоимости аренды на срок аренды в сутках, руб. в сутки;</w:t>
      </w:r>
    </w:p>
    <w:p>
      <w:pPr>
        <w:pStyle w:val="0"/>
        <w:spacing w:before="200" w:line-rule="auto"/>
        <w:ind w:firstLine="540"/>
        <w:jc w:val="both"/>
      </w:pPr>
      <w:r>
        <w:rPr>
          <w:sz w:val="20"/>
        </w:rPr>
        <w:t xml:space="preserve">Т</w:t>
      </w:r>
      <w:r>
        <w:rPr>
          <w:sz w:val="20"/>
          <w:vertAlign w:val="subscript"/>
        </w:rPr>
        <w:t xml:space="preserve">с</w:t>
      </w:r>
      <w:r>
        <w:rPr>
          <w:sz w:val="20"/>
        </w:rPr>
        <w:t xml:space="preserve"> - продолжительность работы несерийной строительной машины в соответствии в ПОС, часов в сутки.</w:t>
      </w:r>
    </w:p>
    <w:p>
      <w:pPr>
        <w:pStyle w:val="0"/>
        <w:spacing w:before="200" w:line-rule="auto"/>
        <w:ind w:firstLine="540"/>
        <w:jc w:val="both"/>
      </w:pPr>
      <w:r>
        <w:rPr>
          <w:sz w:val="20"/>
        </w:rPr>
        <w:t xml:space="preserve">В коммерческих предложениях на аренду несерийных строительных машин учитываются следующие затраты:</w:t>
      </w:r>
    </w:p>
    <w:p>
      <w:pPr>
        <w:pStyle w:val="0"/>
        <w:spacing w:before="200" w:line-rule="auto"/>
        <w:ind w:firstLine="540"/>
        <w:jc w:val="both"/>
      </w:pPr>
      <w:r>
        <w:rPr>
          <w:sz w:val="20"/>
        </w:rPr>
        <w:t xml:space="preserve">а) арендная плата за временное пользование несерийными строительными машинами (далее - арендная плата), определяемая как минимальное значение арендной платы по коммерческим предложениям, полученным от арендодателей;</w:t>
      </w:r>
    </w:p>
    <w:p>
      <w:pPr>
        <w:pStyle w:val="0"/>
        <w:spacing w:before="200" w:line-rule="auto"/>
        <w:ind w:firstLine="540"/>
        <w:jc w:val="both"/>
      </w:pPr>
      <w:r>
        <w:rPr>
          <w:sz w:val="20"/>
        </w:rPr>
        <w:t xml:space="preserve">б) затраты на техническое обслуживание (в том числе стоимость комплекта запасных частей на весь срок аренды). В тех случаях, когда затраты на техническое обслуживание не учтены арендной платой, они определяются на основании коммерческих предложений, полученных от юридических лиц, оказывающих соответствующие услуги;</w:t>
      </w:r>
    </w:p>
    <w:p>
      <w:pPr>
        <w:pStyle w:val="0"/>
        <w:spacing w:before="200" w:line-rule="auto"/>
        <w:ind w:firstLine="540"/>
        <w:jc w:val="both"/>
      </w:pPr>
      <w:r>
        <w:rPr>
          <w:sz w:val="20"/>
        </w:rPr>
        <w:t xml:space="preserve">в) затраты на оплату труда машинистов (в том числе инженерно-технических работников). В тех случаях, когда затраты на оплату труда машинистов не учтены арендной платой, данные затраты определяются на основании коммерческих предложений, полученных от юридических лиц, оказывающих соответствующие услуги. При этом, коммерческие предложения должны учитывать все затраты, связанные с обеспечением пребывания машинистов на объекте строительства;</w:t>
      </w:r>
    </w:p>
    <w:p>
      <w:pPr>
        <w:pStyle w:val="0"/>
        <w:spacing w:before="200" w:line-rule="auto"/>
        <w:ind w:firstLine="540"/>
        <w:jc w:val="both"/>
      </w:pPr>
      <w:r>
        <w:rPr>
          <w:sz w:val="20"/>
        </w:rPr>
        <w:t xml:space="preserve">г) затраты на перебазировку. В тех случаях, когда затраты на перебазировку не учтены арендной платой, данные затраты определяются на основании коммерческих предложений, полученных от юридических лиц, оказывающих соответствующие услуги.</w:t>
      </w:r>
    </w:p>
    <w:p>
      <w:pPr>
        <w:pStyle w:val="0"/>
        <w:spacing w:before="200" w:line-rule="auto"/>
        <w:ind w:firstLine="540"/>
        <w:jc w:val="both"/>
      </w:pPr>
      <w:r>
        <w:rPr>
          <w:sz w:val="20"/>
        </w:rPr>
        <w:t xml:space="preserve">Указанные затраты могут быть учтены единым коммерческим предложением вместе с затратами на приведение несерийных строительных машин в рабочее состояние и разборку при перебазировке;</w:t>
      </w:r>
    </w:p>
    <w:p>
      <w:pPr>
        <w:pStyle w:val="0"/>
        <w:spacing w:before="200" w:line-rule="auto"/>
        <w:ind w:firstLine="540"/>
        <w:jc w:val="both"/>
      </w:pPr>
      <w:r>
        <w:rPr>
          <w:sz w:val="20"/>
        </w:rPr>
        <w:t xml:space="preserve">д) затраты на приведение несерийных строительных машин в рабочее состояние и разборку при перебазировке. В тех случаях, когда затраты на приведение в рабочее состояние и разборку несерийных строительных машин при их перебазировке не учтены арендной платой, данные затраты определяются на основании коммерческих предложений, полученных от юридических лиц, оказывающих соответствующие услуги.</w:t>
      </w:r>
    </w:p>
    <w:p>
      <w:pPr>
        <w:pStyle w:val="0"/>
        <w:spacing w:before="200" w:line-rule="auto"/>
        <w:ind w:firstLine="540"/>
        <w:jc w:val="both"/>
      </w:pPr>
      <w:r>
        <w:rPr>
          <w:sz w:val="20"/>
        </w:rPr>
        <w:t xml:space="preserve">Указанные затраты могут быть учтены единым коммерческим предложением вместе с затратами на перебазировку;</w:t>
      </w:r>
    </w:p>
    <w:p>
      <w:pPr>
        <w:pStyle w:val="0"/>
        <w:spacing w:before="200" w:line-rule="auto"/>
        <w:ind w:firstLine="540"/>
        <w:jc w:val="both"/>
      </w:pPr>
      <w:r>
        <w:rPr>
          <w:sz w:val="20"/>
        </w:rPr>
        <w:t xml:space="preserve">е) затраты на энергоносители, смазочные материалы и другие технические жидкости.</w:t>
      </w:r>
    </w:p>
    <w:p>
      <w:pPr>
        <w:pStyle w:val="0"/>
        <w:spacing w:before="200" w:line-rule="auto"/>
        <w:ind w:firstLine="540"/>
        <w:jc w:val="both"/>
      </w:pPr>
      <w:r>
        <w:rPr>
          <w:sz w:val="20"/>
        </w:rPr>
        <w:t xml:space="preserve">В тех случаях, когда энергоносители и смазочные материалы не учтены арендной платой, их стоимость определяется в соответствии с методическими документами по определению сметных цен на эксплуатацию машин и механизмов, включенными в ФРСН.</w:t>
      </w:r>
    </w:p>
    <w:p>
      <w:pPr>
        <w:pStyle w:val="0"/>
        <w:spacing w:before="200" w:line-rule="auto"/>
        <w:ind w:firstLine="540"/>
        <w:jc w:val="both"/>
      </w:pPr>
      <w:r>
        <w:rPr>
          <w:sz w:val="20"/>
        </w:rPr>
        <w:t xml:space="preserve">Вместо коммерческих предложений за обоснование вышеперечисленных затрат могут быть приняты договоры, заключенные в период, не превышающий 6 месяцев до момента определения сметных цен.</w:t>
      </w:r>
    </w:p>
    <w:p>
      <w:pPr>
        <w:pStyle w:val="0"/>
        <w:spacing w:before="200" w:line-rule="auto"/>
        <w:ind w:firstLine="540"/>
        <w:jc w:val="both"/>
      </w:pPr>
      <w:r>
        <w:rPr>
          <w:sz w:val="20"/>
        </w:rPr>
        <w:t xml:space="preserve">Показатель часовой стоимости затрат, составляющих арендную плату, если он не выделен в соответствующих коммерческих предложениях, определяется путем деления их полной стоимости на продолжительность аренды несерийной строительной машины в сутках с последующим делением на продолжительность работы несерийной строительной машины в часах, определяемой в соответствии с ПОС.</w:t>
      </w:r>
    </w:p>
    <w:p>
      <w:pPr>
        <w:pStyle w:val="0"/>
        <w:spacing w:before="200" w:line-rule="auto"/>
        <w:ind w:firstLine="540"/>
        <w:jc w:val="both"/>
      </w:pPr>
      <w:r>
        <w:rPr>
          <w:sz w:val="20"/>
        </w:rPr>
        <w:t xml:space="preserve">Затраты на эксплуатацию техники, не учтенной ФЕР и ФСЭМ, определяются на основании отдельных коммерческих предложений от юридических лиц на оказание соответствующих услуг и не включаются в стоимость эксплуатации несерийных строительных машин, а учитывается в главе 9 сводного сметного расчета.</w:t>
      </w:r>
    </w:p>
    <w:p>
      <w:pPr>
        <w:pStyle w:val="0"/>
        <w:spacing w:before="200" w:line-rule="auto"/>
        <w:ind w:firstLine="540"/>
        <w:jc w:val="both"/>
      </w:pPr>
      <w:r>
        <w:rPr>
          <w:sz w:val="20"/>
        </w:rPr>
        <w:t xml:space="preserve">Несерийные строительные машины включаются в государственные элементные сметные нормы, сборники федеральных расценок на эксплуатацию машин, механизмов и автотранспортных средств без указания сметных цен на их эксплуатацию.</w:t>
      </w:r>
    </w:p>
    <w:p>
      <w:pPr>
        <w:pStyle w:val="0"/>
        <w:jc w:val="both"/>
      </w:pPr>
      <w:r>
        <w:rPr>
          <w:sz w:val="20"/>
        </w:rPr>
        <w:t xml:space="preserve">(п. 83 в ред. </w:t>
      </w:r>
      <w:hyperlink w:history="0" r:id="rId11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391" w:name="P391"/>
    <w:bookmarkEnd w:id="391"/>
    <w:p>
      <w:pPr>
        <w:pStyle w:val="0"/>
        <w:spacing w:before="200" w:line-rule="auto"/>
        <w:ind w:firstLine="540"/>
        <w:jc w:val="both"/>
      </w:pPr>
      <w:r>
        <w:rPr>
          <w:sz w:val="20"/>
        </w:rPr>
        <w:t xml:space="preserve">84. Перечень строительных машин и механизмов определяется на основании данных сметных норм, учитываемых в локальном сметном расчете (смете) в соответствии с проектной и (или) иной технической документацией.</w:t>
      </w:r>
    </w:p>
    <w:bookmarkStart w:id="392" w:name="P392"/>
    <w:bookmarkEnd w:id="392"/>
    <w:p>
      <w:pPr>
        <w:pStyle w:val="0"/>
        <w:spacing w:before="200" w:line-rule="auto"/>
        <w:ind w:firstLine="540"/>
        <w:jc w:val="both"/>
      </w:pPr>
      <w:r>
        <w:rPr>
          <w:sz w:val="20"/>
        </w:rPr>
        <w:t xml:space="preserve">85. Сметная стоимость материальных ресурсов (М</w:t>
      </w:r>
      <w:r>
        <w:rPr>
          <w:sz w:val="20"/>
          <w:vertAlign w:val="subscript"/>
        </w:rPr>
        <w:t xml:space="preserve">тек</w:t>
      </w:r>
      <w:r>
        <w:rPr>
          <w:sz w:val="20"/>
        </w:rPr>
        <w:t xml:space="preserve">) определяется в текущем уровне цен на основании данных об их перечне, количестве и сметных ценах по формуле (4):</w:t>
      </w:r>
    </w:p>
    <w:p>
      <w:pPr>
        <w:pStyle w:val="0"/>
        <w:jc w:val="both"/>
      </w:pPr>
      <w:r>
        <w:rPr>
          <w:sz w:val="20"/>
        </w:rPr>
      </w:r>
    </w:p>
    <w:bookmarkStart w:id="394" w:name="P394"/>
    <w:bookmarkEnd w:id="394"/>
    <w:p>
      <w:pPr>
        <w:pStyle w:val="0"/>
        <w:jc w:val="center"/>
      </w:pPr>
      <w:r>
        <w:rPr>
          <w:position w:val="-25"/>
        </w:rPr>
        <w:drawing>
          <wp:inline distT="0" distB="0" distL="0" distR="0">
            <wp:extent cx="1638300"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28A0092B-C50C-407E-A947-70E740481C1C}">
                          <a14:useLocalDpi xmlns:a14="http://schemas.microsoft.com/office/drawing/2010/main" val="0"/>
                        </a:ext>
                      </a:extLst>
                    </a:blip>
                    <a:srcRect/>
                    <a:stretch>
                      <a:fillRect/>
                    </a:stretch>
                  </pic:blipFill>
                  <pic:spPr bwMode="auto">
                    <a:xfrm>
                      <a:off x="0" y="0"/>
                      <a:ext cx="1638300" cy="4476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P</w:t>
      </w:r>
      <w:r>
        <w:rPr>
          <w:sz w:val="20"/>
          <w:vertAlign w:val="superscript"/>
        </w:rPr>
        <w:t xml:space="preserve">j</w:t>
      </w:r>
      <w:r>
        <w:rPr>
          <w:sz w:val="20"/>
        </w:rPr>
        <w:t xml:space="preserve"> - количество j-ого материального ресурса, в натуральных единицах измерения;</w:t>
      </w:r>
    </w:p>
    <w:p>
      <w:pPr>
        <w:pStyle w:val="0"/>
        <w:spacing w:before="200" w:line-rule="auto"/>
        <w:ind w:firstLine="540"/>
        <w:jc w:val="both"/>
      </w:pPr>
      <w:r>
        <w:rPr>
          <w:position w:val="-8"/>
        </w:rPr>
        <w:drawing>
          <wp:inline distT="0" distB="0" distL="0" distR="0">
            <wp:extent cx="381000"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a:extLst>
                        <a:ext uri="{28A0092B-C50C-407E-A947-70E740481C1C}">
                          <a14:useLocalDpi xmlns:a14="http://schemas.microsoft.com/office/drawing/2010/main" val="0"/>
                        </a:ext>
                      </a:extLst>
                    </a:blip>
                    <a:srcRect/>
                    <a:stretch>
                      <a:fillRect/>
                    </a:stretch>
                  </pic:blipFill>
                  <pic:spPr bwMode="auto">
                    <a:xfrm>
                      <a:off x="0" y="0"/>
                      <a:ext cx="381000" cy="238125"/>
                    </a:xfrm>
                    <a:prstGeom prst="rect">
                      <a:avLst/>
                    </a:prstGeom>
                    <a:noFill/>
                    <a:ln>
                      <a:noFill/>
                    </a:ln>
                  </pic:spPr>
                </pic:pic>
              </a:graphicData>
            </a:graphic>
          </wp:inline>
        </w:drawing>
      </w:r>
      <w:r>
        <w:rPr>
          <w:sz w:val="20"/>
        </w:rPr>
        <w:t xml:space="preserve"> - сметная цена j-ого материального ресурса в текущем уровне цен, руб.;</w:t>
      </w:r>
    </w:p>
    <w:p>
      <w:pPr>
        <w:pStyle w:val="0"/>
        <w:ind w:firstLine="540"/>
        <w:jc w:val="both"/>
      </w:pPr>
      <w:r>
        <w:rPr>
          <w:sz w:val="20"/>
        </w:rPr>
      </w:r>
    </w:p>
    <w:p>
      <w:pPr>
        <w:pStyle w:val="0"/>
        <w:ind w:firstLine="540"/>
        <w:jc w:val="both"/>
      </w:pPr>
      <w:r>
        <w:rPr>
          <w:sz w:val="20"/>
        </w:rPr>
        <w:t xml:space="preserve">j = 1 </w:t>
      </w:r>
      <w:r>
        <w:drawing>
          <wp:inline distT="0" distB="0" distL="0" distR="0">
            <wp:extent cx="123825" cy="1238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sz w:val="20"/>
        </w:rPr>
        <w:t xml:space="preserve"> J, где:</w:t>
      </w:r>
    </w:p>
    <w:p>
      <w:pPr>
        <w:pStyle w:val="0"/>
        <w:jc w:val="both"/>
      </w:pPr>
      <w:r>
        <w:rPr>
          <w:sz w:val="20"/>
        </w:rPr>
        <w:t xml:space="preserve">(в ред. </w:t>
      </w:r>
      <w:hyperlink w:history="0" r:id="rId11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ind w:firstLine="540"/>
        <w:jc w:val="both"/>
      </w:pPr>
      <w:r>
        <w:rPr>
          <w:sz w:val="20"/>
        </w:rPr>
      </w:r>
    </w:p>
    <w:p>
      <w:pPr>
        <w:pStyle w:val="0"/>
        <w:ind w:firstLine="540"/>
        <w:jc w:val="both"/>
      </w:pPr>
      <w:r>
        <w:rPr>
          <w:sz w:val="20"/>
        </w:rPr>
        <w:t xml:space="preserve">J - количество наименований материальных ресурсов в локальном сметном расчете (смете).</w:t>
      </w:r>
    </w:p>
    <w:p>
      <w:pPr>
        <w:pStyle w:val="0"/>
        <w:spacing w:before="200" w:line-rule="auto"/>
        <w:ind w:firstLine="540"/>
        <w:jc w:val="both"/>
      </w:pPr>
      <w:r>
        <w:rPr>
          <w:sz w:val="20"/>
        </w:rPr>
        <w:t xml:space="preserve">86. Количество материальных ресурсов (P</w:t>
      </w:r>
      <w:r>
        <w:rPr>
          <w:sz w:val="20"/>
          <w:vertAlign w:val="superscript"/>
        </w:rPr>
        <w:t xml:space="preserve">j</w:t>
      </w:r>
      <w:r>
        <w:rPr>
          <w:sz w:val="20"/>
        </w:rPr>
        <w:t xml:space="preserve">), учтенных в сметных нормах с обобщенным наименованием и указанием кода группы, принимается на основании нормативных показателей их расхода, приведенных в сметных нормах, и объемов работ, принятых на основании проектной и (или) иной технической документации, за исключением случаев, указанных в </w:t>
      </w:r>
      <w:hyperlink w:history="0" w:anchor="P277" w:tooltip="66. Сметная стоимость материальных ресурсов, учтенных в сметных нормах с обобщенным наименованием и указанием кода группы или не учтенных в единичных расценках, расход которых зависит от проектных решений, определяется на основании данных проектной и (или) иной технической документации об их количестве с учетом нормативов трудноустранимых потерь и отходов, определяемых по проектным данным (при наличии) или в соответствии с положениями сметных нормативов, сведения о которых включены в ФРСН.">
        <w:r>
          <w:rPr>
            <w:sz w:val="20"/>
            <w:color w:val="0000ff"/>
          </w:rPr>
          <w:t xml:space="preserve">пункте 66</w:t>
        </w:r>
      </w:hyperlink>
      <w:r>
        <w:rPr>
          <w:sz w:val="20"/>
        </w:rPr>
        <w:t xml:space="preserve"> Методики, по формуле (5):</w:t>
      </w:r>
    </w:p>
    <w:p>
      <w:pPr>
        <w:pStyle w:val="0"/>
        <w:jc w:val="both"/>
      </w:pPr>
      <w:r>
        <w:rPr>
          <w:sz w:val="20"/>
        </w:rPr>
      </w:r>
    </w:p>
    <w:p>
      <w:pPr>
        <w:pStyle w:val="0"/>
        <w:jc w:val="center"/>
      </w:pPr>
      <w:r>
        <w:rPr>
          <w:position w:val="-23"/>
        </w:rPr>
        <w:drawing>
          <wp:inline distT="0" distB="0" distL="0" distR="0">
            <wp:extent cx="1285875"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a:extLst>
                        <a:ext uri="{28A0092B-C50C-407E-A947-70E740481C1C}">
                          <a14:useLocalDpi xmlns:a14="http://schemas.microsoft.com/office/drawing/2010/main" val="0"/>
                        </a:ext>
                      </a:extLst>
                    </a:blip>
                    <a:srcRect/>
                    <a:stretch>
                      <a:fillRect/>
                    </a:stretch>
                  </pic:blipFill>
                  <pic:spPr bwMode="auto">
                    <a:xfrm>
                      <a:off x="0" y="0"/>
                      <a:ext cx="1285875" cy="4286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P</w:t>
      </w:r>
      <w:r>
        <w:rPr>
          <w:sz w:val="20"/>
          <w:vertAlign w:val="superscript"/>
        </w:rPr>
        <w:t xml:space="preserve">j</w:t>
      </w:r>
      <w:r>
        <w:rPr>
          <w:sz w:val="20"/>
        </w:rPr>
        <w:t xml:space="preserve"> - нормативный показатель расхода j-ого материального ресурса по i-той сметной норме, в натуральных единицах измерения.</w:t>
      </w:r>
    </w:p>
    <w:p>
      <w:pPr>
        <w:pStyle w:val="0"/>
        <w:spacing w:before="200" w:line-rule="auto"/>
        <w:ind w:firstLine="540"/>
        <w:jc w:val="both"/>
      </w:pPr>
      <w:r>
        <w:rPr>
          <w:sz w:val="20"/>
        </w:rPr>
        <w:t xml:space="preserve">При обосновании проектной и (или) иной технической документацией количество материальных ресурсов определяется с применением коэффициентов, учитывающих усложняющие факторы производства работ, в соответствии с положениями </w:t>
      </w:r>
      <w:hyperlink w:history="0" w:anchor="P230" w:tooltip="52. При разработке локальных сметных расчетов (смет) для учета усложняющих факторов и условий производства работ, указанных в проектной и (или) иной технической документации, используются коэффициенты к сметным нормам (единичным расценкам), в том числе их отдельным составляющим, приведенные в Приложении N 10 к Методике.">
        <w:r>
          <w:rPr>
            <w:sz w:val="20"/>
            <w:color w:val="0000ff"/>
          </w:rPr>
          <w:t xml:space="preserve">пунктов 52</w:t>
        </w:r>
      </w:hyperlink>
      <w:r>
        <w:rPr>
          <w:sz w:val="20"/>
        </w:rPr>
        <w:t xml:space="preserve"> - </w:t>
      </w:r>
      <w:hyperlink w:history="0" w:anchor="P265" w:tooltip="61. Коэффициенты, предусмотренные в пунктах 58 и 60.1 Методики, применяются при определении сметной стоимости одновременно с коэффициентами, учитывающими усложняющие факторы и условия производства работ, а также коэффициентами, учитывающими технологические особенности производства отдельных видов работ в порядке, определенном пунктом 56 Методики.">
        <w:r>
          <w:rPr>
            <w:sz w:val="20"/>
            <w:color w:val="0000ff"/>
          </w:rPr>
          <w:t xml:space="preserve">61</w:t>
        </w:r>
      </w:hyperlink>
      <w:r>
        <w:rPr>
          <w:sz w:val="20"/>
        </w:rPr>
        <w:t xml:space="preserve"> Методики.</w:t>
      </w:r>
    </w:p>
    <w:p>
      <w:pPr>
        <w:pStyle w:val="0"/>
        <w:spacing w:before="200" w:line-rule="auto"/>
        <w:ind w:firstLine="540"/>
        <w:jc w:val="both"/>
      </w:pPr>
      <w:r>
        <w:rPr>
          <w:sz w:val="20"/>
        </w:rPr>
        <w:t xml:space="preserve">87. Сметная стоимость оборудования в текущем уровне цен определяется по формуле, аналогичной для расчета сметной стоимости материальных ресурсов.</w:t>
      </w:r>
    </w:p>
    <w:bookmarkStart w:id="412" w:name="P412"/>
    <w:bookmarkEnd w:id="412"/>
    <w:p>
      <w:pPr>
        <w:pStyle w:val="0"/>
        <w:spacing w:before="200" w:line-rule="auto"/>
        <w:ind w:firstLine="540"/>
        <w:jc w:val="both"/>
      </w:pPr>
      <w:r>
        <w:rPr>
          <w:sz w:val="20"/>
        </w:rPr>
        <w:t xml:space="preserve">88. Сметная цена материальных ресурсов и оборудования учитывает затраты, связанные с их приобретением (в том числе стоимость тары, упаковки, реквизита (при наличии таковых), для оборудования также - стоимости комплекта запасных частей на гарантийный срок эксплуатации), снабженческие наценки, а также расходы на уплату пошлин, налогов и сборов, другие таможенные платежи (в случаях, установленных законодательством), заготовительно-складские расходы, стоимость их перевозки, и определяется на основании расчета в соответствии со сметными нормативами, сведения о которых включены в ФРСН.</w:t>
      </w:r>
    </w:p>
    <w:p>
      <w:pPr>
        <w:pStyle w:val="0"/>
        <w:jc w:val="both"/>
      </w:pPr>
      <w:r>
        <w:rPr>
          <w:sz w:val="20"/>
        </w:rPr>
        <w:t xml:space="preserve">(в ред. </w:t>
      </w:r>
      <w:hyperlink w:history="0" r:id="rId12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414" w:name="P414"/>
    <w:bookmarkEnd w:id="414"/>
    <w:p>
      <w:pPr>
        <w:pStyle w:val="0"/>
        <w:spacing w:before="200" w:line-rule="auto"/>
        <w:ind w:firstLine="540"/>
        <w:jc w:val="both"/>
      </w:pPr>
      <w:r>
        <w:rPr>
          <w:sz w:val="20"/>
        </w:rPr>
        <w:t xml:space="preserve">89. Сметная цена материальных ресурсов и оборудования принимается на основании информации, размещенной в ФГИС ЦС.</w:t>
      </w:r>
    </w:p>
    <w:bookmarkStart w:id="415" w:name="P415"/>
    <w:bookmarkEnd w:id="415"/>
    <w:p>
      <w:pPr>
        <w:pStyle w:val="0"/>
        <w:spacing w:before="200" w:line-rule="auto"/>
        <w:ind w:firstLine="540"/>
        <w:jc w:val="both"/>
      </w:pPr>
      <w:r>
        <w:rPr>
          <w:sz w:val="20"/>
        </w:rPr>
        <w:t xml:space="preserve">90. При отсутствии данных по отдельным материальным ресурсам во ФГИС ЦС их сметная цена в текущем уровне формируется на основании расчета в соответствии со сметными нормативами, сведения о которых включены в ФРСН, и результатов конъюнктурного анализа текущих цен не менее 3 (трех) (при наличии) производителей и (или) поставщиков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2" w:tooltip="21. Указанные в пункте 19 Методики документы должны быть заверены подписями и печатями (при наличии) уполномоченных лиц производителей и соответствовать требованиям законодательства о бухгалтерском учете Российской Федерации.">
        <w:r>
          <w:rPr>
            <w:sz w:val="20"/>
            <w:color w:val="0000ff"/>
          </w:rPr>
          <w:t xml:space="preserve">21</w:t>
        </w:r>
      </w:hyperlink>
      <w:r>
        <w:rPr>
          <w:sz w:val="20"/>
        </w:rPr>
        <w:t xml:space="preserve"> Методики.</w:t>
      </w:r>
    </w:p>
    <w:p>
      <w:pPr>
        <w:pStyle w:val="0"/>
        <w:spacing w:before="200" w:line-rule="auto"/>
        <w:ind w:firstLine="540"/>
        <w:jc w:val="both"/>
      </w:pPr>
      <w:r>
        <w:rPr>
          <w:sz w:val="20"/>
        </w:rPr>
        <w:t xml:space="preserve">Стоимость индивидуально изготавливаемых материальных ресурсов, не реализуемых (не производимых) как самостоятельный вид продукции (заводское изготовление) на территории субъекта Российской Федерации (части территории субъекта Российской Федерации) (далее - индивидуально изготавливаемые материалы), может быть определена в текущем уровне цен по результатам конъюнктурного анализа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19" w:tooltip="17. В ТКП помимо данных, указанных в пунктах 15 и 16 Методики, приводится информация о стоимости материальных ресурсов, оборудования, работ и услуг с указанием единицы измерения, валюты расчета, курса пересчета (в случае использования ценовой информации в валюте иностранного государства). ТКП заверяются подписями и печатями (при наличии) уполномоченных лиц производителей с указанием их фамилий и инициалов либо иных реквизитов, необходимых для идентификации этих лиц.">
        <w:r>
          <w:rPr>
            <w:sz w:val="20"/>
            <w:color w:val="0000ff"/>
          </w:rPr>
          <w:t xml:space="preserve">17</w:t>
        </w:r>
      </w:hyperlink>
      <w:r>
        <w:rPr>
          <w:sz w:val="20"/>
        </w:rPr>
        <w:t xml:space="preserve"> и </w:t>
      </w:r>
      <w:hyperlink w:history="0" w:anchor="P142" w:tooltip="21. Указанные в пункте 19 Методики документы должны быть заверены подписями и печатями (при наличии) уполномоченных лиц производителей и соответствовать требованиям законодательства о бухгалтерском учете Российской Федерации.">
        <w:r>
          <w:rPr>
            <w:sz w:val="20"/>
            <w:color w:val="0000ff"/>
          </w:rPr>
          <w:t xml:space="preserve">21</w:t>
        </w:r>
      </w:hyperlink>
      <w:r>
        <w:rPr>
          <w:sz w:val="20"/>
        </w:rPr>
        <w:t xml:space="preserve"> Методики на основании ТКП в случае возможности производства таких ресурсов не менее чем двумя производителями, с предоставлением соответствующего ТКП от каждого.</w:t>
      </w:r>
    </w:p>
    <w:p>
      <w:pPr>
        <w:pStyle w:val="0"/>
        <w:spacing w:before="200" w:line-rule="auto"/>
        <w:ind w:firstLine="540"/>
        <w:jc w:val="both"/>
      </w:pPr>
      <w:r>
        <w:rPr>
          <w:sz w:val="20"/>
        </w:rPr>
        <w:t xml:space="preserve">В случае, когда в проектной и (или) иной технической документации отсутствуют детальные технические требования к индивидуально изготавливаемым материальным ресурсам, проведение конъюнктурного анализа на основании информации о текущих ценах по данным обосновывающих стоимость документов, полученных не ранее чем за 6 месяцев до момента определения сметной стоимости, невозможно, допускается по согласованию с заказчиком определение сметной цены таких материальных ресурсов с использованием обосновывающих стоимость документов более ранних периодов (в том числе на аналогичные ресурсы, с подтверждением аналогичности согласно требованиям нормативных правовых актов Российской Федерации) и одновременным приведением такой стоимости к текущему уровню цен в соответствии с положениями, изложенными в </w:t>
      </w:r>
      <w:hyperlink w:history="0" w:anchor="P712" w:tooltip="187. Стоимость материальных ресурсов и оборудования, учтенных в сметной документации по данным конъюнктурного анализа, количество которых изменено, может быть определена по результатам конъюнктурного анализа текущих цен таких ресурсов, выполненного на дату пересчета сметной стоимости в соответствии с пунктами 13 - 22 Методики, или с применением к стоимости соответствующих ресурсов, указанной в сметной документации, получившей положительное заключение государственной экспертизы:">
        <w:r>
          <w:rPr>
            <w:sz w:val="20"/>
            <w:color w:val="0000ff"/>
          </w:rPr>
          <w:t xml:space="preserve">пункте 187</w:t>
        </w:r>
      </w:hyperlink>
      <w:r>
        <w:rPr>
          <w:sz w:val="20"/>
        </w:rPr>
        <w:t xml:space="preserve"> Методики.</w:t>
      </w:r>
    </w:p>
    <w:p>
      <w:pPr>
        <w:pStyle w:val="0"/>
        <w:spacing w:before="200" w:line-rule="auto"/>
        <w:ind w:firstLine="540"/>
        <w:jc w:val="both"/>
      </w:pPr>
      <w:r>
        <w:rPr>
          <w:sz w:val="20"/>
        </w:rPr>
        <w:t xml:space="preserve">В случае, когда проектной и (или) иной технической документацией предусмотрено использование оборудования импортного производства (включая случаи, когда требуется замена такого оборудования на аналогичное), сметная стоимость такого оборудования в текущем уровне цен определяется на основании результатов выполненного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2" w:tooltip="21. Указанные в пункте 19 Методики документы должны быть заверены подписями и печатями (при наличии) уполномоченных лиц производителей и соответствовать требованиям законодательства о бухгалтерском учете Российской Федерации.">
        <w:r>
          <w:rPr>
            <w:sz w:val="20"/>
            <w:color w:val="0000ff"/>
          </w:rPr>
          <w:t xml:space="preserve">21</w:t>
        </w:r>
      </w:hyperlink>
      <w:r>
        <w:rPr>
          <w:sz w:val="20"/>
        </w:rPr>
        <w:t xml:space="preserve"> Методики конъюнктурного анализа текущих цен не менее 2 (двух) (при наличии) производителей и (или) поставщиков, а в случае безальтернативного (единственного) производителя и (или) поставщика для данного оборудования - на основании данных по 1 (одному) такому производителю и (или) поставщику.</w:t>
      </w:r>
    </w:p>
    <w:p>
      <w:pPr>
        <w:pStyle w:val="0"/>
        <w:jc w:val="both"/>
      </w:pPr>
      <w:r>
        <w:rPr>
          <w:sz w:val="20"/>
        </w:rPr>
        <w:t xml:space="preserve">(абзац введен </w:t>
      </w:r>
      <w:hyperlink w:history="0" r:id="rId12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bookmarkStart w:id="420" w:name="P420"/>
    <w:bookmarkEnd w:id="420"/>
    <w:p>
      <w:pPr>
        <w:pStyle w:val="0"/>
        <w:spacing w:before="200" w:line-rule="auto"/>
        <w:ind w:firstLine="540"/>
        <w:jc w:val="both"/>
      </w:pPr>
      <w:r>
        <w:rPr>
          <w:sz w:val="20"/>
        </w:rPr>
        <w:t xml:space="preserve">91. Сметная стоимость материальных ресурсов и оборудования в текущем уровне цен, информация о которых отсутствует во ФГИС ЦС, определяется с учетом транспортных и заготовительно-складских затрат. Стоимость транспортных затрат определяется на основании расчета с учетом данных о расстоянии перевозки, классе груза, типе(-ах) транспорта, наличии погрузочно-разгрузочных работ и прочих условий транспортировки, а также информации о ценах услуг на перевозку грузов для строительства автомобильным и железнодорожным транспортом, судами морского (внутреннего водного) и воздушного транспорта, услуг на перевалку грузов с одного вида транспорта на другой, услуг по аренде железнодорожных грузовых вагонов, услуг на погрузочно-разгрузочные работы при автомобильных и железнодорожных перевозках (далее - услуги, связанные с перевозкой грузов), размещенных в ФГИС ЦС, и в соответствии со сметными нормативами по формированию затрат на транспортировку грузов для строительства, сведения о которых включены в ФРСН.</w:t>
      </w:r>
    </w:p>
    <w:p>
      <w:pPr>
        <w:pStyle w:val="0"/>
        <w:spacing w:before="200" w:line-rule="auto"/>
        <w:ind w:firstLine="540"/>
        <w:jc w:val="both"/>
      </w:pPr>
      <w:r>
        <w:rPr>
          <w:sz w:val="20"/>
        </w:rPr>
        <w:t xml:space="preserve">Транспортные затраты включают затраты, связанные с транспортировкой грузов, в том числе затраты на грузовые операции в местах перевалки грузов, паромные, понтонные и иные переправы. При отсутствии информации в ФГИС ЦС транспортные затраты могут определяться по результатам конъюнктурного анализа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2" w:tooltip="21. Указанные в пункте 19 Методики документы должны быть заверены подписями и печатями (при наличии) уполномоченных лиц производителей и соответствовать требованиям законодательства о бухгалтерском учете Российской Федерации.">
        <w:r>
          <w:rPr>
            <w:sz w:val="20"/>
            <w:color w:val="0000ff"/>
          </w:rPr>
          <w:t xml:space="preserve">21</w:t>
        </w:r>
      </w:hyperlink>
      <w:r>
        <w:rPr>
          <w:sz w:val="20"/>
        </w:rPr>
        <w:t xml:space="preserve"> Методики на основании данных о текущей стоимости таких услуг, полученных от не менее чем 2 (двух) производителей и (или) поставщиков данных услуг. В случае оказания услуг, связанных с перевозкой грузов, производителем и (или) поставщиком материальных ресурсов и оборудования, допускается определение их текущей стоимости на основании данных о цене указанных услуг по 1 (одному) такому производителю и (или) поставщику.</w:t>
      </w:r>
    </w:p>
    <w:p>
      <w:pPr>
        <w:pStyle w:val="0"/>
        <w:spacing w:before="200" w:line-rule="auto"/>
        <w:ind w:firstLine="540"/>
        <w:jc w:val="both"/>
      </w:pPr>
      <w:r>
        <w:rPr>
          <w:sz w:val="20"/>
        </w:rPr>
        <w:t xml:space="preserve">В случае невозможности определения затрат по доставке оборудования на основании расчета или по результатам конъюнктурного анализа, по решению заказчика сметная стоимость его перевозки может приниматься в размере до 3 (трех) процентов от отпускной цены на такое оборудование.</w:t>
      </w:r>
    </w:p>
    <w:bookmarkStart w:id="423" w:name="P423"/>
    <w:bookmarkEnd w:id="423"/>
    <w:p>
      <w:pPr>
        <w:pStyle w:val="0"/>
        <w:spacing w:before="200" w:line-rule="auto"/>
        <w:ind w:firstLine="540"/>
        <w:jc w:val="both"/>
      </w:pPr>
      <w:r>
        <w:rPr>
          <w:sz w:val="20"/>
        </w:rPr>
        <w:t xml:space="preserve">92. Размер заготовительно-складских расходов определяется в процентах от суммы отпускной цены материалов, изделий, конструкций, оборудования и транспортных затрат в следующих размерах:</w:t>
      </w:r>
    </w:p>
    <w:p>
      <w:pPr>
        <w:pStyle w:val="0"/>
        <w:spacing w:before="200" w:line-rule="auto"/>
        <w:ind w:firstLine="540"/>
        <w:jc w:val="both"/>
      </w:pPr>
      <w:r>
        <w:rPr>
          <w:sz w:val="20"/>
        </w:rPr>
        <w:t xml:space="preserve">а) 2 (два) процента - для материальных ресурсов (за исключением металлических конструкций);</w:t>
      </w:r>
    </w:p>
    <w:p>
      <w:pPr>
        <w:pStyle w:val="0"/>
        <w:spacing w:before="200" w:line-rule="auto"/>
        <w:ind w:firstLine="540"/>
        <w:jc w:val="both"/>
      </w:pPr>
      <w:r>
        <w:rPr>
          <w:sz w:val="20"/>
        </w:rPr>
        <w:t xml:space="preserve">б) 0,75 (ноль целых семьдесят пять сотых) процентов - для металлических конструкций;</w:t>
      </w:r>
    </w:p>
    <w:p>
      <w:pPr>
        <w:pStyle w:val="0"/>
        <w:spacing w:before="200" w:line-rule="auto"/>
        <w:ind w:firstLine="540"/>
        <w:jc w:val="both"/>
      </w:pPr>
      <w:r>
        <w:rPr>
          <w:sz w:val="20"/>
        </w:rPr>
        <w:t xml:space="preserve">в) 1,2 (одна целая две десятых) процента - для оборудования.</w:t>
      </w:r>
    </w:p>
    <w:p>
      <w:pPr>
        <w:pStyle w:val="0"/>
        <w:spacing w:before="200" w:line-rule="auto"/>
        <w:ind w:firstLine="540"/>
        <w:jc w:val="both"/>
      </w:pPr>
      <w:r>
        <w:rPr>
          <w:sz w:val="20"/>
        </w:rPr>
        <w:t xml:space="preserve">При перевозке грузов для строительства на расстояние свыше 30 километров, учтенных ФССЦ (по части территории субъекта Российской Федерации, в которой расположен объект строительства) заготовительно-складские расходы на дополнительные транспортные затраты не начисляются.</w:t>
      </w:r>
    </w:p>
    <w:p>
      <w:pPr>
        <w:pStyle w:val="0"/>
        <w:spacing w:before="200" w:line-rule="auto"/>
        <w:ind w:firstLine="540"/>
        <w:jc w:val="both"/>
      </w:pPr>
      <w:r>
        <w:rPr>
          <w:sz w:val="20"/>
        </w:rPr>
        <w:t xml:space="preserve">При определении сметной стоимости воды, пара, электроэнергии, сжатого воздуха заготовительно-складские расходы не начисляются.</w:t>
      </w:r>
    </w:p>
    <w:p>
      <w:pPr>
        <w:pStyle w:val="0"/>
        <w:jc w:val="both"/>
      </w:pPr>
      <w:r>
        <w:rPr>
          <w:sz w:val="20"/>
        </w:rPr>
        <w:t xml:space="preserve">(абзац введен </w:t>
      </w:r>
      <w:hyperlink w:history="0" r:id="rId12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jc w:val="both"/>
      </w:pPr>
      <w:r>
        <w:rPr>
          <w:sz w:val="20"/>
        </w:rPr>
      </w:r>
    </w:p>
    <w:bookmarkStart w:id="431" w:name="P431"/>
    <w:bookmarkEnd w:id="431"/>
    <w:p>
      <w:pPr>
        <w:pStyle w:val="2"/>
        <w:outlineLvl w:val="1"/>
        <w:jc w:val="center"/>
      </w:pPr>
      <w:r>
        <w:rPr>
          <w:sz w:val="20"/>
        </w:rPr>
        <w:t xml:space="preserve">V. Особенности определения сметной стоимости оплаты</w:t>
      </w:r>
    </w:p>
    <w:p>
      <w:pPr>
        <w:pStyle w:val="2"/>
        <w:jc w:val="center"/>
      </w:pPr>
      <w:r>
        <w:rPr>
          <w:sz w:val="20"/>
        </w:rPr>
        <w:t xml:space="preserve">труда, эксплуатации машин и механизмов, материальных</w:t>
      </w:r>
    </w:p>
    <w:p>
      <w:pPr>
        <w:pStyle w:val="2"/>
        <w:jc w:val="center"/>
      </w:pPr>
      <w:r>
        <w:rPr>
          <w:sz w:val="20"/>
        </w:rPr>
        <w:t xml:space="preserve">ресурсов и оборудования при разработке локальных сметных</w:t>
      </w:r>
    </w:p>
    <w:p>
      <w:pPr>
        <w:pStyle w:val="2"/>
        <w:jc w:val="center"/>
      </w:pPr>
      <w:r>
        <w:rPr>
          <w:sz w:val="20"/>
        </w:rPr>
        <w:t xml:space="preserve">расчетов (смет) ресурсно-индексным методом</w:t>
      </w:r>
    </w:p>
    <w:p>
      <w:pPr>
        <w:pStyle w:val="0"/>
        <w:jc w:val="both"/>
      </w:pPr>
      <w:r>
        <w:rPr>
          <w:sz w:val="20"/>
        </w:rPr>
      </w:r>
    </w:p>
    <w:p>
      <w:pPr>
        <w:pStyle w:val="0"/>
        <w:ind w:firstLine="540"/>
        <w:jc w:val="both"/>
      </w:pPr>
      <w:r>
        <w:rPr>
          <w:sz w:val="20"/>
        </w:rPr>
        <w:t xml:space="preserve">93. Размер средств на оплату труда рабочих (ОТ</w:t>
      </w:r>
      <w:r>
        <w:rPr>
          <w:sz w:val="20"/>
          <w:vertAlign w:val="subscript"/>
        </w:rPr>
        <w:t xml:space="preserve">тек</w:t>
      </w:r>
      <w:r>
        <w:rPr>
          <w:sz w:val="20"/>
        </w:rPr>
        <w:t xml:space="preserve">) определяется в текущем уровне цен на основании сметных норм, данных об объемах работ, принятых в проектной и (или) иной технической документации и размещенных в ФГИС ЦС сметных цен на затраты труда по </w:t>
      </w:r>
      <w:hyperlink w:history="0" w:anchor="P310" w:tooltip="Ссылка на текущий документ">
        <w:r>
          <w:rPr>
            <w:sz w:val="20"/>
            <w:color w:val="0000ff"/>
          </w:rPr>
          <w:t xml:space="preserve">формуле (1)</w:t>
        </w:r>
      </w:hyperlink>
      <w:r>
        <w:rPr>
          <w:sz w:val="20"/>
        </w:rPr>
        <w:t xml:space="preserve"> и в соответствии с положениями, указанными в </w:t>
      </w:r>
      <w:hyperlink w:history="0" w:anchor="P308" w:tooltip="79. Размер средств на оплату труда рабочих (ОТтек) определяется в текущем уровне цен на основании сметных норм, сметных цен на затраты труда и данных об объемах работ, принятых в проектной и (или) иной технической документации по формуле (1):">
        <w:r>
          <w:rPr>
            <w:sz w:val="20"/>
            <w:color w:val="0000ff"/>
          </w:rPr>
          <w:t xml:space="preserve">пунктах 79</w:t>
        </w:r>
      </w:hyperlink>
      <w:r>
        <w:rPr>
          <w:sz w:val="20"/>
        </w:rPr>
        <w:t xml:space="preserve"> и </w:t>
      </w:r>
      <w:hyperlink w:history="0" w:anchor="P320" w:tooltip="80. Затраты труда рабочих, работников - исполнителей реставрационных работ или пусконаладочного персонала на измеритель сметной нормы, а также средний разряд работ или состав звена пусконаладочного персонала определяются на основании сметных норм.">
        <w:r>
          <w:rPr>
            <w:sz w:val="20"/>
            <w:color w:val="0000ff"/>
          </w:rPr>
          <w:t xml:space="preserve">80</w:t>
        </w:r>
      </w:hyperlink>
      <w:r>
        <w:rPr>
          <w:sz w:val="20"/>
        </w:rPr>
        <w:t xml:space="preserve"> Методики.</w:t>
      </w:r>
    </w:p>
    <w:bookmarkStart w:id="437" w:name="P437"/>
    <w:bookmarkEnd w:id="437"/>
    <w:p>
      <w:pPr>
        <w:pStyle w:val="0"/>
        <w:spacing w:before="200" w:line-rule="auto"/>
        <w:ind w:firstLine="540"/>
        <w:jc w:val="both"/>
      </w:pPr>
      <w:r>
        <w:rPr>
          <w:sz w:val="20"/>
        </w:rPr>
        <w:t xml:space="preserve">94. Сметная стоимость эксплуатации машин и механизмов (ЭММ</w:t>
      </w:r>
      <w:r>
        <w:rPr>
          <w:sz w:val="20"/>
          <w:vertAlign w:val="subscript"/>
        </w:rPr>
        <w:t xml:space="preserve">тек</w:t>
      </w:r>
      <w:r>
        <w:rPr>
          <w:sz w:val="20"/>
        </w:rPr>
        <w:t xml:space="preserve">) определяется в текущем уровне цен на основании данных о составе, времени эксплуатации и размещенных в ФГИС ЦС сметных ценах на эксплуатацию машин и механизмов по </w:t>
      </w:r>
      <w:hyperlink w:history="0" w:anchor="P351" w:tooltip="Ссылка на текущий документ">
        <w:r>
          <w:rPr>
            <w:sz w:val="20"/>
            <w:color w:val="0000ff"/>
          </w:rPr>
          <w:t xml:space="preserve">формуле (2)</w:t>
        </w:r>
      </w:hyperlink>
      <w:r>
        <w:rPr>
          <w:sz w:val="20"/>
        </w:rPr>
        <w:t xml:space="preserve"> с учетом положений, изложенных в </w:t>
      </w:r>
      <w:hyperlink w:history="0" w:anchor="P349" w:tooltip="81. Сметная стоимость эксплуатации машин и механизмов (ЭММтек) определяется в текущем уровне цен на основании данных о составе, времени эксплуатации и сметных ценах на эксплуатацию машин и механизмов по формуле (2):">
        <w:r>
          <w:rPr>
            <w:sz w:val="20"/>
            <w:color w:val="0000ff"/>
          </w:rPr>
          <w:t xml:space="preserve">пунктах 81</w:t>
        </w:r>
      </w:hyperlink>
      <w:r>
        <w:rPr>
          <w:sz w:val="20"/>
        </w:rPr>
        <w:t xml:space="preserve"> - </w:t>
      </w:r>
      <w:hyperlink w:history="0" w:anchor="P391" w:tooltip="84. Перечень строительных машин и механизмов определяется на основании данных сметных норм, учитываемых в локальном сметном расчете (смете) в соответствии с проектной и (или) иной технической документацией.">
        <w:r>
          <w:rPr>
            <w:sz w:val="20"/>
            <w:color w:val="0000ff"/>
          </w:rPr>
          <w:t xml:space="preserve">84</w:t>
        </w:r>
      </w:hyperlink>
      <w:r>
        <w:rPr>
          <w:sz w:val="20"/>
        </w:rPr>
        <w:t xml:space="preserve"> Методики.</w:t>
      </w:r>
    </w:p>
    <w:bookmarkStart w:id="438" w:name="P438"/>
    <w:bookmarkEnd w:id="438"/>
    <w:p>
      <w:pPr>
        <w:pStyle w:val="0"/>
        <w:spacing w:before="200" w:line-rule="auto"/>
        <w:ind w:firstLine="540"/>
        <w:jc w:val="both"/>
      </w:pPr>
      <w:r>
        <w:rPr>
          <w:sz w:val="20"/>
        </w:rPr>
        <w:t xml:space="preserve">95. При отсутствии данных по отдельным строительным машинам и механизмам в ФГИС ЦС сметная цена их эксплуатации в текущем уровне рассчитывается как произведение сметной цены таких машин и механизмов в базисном уровне цен и индексов к группам аналогичных машин и механизмов.</w:t>
      </w:r>
    </w:p>
    <w:p>
      <w:pPr>
        <w:pStyle w:val="0"/>
        <w:spacing w:before="200" w:line-rule="auto"/>
        <w:ind w:firstLine="540"/>
        <w:jc w:val="both"/>
      </w:pPr>
      <w:r>
        <w:rPr>
          <w:sz w:val="20"/>
        </w:rPr>
        <w:t xml:space="preserve">96. Сметная стоимость материальных ресурсов (М</w:t>
      </w:r>
      <w:r>
        <w:rPr>
          <w:sz w:val="20"/>
          <w:vertAlign w:val="subscript"/>
        </w:rPr>
        <w:t xml:space="preserve">тек</w:t>
      </w:r>
      <w:r>
        <w:rPr>
          <w:sz w:val="20"/>
        </w:rPr>
        <w:t xml:space="preserve">), а также оборудования определяется в текущем уровне цен на основании данных об их перечне, количестве и размещенных в ФГИС ЦС сметных ценах по </w:t>
      </w:r>
      <w:hyperlink w:history="0" w:anchor="P394" w:tooltip="Ссылка на текущий документ">
        <w:r>
          <w:rPr>
            <w:sz w:val="20"/>
            <w:color w:val="0000ff"/>
          </w:rPr>
          <w:t xml:space="preserve">формуле (4)</w:t>
        </w:r>
      </w:hyperlink>
      <w:r>
        <w:rPr>
          <w:sz w:val="20"/>
        </w:rPr>
        <w:t xml:space="preserve"> и в соответствии с положениями, указанными в </w:t>
      </w:r>
      <w:hyperlink w:history="0" w:anchor="P392" w:tooltip="85. Сметная стоимость материальных ресурсов (Мтек) определяется в текущем уровне цен на основании данных об их перечне, количестве и сметных ценах по формуле (4):">
        <w:r>
          <w:rPr>
            <w:sz w:val="20"/>
            <w:color w:val="0000ff"/>
          </w:rPr>
          <w:t xml:space="preserve">пунктах 85</w:t>
        </w:r>
      </w:hyperlink>
      <w:r>
        <w:rPr>
          <w:sz w:val="20"/>
        </w:rPr>
        <w:t xml:space="preserve"> - </w:t>
      </w:r>
      <w:hyperlink w:history="0" w:anchor="P414" w:tooltip="89. Сметная цена материальных ресурсов и оборудования принимается на основании информации, размещенной в ФГИС ЦС.">
        <w:r>
          <w:rPr>
            <w:sz w:val="20"/>
            <w:color w:val="0000ff"/>
          </w:rPr>
          <w:t xml:space="preserve">89</w:t>
        </w:r>
      </w:hyperlink>
      <w:r>
        <w:rPr>
          <w:sz w:val="20"/>
        </w:rPr>
        <w:t xml:space="preserve"> Методики.</w:t>
      </w:r>
    </w:p>
    <w:p>
      <w:pPr>
        <w:pStyle w:val="0"/>
        <w:spacing w:before="200" w:line-rule="auto"/>
        <w:ind w:firstLine="540"/>
        <w:jc w:val="both"/>
      </w:pPr>
      <w:r>
        <w:rPr>
          <w:sz w:val="20"/>
        </w:rPr>
        <w:t xml:space="preserve">97. При отсутствии данных по стоимости отдельных материальных ресурсов и оборудования в ФГИС ЦС их сметная цена в текущем уровне цен рассчитывается как произведение сметной цены таких ресурсов в базисном уровне цен и индексов к группам аналогичных материальных ресурсов.</w:t>
      </w:r>
    </w:p>
    <w:p>
      <w:pPr>
        <w:pStyle w:val="0"/>
        <w:spacing w:before="200" w:line-rule="auto"/>
        <w:ind w:firstLine="540"/>
        <w:jc w:val="both"/>
      </w:pPr>
      <w:r>
        <w:rPr>
          <w:sz w:val="20"/>
        </w:rPr>
        <w:t xml:space="preserve">98. При отсутствии сметных цен по отдельным материальным ресурсам и оборудованию в ФГИС ЦС и ФССЦ (ТССЦ), их сметная цена формируется на основании расчета в соответствии с положениями </w:t>
      </w:r>
      <w:hyperlink w:history="0" w:anchor="P415" w:tooltip="90. При отсутствии данных по отдельным материальным ресурсам во ФГИС ЦС их сметная цена в текущем уровне формируется на основании расчета в соответствии со сметными нормативами, сведения о которых включены в ФРСН, и результатов конъюнктурного анализа текущих цен не менее 3 (трех) (при наличии) производителей и (или) поставщиков в соответствии с положениями пунктов 13 - 21 Методики.">
        <w:r>
          <w:rPr>
            <w:sz w:val="20"/>
            <w:color w:val="0000ff"/>
          </w:rPr>
          <w:t xml:space="preserve">пунктов 90</w:t>
        </w:r>
      </w:hyperlink>
      <w:r>
        <w:rPr>
          <w:sz w:val="20"/>
        </w:rPr>
        <w:t xml:space="preserve"> - </w:t>
      </w:r>
      <w:hyperlink w:history="0" w:anchor="P423" w:tooltip="92. Размер заготовительно-складских расходов определяется в процентах от суммы отпускной цены материалов, изделий, конструкций, оборудования и транспортных затрат в следующих размерах:">
        <w:r>
          <w:rPr>
            <w:sz w:val="20"/>
            <w:color w:val="0000ff"/>
          </w:rPr>
          <w:t xml:space="preserve">92</w:t>
        </w:r>
      </w:hyperlink>
      <w:r>
        <w:rPr>
          <w:sz w:val="20"/>
        </w:rPr>
        <w:t xml:space="preserve"> Методики.</w:t>
      </w:r>
    </w:p>
    <w:p>
      <w:pPr>
        <w:pStyle w:val="0"/>
        <w:jc w:val="both"/>
      </w:pPr>
      <w:r>
        <w:rPr>
          <w:sz w:val="20"/>
        </w:rPr>
      </w:r>
    </w:p>
    <w:p>
      <w:pPr>
        <w:pStyle w:val="2"/>
        <w:outlineLvl w:val="1"/>
        <w:jc w:val="center"/>
      </w:pPr>
      <w:r>
        <w:rPr>
          <w:sz w:val="20"/>
        </w:rPr>
        <w:t xml:space="preserve">VI. Особенности определения в локальных сметных</w:t>
      </w:r>
    </w:p>
    <w:p>
      <w:pPr>
        <w:pStyle w:val="2"/>
        <w:jc w:val="center"/>
      </w:pPr>
      <w:r>
        <w:rPr>
          <w:sz w:val="20"/>
        </w:rPr>
        <w:t xml:space="preserve">расчетах (сметах) сметных затрат на оборудование</w:t>
      </w:r>
    </w:p>
    <w:p>
      <w:pPr>
        <w:pStyle w:val="0"/>
        <w:jc w:val="both"/>
      </w:pPr>
      <w:r>
        <w:rPr>
          <w:sz w:val="20"/>
        </w:rPr>
      </w:r>
    </w:p>
    <w:p>
      <w:pPr>
        <w:pStyle w:val="0"/>
        <w:ind w:firstLine="540"/>
        <w:jc w:val="both"/>
      </w:pPr>
      <w:r>
        <w:rPr>
          <w:sz w:val="20"/>
        </w:rPr>
        <w:t xml:space="preserve">99. При определении сметной стоимости строительства к стоимости оборудования относятся затраты на приобретение:</w:t>
      </w:r>
    </w:p>
    <w:p>
      <w:pPr>
        <w:pStyle w:val="0"/>
        <w:spacing w:before="200" w:line-rule="auto"/>
        <w:ind w:firstLine="540"/>
        <w:jc w:val="both"/>
      </w:pPr>
      <w:r>
        <w:rPr>
          <w:sz w:val="20"/>
        </w:rPr>
        <w:t xml:space="preserve">а) технологических линий, станков, установок, аппаратов, машин, механизмов, приборов и других устройств, совершающих различные технологические процессы, в результате которых производится энергия, вырабатывается полуфабрикат, готовый продукт или обеспечивается их перемещение, а также сопутствующие им процессы, обеспечивающие автоматизацию управления технологическими процессами, функции связи и контроля;</w:t>
      </w:r>
    </w:p>
    <w:p>
      <w:pPr>
        <w:pStyle w:val="0"/>
        <w:spacing w:before="200" w:line-rule="auto"/>
        <w:ind w:firstLine="540"/>
        <w:jc w:val="both"/>
      </w:pPr>
      <w:r>
        <w:rPr>
          <w:sz w:val="20"/>
        </w:rPr>
        <w:t xml:space="preserve">б) санитарно-технического оборудования, связанного с обеспечением работы технологического оборудования и технологических процессов;</w:t>
      </w:r>
    </w:p>
    <w:p>
      <w:pPr>
        <w:pStyle w:val="0"/>
        <w:spacing w:before="200" w:line-rule="auto"/>
        <w:ind w:firstLine="540"/>
        <w:jc w:val="both"/>
      </w:pPr>
      <w:r>
        <w:rPr>
          <w:sz w:val="20"/>
        </w:rPr>
        <w:t xml:space="preserve">в) поставляемых в комплекте с основным оборудованием обвязочных трубопроводов, трубопроводной арматуры, металлических конструкций, мерных участков кабелей с разделанными концами;</w:t>
      </w:r>
    </w:p>
    <w:p>
      <w:pPr>
        <w:pStyle w:val="0"/>
        <w:spacing w:before="200" w:line-rule="auto"/>
        <w:ind w:firstLine="540"/>
        <w:jc w:val="both"/>
      </w:pPr>
      <w:r>
        <w:rPr>
          <w:sz w:val="20"/>
        </w:rPr>
        <w:t xml:space="preserve">г) первоначального фонда инструмента, технологической оснастки и инвентаря, необходимых для эксплуатации вводимых в действие предприятий, зданий и сооружений;</w:t>
      </w:r>
    </w:p>
    <w:p>
      <w:pPr>
        <w:pStyle w:val="0"/>
        <w:spacing w:before="200" w:line-rule="auto"/>
        <w:ind w:firstLine="540"/>
        <w:jc w:val="both"/>
      </w:pPr>
      <w:r>
        <w:rPr>
          <w:sz w:val="20"/>
        </w:rPr>
        <w:t xml:space="preserve">д) транспортных средств, относящихся к подвижному составу транспортного хозяйства предприятий производственного назначения, используемых для перемещения грузов в ходе обслуживания технологических процессов переработки, выпуска продукции (подвижной состав для перевозки грузов по железнодорожным путям, автомобильные транспортные средства и прочие транспортные средства);</w:t>
      </w:r>
    </w:p>
    <w:p>
      <w:pPr>
        <w:pStyle w:val="0"/>
        <w:spacing w:before="200" w:line-rule="auto"/>
        <w:ind w:firstLine="540"/>
        <w:jc w:val="both"/>
      </w:pPr>
      <w:r>
        <w:rPr>
          <w:sz w:val="20"/>
        </w:rPr>
        <w:t xml:space="preserve">е) запасных частей к оборудованию.</w:t>
      </w:r>
    </w:p>
    <w:p>
      <w:pPr>
        <w:pStyle w:val="0"/>
        <w:spacing w:before="200" w:line-rule="auto"/>
        <w:ind w:firstLine="540"/>
        <w:jc w:val="both"/>
      </w:pPr>
      <w:r>
        <w:rPr>
          <w:sz w:val="20"/>
        </w:rPr>
        <w:t xml:space="preserve">100. При формировании сметной стоимости в локальных сметных расчетах (сметах) и (или) разделах локальных сметных расчетов (смет) отдельно определяется сметная стоимость:</w:t>
      </w:r>
    </w:p>
    <w:p>
      <w:pPr>
        <w:pStyle w:val="0"/>
        <w:jc w:val="both"/>
      </w:pPr>
      <w:r>
        <w:rPr>
          <w:sz w:val="20"/>
        </w:rPr>
        <w:t xml:space="preserve">(в ред. </w:t>
      </w:r>
      <w:hyperlink w:history="0" r:id="rId12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а) инженерного оборудования;</w:t>
      </w:r>
    </w:p>
    <w:p>
      <w:pPr>
        <w:pStyle w:val="0"/>
        <w:spacing w:before="200" w:line-rule="auto"/>
        <w:ind w:firstLine="540"/>
        <w:jc w:val="both"/>
      </w:pPr>
      <w:r>
        <w:rPr>
          <w:sz w:val="20"/>
        </w:rPr>
        <w:t xml:space="preserve">б) технологического оборудования;</w:t>
      </w:r>
    </w:p>
    <w:p>
      <w:pPr>
        <w:pStyle w:val="0"/>
        <w:spacing w:before="200" w:line-rule="auto"/>
        <w:ind w:firstLine="540"/>
        <w:jc w:val="both"/>
      </w:pPr>
      <w:r>
        <w:rPr>
          <w:sz w:val="20"/>
        </w:rPr>
        <w:t xml:space="preserve">в) лабораторного оборудования;</w:t>
      </w:r>
    </w:p>
    <w:p>
      <w:pPr>
        <w:pStyle w:val="0"/>
        <w:spacing w:before="200" w:line-rule="auto"/>
        <w:ind w:firstLine="540"/>
        <w:jc w:val="both"/>
      </w:pPr>
      <w:r>
        <w:rPr>
          <w:sz w:val="20"/>
        </w:rPr>
        <w:t xml:space="preserve">г) транспортных средств;</w:t>
      </w:r>
    </w:p>
    <w:p>
      <w:pPr>
        <w:pStyle w:val="0"/>
        <w:spacing w:before="200" w:line-rule="auto"/>
        <w:ind w:firstLine="540"/>
        <w:jc w:val="both"/>
      </w:pPr>
      <w:r>
        <w:rPr>
          <w:sz w:val="20"/>
        </w:rPr>
        <w:t xml:space="preserve">д) инструмента для технологических процессов;</w:t>
      </w:r>
    </w:p>
    <w:p>
      <w:pPr>
        <w:pStyle w:val="0"/>
        <w:spacing w:before="200" w:line-rule="auto"/>
        <w:ind w:firstLine="540"/>
        <w:jc w:val="both"/>
      </w:pPr>
      <w:r>
        <w:rPr>
          <w:sz w:val="20"/>
        </w:rPr>
        <w:t xml:space="preserve">е) производственного и хозяйственного инвентаря, в том числе мебели.</w:t>
      </w:r>
    </w:p>
    <w:p>
      <w:pPr>
        <w:pStyle w:val="0"/>
        <w:spacing w:before="200" w:line-rule="auto"/>
        <w:ind w:firstLine="540"/>
        <w:jc w:val="both"/>
      </w:pPr>
      <w:r>
        <w:rPr>
          <w:sz w:val="20"/>
        </w:rPr>
        <w:t xml:space="preserve">101. К инженерному оборудованию в локальных сметных расчетах (сметах) относится оборудование, несущее функциональную нагрузку в здании или сооружении и обеспечивающее заданные параметры эксплуатации объекта капитального строительства: подъемно-транспортное оборудование (лифты, эскалаторы, траволаторы и другое оборудование), оборудование систем инженерно-технического обеспечения, другое оборудование.</w:t>
      </w:r>
    </w:p>
    <w:p>
      <w:pPr>
        <w:pStyle w:val="0"/>
        <w:spacing w:before="200" w:line-rule="auto"/>
        <w:ind w:firstLine="540"/>
        <w:jc w:val="both"/>
      </w:pPr>
      <w:r>
        <w:rPr>
          <w:sz w:val="20"/>
        </w:rPr>
        <w:t xml:space="preserve">102. К технологическому оборудованию в локальных сметных расчетах (сметах) относится функциональное оборудование, используемое в технологических процессах переработки, выпуска продукции предприятий производственного назначения, оборудование, используемое для оказания услуг (медицинское оборудование, мультимедийное обучающее и развивающее оборудование и другое оборудование) для объектов непроизводственного назначения.</w:t>
      </w:r>
    </w:p>
    <w:p>
      <w:pPr>
        <w:pStyle w:val="0"/>
        <w:spacing w:before="200" w:line-rule="auto"/>
        <w:ind w:firstLine="540"/>
        <w:jc w:val="both"/>
      </w:pPr>
      <w:r>
        <w:rPr>
          <w:sz w:val="20"/>
        </w:rPr>
        <w:t xml:space="preserve">Необходимость учета в сметной документации затрат на приобретение технологического оборудования, в том числе для первоначального оснащения зданий и сооружений, указывается в задании на проектирование.</w:t>
      </w:r>
    </w:p>
    <w:p>
      <w:pPr>
        <w:pStyle w:val="0"/>
        <w:jc w:val="both"/>
      </w:pPr>
      <w:r>
        <w:rPr>
          <w:sz w:val="20"/>
        </w:rPr>
        <w:t xml:space="preserve">(п. 102 в ред. </w:t>
      </w:r>
      <w:hyperlink w:history="0" r:id="rId12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103. В локальные сметные расчеты (сметы) включается стоимость транспортных средств, относящихся к подвижному составу транспортного хозяйства предприятий производственного назначения, используемых для перемещения грузов в ходе обслуживания технологических процессов переработки, выпуска продукции (подвижной состав для перевозки грузов по железнодорожным путям, автомобильные транспортные средства и прочие транспортные средства). Перечень транспортных средств, подлежащих учету в сметной стоимости строительства, определяется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w:t>
      </w:r>
    </w:p>
    <w:p>
      <w:pPr>
        <w:pStyle w:val="0"/>
        <w:spacing w:before="200" w:line-rule="auto"/>
        <w:ind w:firstLine="540"/>
        <w:jc w:val="both"/>
      </w:pPr>
      <w:r>
        <w:rPr>
          <w:sz w:val="20"/>
        </w:rPr>
        <w:t xml:space="preserve">104. При определении сметной стоимости строительства не учитывается стоимость транспортных средств, не связанных с технологией производства и не участвующих в технологических процессах переработки, выпуска продукции, в том числе:</w:t>
      </w:r>
    </w:p>
    <w:p>
      <w:pPr>
        <w:pStyle w:val="0"/>
        <w:spacing w:before="200" w:line-rule="auto"/>
        <w:ind w:firstLine="540"/>
        <w:jc w:val="both"/>
      </w:pPr>
      <w:r>
        <w:rPr>
          <w:sz w:val="20"/>
        </w:rPr>
        <w:t xml:space="preserve">а) для объектов железнодорожного транспорта: подвижной железнодорожный состав (локомотивы, вагоны всех модификаций), в том числе и вагоны для строящихся и действующих метрополитенов, контейнеры, краны на железнодорожном ходу, передвижные тяговые подстанции и ремонтные единицы, путевые машины и механизмы;</w:t>
      </w:r>
    </w:p>
    <w:p>
      <w:pPr>
        <w:pStyle w:val="0"/>
        <w:spacing w:before="200" w:line-rule="auto"/>
        <w:ind w:firstLine="540"/>
        <w:jc w:val="both"/>
      </w:pPr>
      <w:r>
        <w:rPr>
          <w:sz w:val="20"/>
        </w:rPr>
        <w:t xml:space="preserve">б) для объектов воздушного транспорта: самолеты, вертолеты, двигатели к ним, авиационное оборудование пассажирского и грузового воздушного транспорта;</w:t>
      </w:r>
    </w:p>
    <w:p>
      <w:pPr>
        <w:pStyle w:val="0"/>
        <w:spacing w:before="200" w:line-rule="auto"/>
        <w:ind w:firstLine="540"/>
        <w:jc w:val="both"/>
      </w:pPr>
      <w:r>
        <w:rPr>
          <w:sz w:val="20"/>
        </w:rPr>
        <w:t xml:space="preserve">в) для объектов морского транспорта и внутреннего водного транспорта: морские суда и суда внутреннего водного транспорта всех наименований, контейнеры, паромы, плавучие доки и краны, землесосы и земснаряды, спасательные плавсредства и шлюпки, такелаж, электронавигационное оборудование;</w:t>
      </w:r>
    </w:p>
    <w:p>
      <w:pPr>
        <w:pStyle w:val="0"/>
        <w:spacing w:before="200" w:line-rule="auto"/>
        <w:ind w:firstLine="540"/>
        <w:jc w:val="both"/>
      </w:pPr>
      <w:r>
        <w:rPr>
          <w:sz w:val="20"/>
        </w:rPr>
        <w:t xml:space="preserve">г) для объектов Росгидромета: специальные суда и другие транспортные средства Росгидромета;</w:t>
      </w:r>
    </w:p>
    <w:p>
      <w:pPr>
        <w:pStyle w:val="0"/>
        <w:spacing w:before="200" w:line-rule="auto"/>
        <w:ind w:firstLine="540"/>
        <w:jc w:val="both"/>
      </w:pPr>
      <w:r>
        <w:rPr>
          <w:sz w:val="20"/>
        </w:rPr>
        <w:t xml:space="preserve">д) для объектов автомобильного транспорта: грузовые и легковые автомобили, автобусы, автоприцепы, подвижной состав для объединенных железнодорожно-автомобильных предприятий, машины дорожного хозяйства;</w:t>
      </w:r>
    </w:p>
    <w:p>
      <w:pPr>
        <w:pStyle w:val="0"/>
        <w:spacing w:before="200" w:line-rule="auto"/>
        <w:ind w:firstLine="540"/>
        <w:jc w:val="both"/>
      </w:pPr>
      <w:r>
        <w:rPr>
          <w:sz w:val="20"/>
        </w:rPr>
        <w:t xml:space="preserve">е) для объектов рыболовства и рыбоводства: суда и контейнеры флота рыбной промышленности;</w:t>
      </w:r>
    </w:p>
    <w:p>
      <w:pPr>
        <w:pStyle w:val="0"/>
        <w:spacing w:before="200" w:line-rule="auto"/>
        <w:ind w:firstLine="540"/>
        <w:jc w:val="both"/>
      </w:pPr>
      <w:r>
        <w:rPr>
          <w:sz w:val="20"/>
        </w:rPr>
        <w:t xml:space="preserve">ж) для объектов коммунального хозяйства: трамваи, автобусы, троллейбусы, машины для очистки и поливки улиц, а также другие машины коммунального хозяйства;</w:t>
      </w:r>
    </w:p>
    <w:p>
      <w:pPr>
        <w:pStyle w:val="0"/>
        <w:spacing w:before="200" w:line-rule="auto"/>
        <w:ind w:firstLine="540"/>
        <w:jc w:val="both"/>
      </w:pPr>
      <w:r>
        <w:rPr>
          <w:sz w:val="20"/>
        </w:rPr>
        <w:t xml:space="preserve">з) для объектов строительства: строительные машины, механизмы и транспортные средства строительных и монтажных организаций;</w:t>
      </w:r>
    </w:p>
    <w:p>
      <w:pPr>
        <w:pStyle w:val="0"/>
        <w:spacing w:before="200" w:line-rule="auto"/>
        <w:ind w:firstLine="540"/>
        <w:jc w:val="both"/>
      </w:pPr>
      <w:r>
        <w:rPr>
          <w:sz w:val="20"/>
        </w:rPr>
        <w:t xml:space="preserve">и) для объектов сельского хозяйства, а также по сельскохозяйственным предприятиям и организациям, входящим в состав других отраслей: тракторы, комбайны и другие посевные, почвообрабатывающие и уборочные машины, транспортные средства сельскохозяйственных предприятий и организаций;</w:t>
      </w:r>
    </w:p>
    <w:p>
      <w:pPr>
        <w:pStyle w:val="0"/>
        <w:spacing w:before="200" w:line-rule="auto"/>
        <w:ind w:firstLine="540"/>
        <w:jc w:val="both"/>
      </w:pPr>
      <w:r>
        <w:rPr>
          <w:sz w:val="20"/>
        </w:rPr>
        <w:t xml:space="preserve">к) для объектов связи: автомашины и другие транспортные средства для перевозки почты, почтовые железнодорожные вагоны;</w:t>
      </w:r>
    </w:p>
    <w:p>
      <w:pPr>
        <w:pStyle w:val="0"/>
        <w:spacing w:before="200" w:line-rule="auto"/>
        <w:ind w:firstLine="540"/>
        <w:jc w:val="both"/>
      </w:pPr>
      <w:r>
        <w:rPr>
          <w:sz w:val="20"/>
        </w:rPr>
        <w:t xml:space="preserve">л) для всех объектов: энергопоезда, передвижные дизельные электростанции;</w:t>
      </w:r>
    </w:p>
    <w:p>
      <w:pPr>
        <w:pStyle w:val="0"/>
        <w:spacing w:before="200" w:line-rule="auto"/>
        <w:ind w:firstLine="540"/>
        <w:jc w:val="both"/>
      </w:pPr>
      <w:r>
        <w:rPr>
          <w:sz w:val="20"/>
        </w:rPr>
        <w:t xml:space="preserve">м) буровое оборудование (включая буровые установки).</w:t>
      </w:r>
    </w:p>
    <w:p>
      <w:pPr>
        <w:pStyle w:val="0"/>
        <w:spacing w:before="200" w:line-rule="auto"/>
        <w:ind w:firstLine="540"/>
        <w:jc w:val="both"/>
      </w:pPr>
      <w:r>
        <w:rPr>
          <w:sz w:val="20"/>
        </w:rPr>
        <w:t xml:space="preserve">105. В локальных сметных расчетах (сметах) на основании проектной документации учитываются затраты на приобретение производственного и хозяйственного инвентаря, лабораторного оборудования, инструмента для осуществления технологических процессов, предназначенных для первоначального оснащения строящихся или реконструируемых объектов капитального строительства и их функциональной эксплуатацией.</w:t>
      </w:r>
    </w:p>
    <w:p>
      <w:pPr>
        <w:pStyle w:val="0"/>
        <w:spacing w:before="200" w:line-rule="auto"/>
        <w:ind w:firstLine="540"/>
        <w:jc w:val="both"/>
      </w:pPr>
      <w:r>
        <w:rPr>
          <w:sz w:val="20"/>
        </w:rPr>
        <w:t xml:space="preserve">Необходимость учета в сметной документации затрат на приобретение лабораторного оборудования, производственного и хозяйственного инвентаря, в том числе мебели и инструмента, указывается в задании на проектирование.</w:t>
      </w:r>
    </w:p>
    <w:p>
      <w:pPr>
        <w:pStyle w:val="0"/>
        <w:spacing w:before="200" w:line-rule="auto"/>
        <w:ind w:firstLine="540"/>
        <w:jc w:val="both"/>
      </w:pPr>
      <w:r>
        <w:rPr>
          <w:sz w:val="20"/>
        </w:rPr>
        <w:t xml:space="preserve">106. К производственному инвентарю производственных зданий и помещений строящегося (реконструируемого) предприятия относятся предметы, способствующие осуществлению производственного процесса (рабочие столы, стулья для оснащения рабочих мест, верстаки, стеллажи, шкафы для хранения материалов, полуфабрикатов, готовых изделий, поддоны, инвентарь для осуществления мер по охране труда и другое).</w:t>
      </w:r>
    </w:p>
    <w:p>
      <w:pPr>
        <w:pStyle w:val="0"/>
        <w:spacing w:before="200" w:line-rule="auto"/>
        <w:ind w:firstLine="540"/>
        <w:jc w:val="both"/>
      </w:pPr>
      <w:r>
        <w:rPr>
          <w:sz w:val="20"/>
        </w:rPr>
        <w:t xml:space="preserve">107. К хозяйственному инвентарю строящихся или реконструируемых объектов капитального строительства относятся предметы хозяйственного и служебного назначения, необходимые для обеспечения нормальных условий труда (офисная мебель, противопожарный инвентарь, персональные компьютеры, печатающие устройства, модемы и другая многофункциональная, копировальная и вычислительная техника).</w:t>
      </w:r>
    </w:p>
    <w:p>
      <w:pPr>
        <w:pStyle w:val="0"/>
        <w:spacing w:before="200" w:line-rule="auto"/>
        <w:ind w:firstLine="540"/>
        <w:jc w:val="both"/>
      </w:pPr>
      <w:r>
        <w:rPr>
          <w:sz w:val="20"/>
        </w:rPr>
        <w:t xml:space="preserve">108. К инструменту, необходимому для осуществления технологических процессов на строящемся (реконструируемом) предприятии, относятся технические средства, приспособления, обладающие индивидуальными (уникальными) свойствами и предназначенные для обеспечения условий изготовления (выпуска) конкретных видов продукции.</w:t>
      </w:r>
    </w:p>
    <w:p>
      <w:pPr>
        <w:pStyle w:val="0"/>
        <w:spacing w:before="200" w:line-rule="auto"/>
        <w:ind w:firstLine="540"/>
        <w:jc w:val="both"/>
      </w:pPr>
      <w:r>
        <w:rPr>
          <w:sz w:val="20"/>
        </w:rPr>
        <w:t xml:space="preserve">109. К лабораторному оборудованию относятся измерительные приборы, специальное оборудование для проведения экспериментов, испытаний, исследований, анализа (микроскопы, весы, анализаторы, прессы и другое лабораторное оборудование).</w:t>
      </w:r>
    </w:p>
    <w:p>
      <w:pPr>
        <w:pStyle w:val="0"/>
        <w:spacing w:before="200" w:line-rule="auto"/>
        <w:ind w:firstLine="540"/>
        <w:jc w:val="both"/>
      </w:pPr>
      <w:r>
        <w:rPr>
          <w:sz w:val="20"/>
        </w:rPr>
        <w:t xml:space="preserve">110. Для объектов непроизводственного назначения сметная стоимость производственного и хозяйственного инвентаря относится к сметной стоимости оборудования.</w:t>
      </w:r>
    </w:p>
    <w:p>
      <w:pPr>
        <w:pStyle w:val="0"/>
        <w:spacing w:before="200" w:line-rule="auto"/>
        <w:ind w:firstLine="540"/>
        <w:jc w:val="both"/>
      </w:pPr>
      <w:r>
        <w:rPr>
          <w:sz w:val="20"/>
        </w:rPr>
        <w:t xml:space="preserve">Для объектов производственного назначения (в том числе линейных объектов) сметная стоимость инструмента для технологических процессов, производственного инвентаря относится к сметной стоимости оборудования, хозяйственного инвентаря - к прочим затратам, при этом методические подходы к расчету их стоимости аналогичны подходам к определению сметной стоимости оборудования.</w:t>
      </w:r>
    </w:p>
    <w:p>
      <w:pPr>
        <w:pStyle w:val="0"/>
        <w:spacing w:before="200" w:line-rule="auto"/>
        <w:ind w:firstLine="540"/>
        <w:jc w:val="both"/>
      </w:pPr>
      <w:r>
        <w:rPr>
          <w:sz w:val="20"/>
        </w:rPr>
        <w:t xml:space="preserve">111. В зависимости от специфики изготовления различают:</w:t>
      </w:r>
    </w:p>
    <w:p>
      <w:pPr>
        <w:pStyle w:val="0"/>
        <w:spacing w:before="200" w:line-rule="auto"/>
        <w:ind w:firstLine="540"/>
        <w:jc w:val="both"/>
      </w:pPr>
      <w:r>
        <w:rPr>
          <w:sz w:val="20"/>
        </w:rPr>
        <w:t xml:space="preserve">а) серийно выпускаемое оборудование с типовыми (нормализованными) характеристиками, производимое промышленными предприятиями крупными, средними и малыми партиями в соответствии с государственными и отраслевыми стандартами, техническими условиями (далее соответственно - стандартное оборудование, ТУ);</w:t>
      </w:r>
    </w:p>
    <w:p>
      <w:pPr>
        <w:pStyle w:val="0"/>
        <w:spacing w:before="200" w:line-rule="auto"/>
        <w:ind w:firstLine="540"/>
        <w:jc w:val="both"/>
      </w:pPr>
      <w:r>
        <w:rPr>
          <w:sz w:val="20"/>
        </w:rPr>
        <w:t xml:space="preserve">б) оборудование, имеющее отклонения от нормализованных технических характеристик, а также типоразмеров, предусмотренных государственными и отраслевыми стандартами или ТУ, но не предполагающие существенного изменения в конструкцию и необходимые для адаптации к условиям конкретного объекта капитального строительства (далее - индивидуальное стандартизированное (адаптированное) оборудование);</w:t>
      </w:r>
    </w:p>
    <w:p>
      <w:pPr>
        <w:pStyle w:val="0"/>
        <w:spacing w:before="200" w:line-rule="auto"/>
        <w:ind w:firstLine="540"/>
        <w:jc w:val="both"/>
      </w:pPr>
      <w:r>
        <w:rPr>
          <w:sz w:val="20"/>
        </w:rPr>
        <w:t xml:space="preserve">в) оборудование, изготавливаемое по специальным техническим условиям, по единичным заказам, применяемое в силу особых технических решений в проектной документации на строительство, не имеющее стандартов на технические характеристики и параметры, на которое отсутствуют государственные и отраслевые стандарты, технические условия и изготавливаемое в индивидуальном порядке в единственном экземпляре на основании выполнения научно-исследовательских и опытно-конструкторских работ (далее - нестандартизированное оборудование).</w:t>
      </w:r>
    </w:p>
    <w:bookmarkStart w:id="491" w:name="P491"/>
    <w:bookmarkEnd w:id="491"/>
    <w:p>
      <w:pPr>
        <w:pStyle w:val="0"/>
        <w:spacing w:before="200" w:line-rule="auto"/>
        <w:ind w:firstLine="540"/>
        <w:jc w:val="both"/>
      </w:pPr>
      <w:r>
        <w:rPr>
          <w:sz w:val="20"/>
        </w:rPr>
        <w:t xml:space="preserve">112. Сметная стоимость стандартного оборудования в текущем уровне цен определяется в порядке, приведенном в </w:t>
      </w:r>
      <w:hyperlink w:history="0" w:anchor="P412" w:tooltip="88. Сметная цена материальных ресурсов и оборудования учитывает затраты, связанные с их приобретением (в том числе стоимость тары, упаковки, реквизита (при наличии таковых), для оборудования также - стоимости комплекта запасных частей на гарантийный срок эксплуатации), снабженческие наценки, а также расходы на уплату пошлин, налогов и сборов, другие таможенные платежи (в случаях, установленных законодательством), заготовительно-складские расходы, стоимость их перевозки, и определяется на основании расчет...">
        <w:r>
          <w:rPr>
            <w:sz w:val="20"/>
            <w:color w:val="0000ff"/>
          </w:rPr>
          <w:t xml:space="preserve">пунктах 88</w:t>
        </w:r>
      </w:hyperlink>
      <w:r>
        <w:rPr>
          <w:sz w:val="20"/>
        </w:rPr>
        <w:t xml:space="preserve"> - </w:t>
      </w:r>
      <w:hyperlink w:history="0" w:anchor="P423" w:tooltip="92. Размер заготовительно-складских расходов определяется в процентах от суммы отпускной цены материалов, изделий, конструкций, оборудования и транспортных затрат в следующих размерах:">
        <w:r>
          <w:rPr>
            <w:sz w:val="20"/>
            <w:color w:val="0000ff"/>
          </w:rPr>
          <w:t xml:space="preserve">92</w:t>
        </w:r>
      </w:hyperlink>
      <w:r>
        <w:rPr>
          <w:sz w:val="20"/>
        </w:rPr>
        <w:t xml:space="preserve"> Методики.</w:t>
      </w:r>
    </w:p>
    <w:p>
      <w:pPr>
        <w:pStyle w:val="0"/>
        <w:spacing w:before="200" w:line-rule="auto"/>
        <w:ind w:firstLine="540"/>
        <w:jc w:val="both"/>
      </w:pPr>
      <w:r>
        <w:rPr>
          <w:sz w:val="20"/>
        </w:rPr>
        <w:t xml:space="preserve">113. Стоимость индивидуального стандартизированного (адаптированного) оборудования в текущем уровне цен определяется на основании ТКП и (или) РКЦ. Определение стоимости индивидуального стандартизированного (адаптированного) оборудования по результатам конъюнктурного анализа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на основании ТКП осуществляется в случае возможности производства оборудования не менее чем 2-мя производителями с предоставлением соответствующего ТКП от каждого.</w:t>
      </w:r>
    </w:p>
    <w:p>
      <w:pPr>
        <w:pStyle w:val="0"/>
        <w:spacing w:before="200" w:line-rule="auto"/>
        <w:ind w:firstLine="540"/>
        <w:jc w:val="both"/>
      </w:pPr>
      <w:r>
        <w:rPr>
          <w:sz w:val="20"/>
        </w:rPr>
        <w:t xml:space="preserve">114. Определение стоимости индивидуального стандартизированного (адаптированного) оборудования осуществляется на основании РКЦ в соответствии с </w:t>
      </w:r>
      <w:hyperlink w:history="0" w:anchor="P121" w:tooltip="18. РКЦ, предоставляемые производителями, расположенными на территории Российской Федерации, содержат следующие статьи затрат:">
        <w:r>
          <w:rPr>
            <w:sz w:val="20"/>
            <w:color w:val="0000ff"/>
          </w:rPr>
          <w:t xml:space="preserve">пунктами 18</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в следующих случаях:</w:t>
      </w:r>
    </w:p>
    <w:p>
      <w:pPr>
        <w:pStyle w:val="0"/>
        <w:spacing w:before="200" w:line-rule="auto"/>
        <w:ind w:firstLine="540"/>
        <w:jc w:val="both"/>
      </w:pPr>
      <w:r>
        <w:rPr>
          <w:sz w:val="20"/>
        </w:rPr>
        <w:t xml:space="preserve">а) наличия безальтернативного (единственного) производителя для данного оборудования;</w:t>
      </w:r>
    </w:p>
    <w:p>
      <w:pPr>
        <w:pStyle w:val="0"/>
        <w:spacing w:before="200" w:line-rule="auto"/>
        <w:ind w:firstLine="540"/>
        <w:jc w:val="both"/>
      </w:pPr>
      <w:r>
        <w:rPr>
          <w:sz w:val="20"/>
        </w:rPr>
        <w:t xml:space="preserve">б) закупки оборудования конкретного производителя в связи с особенностями объекта строительства;</w:t>
      </w:r>
    </w:p>
    <w:p>
      <w:pPr>
        <w:pStyle w:val="0"/>
        <w:spacing w:before="200" w:line-rule="auto"/>
        <w:ind w:firstLine="540"/>
        <w:jc w:val="both"/>
      </w:pPr>
      <w:r>
        <w:rPr>
          <w:sz w:val="20"/>
        </w:rPr>
        <w:t xml:space="preserve">в) отсутствия данных о цене и характеристиках в открытых источниках информации.</w:t>
      </w:r>
    </w:p>
    <w:bookmarkStart w:id="497" w:name="P497"/>
    <w:bookmarkEnd w:id="497"/>
    <w:p>
      <w:pPr>
        <w:pStyle w:val="0"/>
        <w:spacing w:before="200" w:line-rule="auto"/>
        <w:ind w:firstLine="540"/>
        <w:jc w:val="both"/>
      </w:pPr>
      <w:r>
        <w:rPr>
          <w:sz w:val="20"/>
        </w:rPr>
        <w:t xml:space="preserve">115. Стоимость нестандартизированного оборудования в текущем уровне цен определяется на основании договора выполнения научно-исследовательских и опытно-конструкторских работ (далее - НИОКР). В иных случаях в сметной стоимости оборудования затраты на НИОКР не учитываются.</w:t>
      </w:r>
    </w:p>
    <w:p>
      <w:pPr>
        <w:pStyle w:val="0"/>
        <w:spacing w:before="200" w:line-rule="auto"/>
        <w:ind w:firstLine="540"/>
        <w:jc w:val="both"/>
      </w:pPr>
      <w:r>
        <w:rPr>
          <w:sz w:val="20"/>
        </w:rPr>
        <w:t xml:space="preserve">116. В случае, когда в проектной и (или) иной технической документации отсутствуют детальные технические требования к индивидуальному стандартизированному (адаптированному) и (или) нестандартизированному оборудованию, проведение конъюнктурного анализа на основании информации о текущих ценах по данным обосновывающих стоимость документов, полученных не ранее, чем за 6 месяцев до момента определения сметной стоимости, невозможно, допускается по согласованию с заказчиком определение сметной цены такого оборудования с использованием обосновывающих стоимость документов более ранних периодов (в том числе на аналогичное оборудование) и одновременным приведением такой стоимости к текущему уровню цен в соответствии с положениями, изложенными в </w:t>
      </w:r>
      <w:hyperlink w:history="0" w:anchor="P712" w:tooltip="187. Стоимость материальных ресурсов и оборудования, учтенных в сметной документации по данным конъюнктурного анализа, количество которых изменено, может быть определена по результатам конъюнктурного анализа текущих цен таких ресурсов, выполненного на дату пересчета сметной стоимости в соответствии с пунктами 13 - 22 Методики, или с применением к стоимости соответствующих ресурсов, указанной в сметной документации, получившей положительное заключение государственной экспертизы:">
        <w:r>
          <w:rPr>
            <w:sz w:val="20"/>
            <w:color w:val="0000ff"/>
          </w:rPr>
          <w:t xml:space="preserve">пункте 187</w:t>
        </w:r>
      </w:hyperlink>
      <w:r>
        <w:rPr>
          <w:sz w:val="20"/>
        </w:rPr>
        <w:t xml:space="preserve"> Методики.</w:t>
      </w:r>
    </w:p>
    <w:bookmarkStart w:id="499" w:name="P499"/>
    <w:bookmarkEnd w:id="499"/>
    <w:p>
      <w:pPr>
        <w:pStyle w:val="0"/>
        <w:spacing w:before="200" w:line-rule="auto"/>
        <w:ind w:firstLine="540"/>
        <w:jc w:val="both"/>
      </w:pPr>
      <w:r>
        <w:rPr>
          <w:sz w:val="20"/>
        </w:rPr>
        <w:t xml:space="preserve">117. При соответствующем обосновании на изготовление и поставку оборудования в сметную стоимость оборудования включаются затраты на:</w:t>
      </w:r>
    </w:p>
    <w:p>
      <w:pPr>
        <w:pStyle w:val="0"/>
        <w:spacing w:before="200" w:line-rule="auto"/>
        <w:ind w:firstLine="540"/>
        <w:jc w:val="both"/>
      </w:pPr>
      <w:r>
        <w:rPr>
          <w:sz w:val="20"/>
        </w:rPr>
        <w:t xml:space="preserve">а) шефмонтаж и (или) шефналадку, осуществляемые представителями производителя оборудования или по его поручению специализированными организациями;</w:t>
      </w:r>
    </w:p>
    <w:p>
      <w:pPr>
        <w:pStyle w:val="0"/>
        <w:spacing w:before="200" w:line-rule="auto"/>
        <w:ind w:firstLine="540"/>
        <w:jc w:val="both"/>
      </w:pPr>
      <w:r>
        <w:rPr>
          <w:sz w:val="20"/>
        </w:rPr>
        <w:t xml:space="preserve">б) доводку (калибровку) на месте установки крупного металлургического, угольного, горнорудного и другого технологического оборудования, осуществляемую в технологической цепи совместно с другим оборудованием или при отсутствии у производителя стендов и испытательных станций;</w:t>
      </w:r>
    </w:p>
    <w:p>
      <w:pPr>
        <w:pStyle w:val="0"/>
        <w:spacing w:before="200" w:line-rule="auto"/>
        <w:ind w:firstLine="540"/>
        <w:jc w:val="both"/>
      </w:pPr>
      <w:r>
        <w:rPr>
          <w:sz w:val="20"/>
        </w:rPr>
        <w:t xml:space="preserve">в) доизготовление (доработку и укрупнительную сборку) в построечных условиях оборудования, как правило, крупногабаритного и тяжеловесного, поставляемого на стройку производителем в виде отдельных узлов и деталей (за исключением доизготовления, учитываемого в составе сметных норм на монтаж оборудования);</w:t>
      </w:r>
    </w:p>
    <w:p>
      <w:pPr>
        <w:pStyle w:val="0"/>
        <w:spacing w:before="200" w:line-rule="auto"/>
        <w:ind w:firstLine="540"/>
        <w:jc w:val="both"/>
      </w:pPr>
      <w:r>
        <w:rPr>
          <w:sz w:val="20"/>
        </w:rPr>
        <w:t xml:space="preserve">г) изготовление специальной оснастки в индивидуальном исполнении, необходимой для монтажа крупногабаритного, тяжеловесного или технически сложного при производстве работ по монтажу оборудования;</w:t>
      </w:r>
    </w:p>
    <w:p>
      <w:pPr>
        <w:pStyle w:val="0"/>
        <w:spacing w:before="200" w:line-rule="auto"/>
        <w:ind w:firstLine="540"/>
        <w:jc w:val="both"/>
      </w:pPr>
      <w:r>
        <w:rPr>
          <w:sz w:val="20"/>
        </w:rPr>
        <w:t xml:space="preserve">д) предварительно установленное программное обеспечение;</w:t>
      </w:r>
    </w:p>
    <w:p>
      <w:pPr>
        <w:pStyle w:val="0"/>
        <w:spacing w:before="200" w:line-rule="auto"/>
        <w:ind w:firstLine="540"/>
        <w:jc w:val="both"/>
      </w:pPr>
      <w:r>
        <w:rPr>
          <w:sz w:val="20"/>
        </w:rPr>
        <w:t xml:space="preserve">е) затраты по оценке соответствия оборудования 1, 2, 3 класса безопасности в процессе его изготовления и иные расходы, связанные с обязательными требованиями по его проверке, сертификации и аттестации;</w:t>
      </w:r>
    </w:p>
    <w:p>
      <w:pPr>
        <w:pStyle w:val="0"/>
        <w:spacing w:before="200" w:line-rule="auto"/>
        <w:ind w:firstLine="540"/>
        <w:jc w:val="both"/>
      </w:pPr>
      <w:r>
        <w:rPr>
          <w:sz w:val="20"/>
        </w:rPr>
        <w:t xml:space="preserve">ж) другие затраты, необходимые для доведения его до состояния, в котором оборудование пригодно для использования, за исключением затрат, учитываемых отдельно в сводном сметном расчете стоимости строительства.</w:t>
      </w:r>
    </w:p>
    <w:p>
      <w:pPr>
        <w:pStyle w:val="0"/>
        <w:spacing w:before="200" w:line-rule="auto"/>
        <w:ind w:firstLine="540"/>
        <w:jc w:val="both"/>
      </w:pPr>
      <w:r>
        <w:rPr>
          <w:sz w:val="20"/>
        </w:rPr>
        <w:t xml:space="preserve">118. В случае, если указанные в </w:t>
      </w:r>
      <w:hyperlink w:history="0" w:anchor="P499" w:tooltip="117. При соответствующем обосновании на изготовление и поставку оборудования в сметную стоимость оборудования включаются затраты на:">
        <w:r>
          <w:rPr>
            <w:sz w:val="20"/>
            <w:color w:val="0000ff"/>
          </w:rPr>
          <w:t xml:space="preserve">пункте 117</w:t>
        </w:r>
      </w:hyperlink>
      <w:r>
        <w:rPr>
          <w:sz w:val="20"/>
        </w:rPr>
        <w:t xml:space="preserve"> Методики затраты не учтены в сметной цене оборудования, их стоимость учитывается в локальных сметных расчетах (сметах) дополнительно на основании отдельных расчетов.</w:t>
      </w:r>
    </w:p>
    <w:p>
      <w:pPr>
        <w:pStyle w:val="0"/>
        <w:spacing w:before="200" w:line-rule="auto"/>
        <w:ind w:firstLine="540"/>
        <w:jc w:val="both"/>
      </w:pPr>
      <w:r>
        <w:rPr>
          <w:sz w:val="20"/>
        </w:rPr>
        <w:t xml:space="preserve">119. В случае, если по требованию заказчика в проектной и (или) иной технической документации предусмотрено проведение работ по комплектации оборудования подрядной или иной организацией, в сметной стоимости оборудования могут быть учтены указанные затраты в размере 0,5 - 1,0 процентов от отпускной цены оборудования.</w:t>
      </w:r>
    </w:p>
    <w:bookmarkStart w:id="509" w:name="P509"/>
    <w:bookmarkEnd w:id="509"/>
    <w:p>
      <w:pPr>
        <w:pStyle w:val="0"/>
        <w:spacing w:before="200" w:line-rule="auto"/>
        <w:ind w:firstLine="540"/>
        <w:jc w:val="both"/>
      </w:pPr>
      <w:r>
        <w:rPr>
          <w:sz w:val="20"/>
        </w:rPr>
        <w:t xml:space="preserve">120. Сметные затраты на установку лабораторного оборудования, производственного и хозяйственного инвентаря на монтаж которых отсутствуют сметные нормы, определяются в зависимости от условий поставки и подключения к системам инженерно-технического обеспечения в процентах от их сметной стоимости:</w:t>
      </w:r>
    </w:p>
    <w:p>
      <w:pPr>
        <w:pStyle w:val="0"/>
        <w:jc w:val="both"/>
      </w:pPr>
      <w:r>
        <w:rPr>
          <w:sz w:val="20"/>
        </w:rPr>
        <w:t xml:space="preserve">(в ред. </w:t>
      </w:r>
      <w:hyperlink w:history="0" r:id="rId12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если соответствующее лабораторное оборудование, производственный и хозяйственный инвентарь поставляются в собранном виде, при этом не требуются предварительная разборка и последующая сборка при монтаже, а также подключение к системам инженерно-технического обеспечения, то сметные затраты на установку такого лабораторного оборудования и мебели составляют 1,0 процент от их сметной стоимости;</w:t>
      </w:r>
    </w:p>
    <w:p>
      <w:pPr>
        <w:pStyle w:val="0"/>
        <w:jc w:val="both"/>
      </w:pPr>
      <w:r>
        <w:rPr>
          <w:sz w:val="20"/>
        </w:rPr>
        <w:t xml:space="preserve">(в ред. </w:t>
      </w:r>
      <w:hyperlink w:history="0" r:id="rId12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если соответствующее лабораторное оборудование, производственный и хозяйственный инвентарь поставляются в разобранном виде или необходима предварительная разборка и последующая сборка при монтаже, при этом подключение к системам инженерно-технического обеспечения не требуется, то сметные затраты на установку такого лабораторного оборудования и мебели составляют 4,0 процента от их сметной стоимости;</w:t>
      </w:r>
    </w:p>
    <w:p>
      <w:pPr>
        <w:pStyle w:val="0"/>
        <w:jc w:val="both"/>
      </w:pPr>
      <w:r>
        <w:rPr>
          <w:sz w:val="20"/>
        </w:rPr>
        <w:t xml:space="preserve">(в ред. </w:t>
      </w:r>
      <w:hyperlink w:history="0" r:id="rId12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если соответствующее лабораторное оборудование, производственный и хозяйственный инвентарь поставляются в разобранном виде или необходима предварительная разборка и последующая сборка при монтаже, а также требуется подключение к системам инженерно-технического обеспечения, то сметные затраты на установку такого лабораторного оборудования и мебели составляют 6,0 процентов от их сметной стоимости.</w:t>
      </w:r>
    </w:p>
    <w:p>
      <w:pPr>
        <w:pStyle w:val="0"/>
        <w:jc w:val="both"/>
      </w:pPr>
      <w:r>
        <w:rPr>
          <w:sz w:val="20"/>
        </w:rPr>
        <w:t xml:space="preserve">(в ред. </w:t>
      </w:r>
      <w:hyperlink w:history="0" r:id="rId12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121. Затраты на подключение к системам инженерно-технического обеспечения лабораторного оборудования, производственного и хозяйственного инвентаря, поставленного в собранном виде, определяются на основании сметных норм (единичных расценок), сведения о которых включены в ФРСН, при отсутствии сметных норм (единичных расценок) допускается учитывать указанные затраты в размере 2 процентов от сметной стоимости лабораторного оборудования, производственного и хозяйственного инвентаря.</w:t>
      </w:r>
    </w:p>
    <w:p>
      <w:pPr>
        <w:pStyle w:val="0"/>
        <w:jc w:val="both"/>
      </w:pPr>
      <w:r>
        <w:rPr>
          <w:sz w:val="20"/>
        </w:rPr>
        <w:t xml:space="preserve">(в ред. </w:t>
      </w:r>
      <w:hyperlink w:history="0" r:id="rId13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Затраты, определенные в соответствии с </w:t>
      </w:r>
      <w:hyperlink w:history="0" w:anchor="P509" w:tooltip="120. Сметные затраты на установку лабораторного оборудования, производственного и хозяйственного инвентаря на монтаж которых отсутствуют сметные нормы, определяются в зависимости от условий поставки и подключения к системам инженерно-технического обеспечения в процентах от их сметной стоимости:">
        <w:r>
          <w:rPr>
            <w:sz w:val="20"/>
            <w:color w:val="0000ff"/>
          </w:rPr>
          <w:t xml:space="preserve">пунктом 120</w:t>
        </w:r>
      </w:hyperlink>
      <w:r>
        <w:rPr>
          <w:sz w:val="20"/>
        </w:rPr>
        <w:t xml:space="preserve"> и настоящим пунктом Методики, относятся на сметную стоимость лабораторного оборудования, производственного и хозяйственного инвентаря и учитывают все расходы, связанные с их установкой, в том числе затраты по их перемещению до места их установки (до проектных отметок).</w:t>
      </w:r>
    </w:p>
    <w:p>
      <w:pPr>
        <w:pStyle w:val="0"/>
        <w:jc w:val="both"/>
      </w:pPr>
      <w:r>
        <w:rPr>
          <w:sz w:val="20"/>
        </w:rPr>
        <w:t xml:space="preserve">(в ред. </w:t>
      </w:r>
      <w:hyperlink w:history="0" r:id="rId13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2"/>
        <w:outlineLvl w:val="1"/>
        <w:jc w:val="center"/>
      </w:pPr>
      <w:r>
        <w:rPr>
          <w:sz w:val="20"/>
        </w:rPr>
        <w:t xml:space="preserve">VII. Особенности определения сметных затрат</w:t>
      </w:r>
    </w:p>
    <w:p>
      <w:pPr>
        <w:pStyle w:val="2"/>
        <w:jc w:val="center"/>
      </w:pPr>
      <w:r>
        <w:rPr>
          <w:sz w:val="20"/>
        </w:rPr>
        <w:t xml:space="preserve">на пусконаладочные работы</w:t>
      </w:r>
    </w:p>
    <w:p>
      <w:pPr>
        <w:pStyle w:val="0"/>
        <w:jc w:val="both"/>
      </w:pPr>
      <w:r>
        <w:rPr>
          <w:sz w:val="20"/>
        </w:rPr>
      </w:r>
    </w:p>
    <w:bookmarkStart w:id="525" w:name="P525"/>
    <w:bookmarkEnd w:id="525"/>
    <w:p>
      <w:pPr>
        <w:pStyle w:val="0"/>
        <w:ind w:firstLine="540"/>
        <w:jc w:val="both"/>
      </w:pPr>
      <w:r>
        <w:rPr>
          <w:sz w:val="20"/>
        </w:rPr>
        <w:t xml:space="preserve">122. Сметная стоимость пусконаладочных работ определяется на основании программы и графика выполнения пусконаладочных работ.</w:t>
      </w:r>
    </w:p>
    <w:p>
      <w:pPr>
        <w:pStyle w:val="0"/>
        <w:spacing w:before="200" w:line-rule="auto"/>
        <w:ind w:firstLine="540"/>
        <w:jc w:val="both"/>
      </w:pPr>
      <w:r>
        <w:rPr>
          <w:sz w:val="20"/>
        </w:rPr>
        <w:t xml:space="preserve">При разработке сметной документации для объектов производственного назначения и непроизводственного назначения, связанных с получением дохода от реализации товаров и (или) услуг, сметная стоимость пусконаладочных работ разделяется на затраты "вхолостую" и "под нагрузкой".</w:t>
      </w:r>
    </w:p>
    <w:p>
      <w:pPr>
        <w:pStyle w:val="0"/>
        <w:spacing w:before="200" w:line-rule="auto"/>
        <w:ind w:firstLine="540"/>
        <w:jc w:val="both"/>
      </w:pPr>
      <w:r>
        <w:rPr>
          <w:sz w:val="20"/>
        </w:rPr>
        <w:t xml:space="preserve">В случае, если на этапе составления сметной документации отсутствуют программа и график выполнения пусконаладочных работ, сметная стоимость пусконаладочных работ может определяться на основании программы (типовой программы или положений программы по схожим видам работ) пусконаладочных работ, составленной по объектам-аналогам (договорам), в случае если такое решение принято заказчиком.</w:t>
      </w:r>
    </w:p>
    <w:p>
      <w:pPr>
        <w:pStyle w:val="0"/>
        <w:spacing w:before="200" w:line-rule="auto"/>
        <w:ind w:firstLine="540"/>
        <w:jc w:val="both"/>
      </w:pPr>
      <w:r>
        <w:rPr>
          <w:sz w:val="20"/>
        </w:rPr>
        <w:t xml:space="preserve">При отсутствии информации об объектах-аналогах стоимость пусконаладочных работ может определяться на основании данных конъюнктурного анализа цен с учетом требований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 13</w:t>
        </w:r>
      </w:hyperlink>
      <w:r>
        <w:rPr>
          <w:sz w:val="20"/>
        </w:rPr>
        <w:t xml:space="preserve"> Методики в целом по объекту с разбивкой по комплексам пусконаладочных работ, в случае если такое решение принято заказчиком.</w:t>
      </w:r>
    </w:p>
    <w:p>
      <w:pPr>
        <w:pStyle w:val="0"/>
        <w:jc w:val="both"/>
      </w:pPr>
      <w:r>
        <w:rPr>
          <w:sz w:val="20"/>
        </w:rPr>
        <w:t xml:space="preserve">(п. 122 в ред. </w:t>
      </w:r>
      <w:hyperlink w:history="0" r:id="rId13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123. При отнесении стоимости пусконаладочных работ к затратам "вхолостую" и "под нагрузкой" следует применять структуру полного комплекса пусконаладочных работ (усредненную), приведенную в </w:t>
      </w:r>
      <w:hyperlink w:history="0" w:anchor="P9093" w:tooltip="СТРУКТУРА">
        <w:r>
          <w:rPr>
            <w:sz w:val="20"/>
            <w:color w:val="0000ff"/>
          </w:rPr>
          <w:t xml:space="preserve">Приложении N 8</w:t>
        </w:r>
      </w:hyperlink>
      <w:r>
        <w:rPr>
          <w:sz w:val="20"/>
        </w:rPr>
        <w:t xml:space="preserve"> к Методике. По оборудованию, отсутствующему в указанном приложении, отнесение стоимости пусконаладочных работ к затратам "вхолостую" и "под нагрузкой" выполняется по данным, представляемым заказчиком.</w:t>
      </w:r>
    </w:p>
    <w:p>
      <w:pPr>
        <w:pStyle w:val="0"/>
        <w:spacing w:before="200" w:line-rule="auto"/>
        <w:ind w:firstLine="540"/>
        <w:jc w:val="both"/>
      </w:pPr>
      <w:r>
        <w:rPr>
          <w:sz w:val="20"/>
        </w:rPr>
        <w:t xml:space="preserve">Сметная стоимость пусконаладочных работ "вхолостую" по объектам производственного назначения и непроизводственного назначения, связанных с получением дохода от реализации товаров и (или) услуг, определяется сметными расчетами, разработанными по рекомендуемым образцам, приведенным в </w:t>
      </w:r>
      <w:hyperlink w:history="0" w:anchor="P974" w:tooltip="ФОРМЫ">
        <w:r>
          <w:rPr>
            <w:sz w:val="20"/>
            <w:color w:val="0000ff"/>
          </w:rPr>
          <w:t xml:space="preserve">Приложениях N 2</w:t>
        </w:r>
      </w:hyperlink>
      <w:r>
        <w:rPr>
          <w:sz w:val="20"/>
        </w:rPr>
        <w:t xml:space="preserve"> - </w:t>
      </w:r>
      <w:hyperlink w:history="0" w:anchor="P8726" w:tooltip="СВОДНЫЙ СМЕТНЫЙ РАСЧЕТ СТОИМОСТИ СТРОИТЕЛЬСТВА">
        <w:r>
          <w:rPr>
            <w:sz w:val="20"/>
            <w:color w:val="0000ff"/>
          </w:rPr>
          <w:t xml:space="preserve">6</w:t>
        </w:r>
      </w:hyperlink>
      <w:r>
        <w:rPr>
          <w:sz w:val="20"/>
        </w:rPr>
        <w:t xml:space="preserve"> к Методике, и учитывается в главе 9 (графы 7 и 8) сводного сметного расчета. В соответствии с заданием заказчика и при обосновании программами пусконаладочных работ (комплексного опробования оборудования) в сметной стоимости пусконаладочных работ "вхолостую" дополнительно могут учитываться стоимость материальных (в том числе энергетических) ресурсов, сырья и полуфабрикатов, используемых при проведении пусконаладочных работ, а также оплата труда эксплуатационного персонала, привлекаемого на этапе проведения пусконаладочных работ "вхолостую".</w:t>
      </w:r>
    </w:p>
    <w:p>
      <w:pPr>
        <w:pStyle w:val="0"/>
        <w:jc w:val="both"/>
      </w:pPr>
      <w:r>
        <w:rPr>
          <w:sz w:val="20"/>
        </w:rPr>
        <w:t xml:space="preserve">(п. 123 в ред. </w:t>
      </w:r>
      <w:hyperlink w:history="0" r:id="rId13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124. Сметная стоимость пусконаладочных работ "под нагрузкой" для объектов производственного назначения и непроизводственного назначения, связанных с получением дохода от реализации товаров и (или) услуг, не относится на сметную стоимость строительства и в сметной документации не учитывается, за исключением случаев, указанных в </w:t>
      </w:r>
      <w:hyperlink w:history="0" w:anchor="P540" w:tooltip="128. При определении сметной стоимости строительства особо опасных, технически сложных и уникальных объектов капитального строительства необходимость учета в главе 9 (графы 7 и 8) сводного сметного расчета затрат &quot;под нагрузкой&quot;, определенных сметными расчетами, разработанными по рекомендуемым образцам, приведенным в Приложениях N 2 - 6 к Методике, устанавливается заказчиком по согласованию с главным распорядителем средств соответствующего бюджета (за исключением случаев, когда заказчиком является главны...">
        <w:r>
          <w:rPr>
            <w:sz w:val="20"/>
            <w:color w:val="0000ff"/>
          </w:rPr>
          <w:t xml:space="preserve">пункте 128</w:t>
        </w:r>
      </w:hyperlink>
      <w:r>
        <w:rPr>
          <w:sz w:val="20"/>
        </w:rPr>
        <w:t xml:space="preserve"> Методики. Затраты на пусконаладочные работы "под нагрузкой" для таких объектов включаются в сводную смету на ввод в эксплуатацию предприятий, зданий и сооружений и относятся:</w:t>
      </w:r>
    </w:p>
    <w:p>
      <w:pPr>
        <w:pStyle w:val="0"/>
        <w:spacing w:before="200" w:line-rule="auto"/>
        <w:ind w:firstLine="540"/>
        <w:jc w:val="both"/>
      </w:pPr>
      <w:r>
        <w:rPr>
          <w:sz w:val="20"/>
        </w:rPr>
        <w:t xml:space="preserve">а) по объектам производственного назначения - к основной деятельности эксплуатирующей организации (предприятия) с включением в себестоимость продукции;</w:t>
      </w:r>
    </w:p>
    <w:p>
      <w:pPr>
        <w:pStyle w:val="0"/>
        <w:spacing w:before="200" w:line-rule="auto"/>
        <w:ind w:firstLine="540"/>
        <w:jc w:val="both"/>
      </w:pPr>
      <w:r>
        <w:rPr>
          <w:sz w:val="20"/>
        </w:rPr>
        <w:t xml:space="preserve">б) по объектам непроизводственного назначения, связанных с получением дохода от реализации товаров и (или) услуг, - к расходам на содержание здания, сооружения.</w:t>
      </w:r>
    </w:p>
    <w:p>
      <w:pPr>
        <w:pStyle w:val="0"/>
        <w:spacing w:before="200" w:line-rule="auto"/>
        <w:ind w:firstLine="540"/>
        <w:jc w:val="both"/>
      </w:pPr>
      <w:r>
        <w:rPr>
          <w:sz w:val="20"/>
        </w:rPr>
        <w:t xml:space="preserve">125. Сводные сметы на ввод в эксплуатацию предприятий, зданий и сооружений являются документами, определяющими сметный лимит средств, необходимых для проведения пусконаладочных работ "под нагрузкой", комплексного опробования оборудования с выпуском первой партии продукции, обеспечивающих ввод в эксплуатацию вновь строящихся и реконструируемых объектов.</w:t>
      </w:r>
    </w:p>
    <w:p>
      <w:pPr>
        <w:pStyle w:val="0"/>
        <w:spacing w:before="200" w:line-rule="auto"/>
        <w:ind w:firstLine="540"/>
        <w:jc w:val="both"/>
      </w:pPr>
      <w:r>
        <w:rPr>
          <w:sz w:val="20"/>
        </w:rPr>
        <w:t xml:space="preserve">126. При определении стоимости пусконаладочных работ "под нагрузкой" дополнительно учитываются стоимость материальных, энергетических ресурсов, сырья и полуфабрикатов, используемых при проведении пусконаладочных работ, оплата труда эксплуатационного персонала, привлекаемого для участия в пуске и комплексном опробовании оборудования, а также стоимость использования механизмов. Указанные затраты определяются на основании данных, приведенных в проектной документации и (или) технической документации.</w:t>
      </w:r>
    </w:p>
    <w:p>
      <w:pPr>
        <w:pStyle w:val="0"/>
        <w:spacing w:before="200" w:line-rule="auto"/>
        <w:ind w:firstLine="540"/>
        <w:jc w:val="both"/>
      </w:pPr>
      <w:r>
        <w:rPr>
          <w:sz w:val="20"/>
        </w:rPr>
        <w:t xml:space="preserve">127. При разработке сметной документации для объектов непроизводственного назначения, не связанных с получением дохода от реализации товаров и (или) услуг, все затраты на проведение пусконаладочных работ (без разделения на затраты "вхолостую" и "под нагрузкой") определяются сметными расчетами и оформляются в соответствии с рекомендуемыми образцами, приведенным в </w:t>
      </w:r>
      <w:hyperlink w:history="0" w:anchor="P974" w:tooltip="ФОРМЫ">
        <w:r>
          <w:rPr>
            <w:sz w:val="20"/>
            <w:color w:val="0000ff"/>
          </w:rPr>
          <w:t xml:space="preserve">Приложениях N 2</w:t>
        </w:r>
      </w:hyperlink>
      <w:r>
        <w:rPr>
          <w:sz w:val="20"/>
        </w:rPr>
        <w:t xml:space="preserve"> - </w:t>
      </w:r>
      <w:hyperlink w:history="0" w:anchor="P8726" w:tooltip="СВОДНЫЙ СМЕТНЫЙ РАСЧЕТ СТОИМОСТИ СТРОИТЕЛЬСТВА">
        <w:r>
          <w:rPr>
            <w:sz w:val="20"/>
            <w:color w:val="0000ff"/>
          </w:rPr>
          <w:t xml:space="preserve">6</w:t>
        </w:r>
      </w:hyperlink>
      <w:r>
        <w:rPr>
          <w:sz w:val="20"/>
        </w:rPr>
        <w:t xml:space="preserve"> к Методике, и включаются в главу 9 (графы 7 и 8) сводного сметного расчета.</w:t>
      </w:r>
    </w:p>
    <w:p>
      <w:pPr>
        <w:pStyle w:val="0"/>
        <w:jc w:val="both"/>
      </w:pPr>
      <w:r>
        <w:rPr>
          <w:sz w:val="20"/>
        </w:rPr>
        <w:t xml:space="preserve">(п. 127 в ред. </w:t>
      </w:r>
      <w:hyperlink w:history="0" r:id="rId13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540" w:name="P540"/>
    <w:bookmarkEnd w:id="540"/>
    <w:p>
      <w:pPr>
        <w:pStyle w:val="0"/>
        <w:spacing w:before="200" w:line-rule="auto"/>
        <w:ind w:firstLine="540"/>
        <w:jc w:val="both"/>
      </w:pPr>
      <w:r>
        <w:rPr>
          <w:sz w:val="20"/>
        </w:rPr>
        <w:t xml:space="preserve">128. При определении сметной стоимости строительства особо опасных, технически сложных и уникальных объектов капитального строительства необходимость учета в главе 9 (графы 7 и 8) сводного сметного расчета затрат "под нагрузкой", определенных сметными расчетами, разработанными по рекомендуемым образцам, приведенным в </w:t>
      </w:r>
      <w:hyperlink w:history="0" w:anchor="P974" w:tooltip="ФОРМЫ">
        <w:r>
          <w:rPr>
            <w:sz w:val="20"/>
            <w:color w:val="0000ff"/>
          </w:rPr>
          <w:t xml:space="preserve">Приложениях N 2</w:t>
        </w:r>
      </w:hyperlink>
      <w:r>
        <w:rPr>
          <w:sz w:val="20"/>
        </w:rPr>
        <w:t xml:space="preserve"> - </w:t>
      </w:r>
      <w:hyperlink w:history="0" w:anchor="P8726" w:tooltip="СВОДНЫЙ СМЕТНЫЙ РАСЧЕТ СТОИМОСТИ СТРОИТЕЛЬСТВА">
        <w:r>
          <w:rPr>
            <w:sz w:val="20"/>
            <w:color w:val="0000ff"/>
          </w:rPr>
          <w:t xml:space="preserve">6</w:t>
        </w:r>
      </w:hyperlink>
      <w:r>
        <w:rPr>
          <w:sz w:val="20"/>
        </w:rPr>
        <w:t xml:space="preserve"> к Методике, устанавливается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w:t>
      </w:r>
    </w:p>
    <w:p>
      <w:pPr>
        <w:pStyle w:val="0"/>
        <w:jc w:val="both"/>
      </w:pPr>
      <w:r>
        <w:rPr>
          <w:sz w:val="20"/>
        </w:rPr>
        <w:t xml:space="preserve">(п. 128 в ред. </w:t>
      </w:r>
      <w:hyperlink w:history="0" r:id="rId13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jc w:val="both"/>
      </w:pPr>
      <w:r>
        <w:rPr>
          <w:sz w:val="20"/>
        </w:rPr>
      </w:r>
    </w:p>
    <w:p>
      <w:pPr>
        <w:pStyle w:val="2"/>
        <w:outlineLvl w:val="1"/>
        <w:jc w:val="center"/>
      </w:pPr>
      <w:r>
        <w:rPr>
          <w:sz w:val="20"/>
        </w:rPr>
        <w:t xml:space="preserve">VIII. Объектные сметные расчеты (объектные сметы)</w:t>
      </w:r>
    </w:p>
    <w:p>
      <w:pPr>
        <w:pStyle w:val="0"/>
        <w:jc w:val="both"/>
      </w:pPr>
      <w:r>
        <w:rPr>
          <w:sz w:val="20"/>
        </w:rPr>
      </w:r>
    </w:p>
    <w:p>
      <w:pPr>
        <w:pStyle w:val="0"/>
        <w:ind w:firstLine="540"/>
        <w:jc w:val="both"/>
      </w:pPr>
      <w:r>
        <w:rPr>
          <w:sz w:val="20"/>
        </w:rPr>
        <w:t xml:space="preserve">129. Сметная стоимость в объектных сметных расчетах (сметах) определяется суммированием данных локальных сметных расчетов (смет) с распределением затрат по следующим элементам сметной стоимости строительства: стоимость строительных (ремонтно-строительных) работ, монтажных работ, оборудования, прочих затрат.</w:t>
      </w:r>
    </w:p>
    <w:p>
      <w:pPr>
        <w:pStyle w:val="0"/>
        <w:spacing w:before="200" w:line-rule="auto"/>
        <w:ind w:firstLine="540"/>
        <w:jc w:val="both"/>
      </w:pPr>
      <w:r>
        <w:rPr>
          <w:sz w:val="20"/>
        </w:rPr>
        <w:t xml:space="preserve">130. Рекомендуемый образец оформления объектных сметных расчетов (смет) приведен в </w:t>
      </w:r>
      <w:hyperlink w:history="0" w:anchor="P8449" w:tooltip="ОБЪЕКТНЫЙ СМЕТНЫЙ РАСЧЕТ (СМЕТА) N ОС-_____">
        <w:r>
          <w:rPr>
            <w:sz w:val="20"/>
            <w:color w:val="0000ff"/>
          </w:rPr>
          <w:t xml:space="preserve">Приложении N 5</w:t>
        </w:r>
      </w:hyperlink>
      <w:r>
        <w:rPr>
          <w:sz w:val="20"/>
        </w:rPr>
        <w:t xml:space="preserve"> к Методике.</w:t>
      </w:r>
    </w:p>
    <w:p>
      <w:pPr>
        <w:pStyle w:val="0"/>
        <w:spacing w:before="200" w:line-rule="auto"/>
        <w:ind w:firstLine="540"/>
        <w:jc w:val="both"/>
      </w:pPr>
      <w:r>
        <w:rPr>
          <w:sz w:val="20"/>
        </w:rPr>
        <w:t xml:space="preserve">131. При определении сметной стоимости ресурсным и ресурсно-индексным методами объектные сметные расчеты (сметы) разрабатываются в текущем уровне цен.</w:t>
      </w:r>
    </w:p>
    <w:p>
      <w:pPr>
        <w:pStyle w:val="0"/>
        <w:spacing w:before="200" w:line-rule="auto"/>
        <w:ind w:firstLine="540"/>
        <w:jc w:val="both"/>
      </w:pPr>
      <w:r>
        <w:rPr>
          <w:sz w:val="20"/>
        </w:rPr>
        <w:t xml:space="preserve">132. При определении сметной стоимости базисно-индексным методом одновременно с текущим уровнем производится формирование отдельных объектных сметных расчетов (смет) в базисном уровне цен.</w:t>
      </w:r>
    </w:p>
    <w:p>
      <w:pPr>
        <w:pStyle w:val="0"/>
        <w:spacing w:before="200" w:line-rule="auto"/>
        <w:ind w:firstLine="540"/>
        <w:jc w:val="both"/>
      </w:pPr>
      <w:r>
        <w:rPr>
          <w:sz w:val="20"/>
        </w:rPr>
        <w:t xml:space="preserve">133. При определении сметной стоимости ресурсным и ресурсно-индексным методами в объектных сметных расчетах (сметах) в текущем уровне цен приводятся итоговые данные по оплате труда, стоимости эксплуатации машин и механизмов, материальных ресурсов, накладных расходов, сметной прибыли, оборудования и перевозки.</w:t>
      </w:r>
    </w:p>
    <w:bookmarkStart w:id="550" w:name="P550"/>
    <w:bookmarkEnd w:id="550"/>
    <w:p>
      <w:pPr>
        <w:pStyle w:val="0"/>
        <w:spacing w:before="200" w:line-rule="auto"/>
        <w:ind w:firstLine="540"/>
        <w:jc w:val="both"/>
      </w:pPr>
      <w:r>
        <w:rPr>
          <w:sz w:val="20"/>
        </w:rPr>
        <w:t xml:space="preserve">134. В объектных сметных расчетах (сметах) при соответствующем обосновании в проектной и (или) иной технической документации дополнительно приводятся:</w:t>
      </w:r>
    </w:p>
    <w:p>
      <w:pPr>
        <w:pStyle w:val="0"/>
        <w:spacing w:before="200" w:line-rule="auto"/>
        <w:ind w:firstLine="540"/>
        <w:jc w:val="both"/>
      </w:pPr>
      <w:r>
        <w:rPr>
          <w:sz w:val="20"/>
        </w:rPr>
        <w:t xml:space="preserve">а) средства на строительство и разборку титульных временных зданий и сооружений;</w:t>
      </w:r>
    </w:p>
    <w:p>
      <w:pPr>
        <w:pStyle w:val="0"/>
        <w:spacing w:before="200" w:line-rule="auto"/>
        <w:ind w:firstLine="540"/>
        <w:jc w:val="both"/>
      </w:pPr>
      <w:r>
        <w:rPr>
          <w:sz w:val="20"/>
        </w:rPr>
        <w:t xml:space="preserve">б) дополнительные затраты при производстве работ в зимнее время;</w:t>
      </w:r>
    </w:p>
    <w:p>
      <w:pPr>
        <w:pStyle w:val="0"/>
        <w:spacing w:before="200" w:line-rule="auto"/>
        <w:ind w:firstLine="540"/>
        <w:jc w:val="both"/>
      </w:pPr>
      <w:r>
        <w:rPr>
          <w:sz w:val="20"/>
        </w:rPr>
        <w:t xml:space="preserve">в) отдельные виды прочих затрат, относимые на сметную стоимость объекта капитального строительства.</w:t>
      </w:r>
    </w:p>
    <w:p>
      <w:pPr>
        <w:pStyle w:val="0"/>
        <w:spacing w:before="200" w:line-rule="auto"/>
        <w:ind w:firstLine="540"/>
        <w:jc w:val="both"/>
      </w:pPr>
      <w:r>
        <w:rPr>
          <w:sz w:val="20"/>
        </w:rPr>
        <w:t xml:space="preserve">Учет указанных затрат производится в порядке, приведенном в </w:t>
      </w:r>
      <w:hyperlink w:history="0" w:anchor="P556" w:tooltip="IX. Сводный сметный расчет стоимости строительства">
        <w:r>
          <w:rPr>
            <w:sz w:val="20"/>
            <w:color w:val="0000ff"/>
          </w:rPr>
          <w:t xml:space="preserve">разделе IX</w:t>
        </w:r>
      </w:hyperlink>
      <w:r>
        <w:rPr>
          <w:sz w:val="20"/>
        </w:rPr>
        <w:t xml:space="preserve"> Методики, и обеспечивает определение полной сметной стоимости объекта капитального строительства.</w:t>
      </w:r>
    </w:p>
    <w:p>
      <w:pPr>
        <w:pStyle w:val="0"/>
        <w:jc w:val="both"/>
      </w:pPr>
      <w:r>
        <w:rPr>
          <w:sz w:val="20"/>
        </w:rPr>
      </w:r>
    </w:p>
    <w:bookmarkStart w:id="556" w:name="P556"/>
    <w:bookmarkEnd w:id="556"/>
    <w:p>
      <w:pPr>
        <w:pStyle w:val="2"/>
        <w:outlineLvl w:val="1"/>
        <w:jc w:val="center"/>
      </w:pPr>
      <w:r>
        <w:rPr>
          <w:sz w:val="20"/>
        </w:rPr>
        <w:t xml:space="preserve">IX. Сводный сметный расчет стоимости строительства</w:t>
      </w:r>
    </w:p>
    <w:p>
      <w:pPr>
        <w:pStyle w:val="0"/>
        <w:jc w:val="both"/>
      </w:pPr>
      <w:r>
        <w:rPr>
          <w:sz w:val="20"/>
        </w:rPr>
      </w:r>
    </w:p>
    <w:p>
      <w:pPr>
        <w:pStyle w:val="0"/>
        <w:ind w:firstLine="540"/>
        <w:jc w:val="both"/>
      </w:pPr>
      <w:r>
        <w:rPr>
          <w:sz w:val="20"/>
        </w:rPr>
        <w:t xml:space="preserve">135. Рекомендуемый образец сводного сметного расчета стоимости строительства (далее - сводный сметный расчет) приведен в </w:t>
      </w:r>
      <w:hyperlink w:history="0" w:anchor="P8726" w:tooltip="СВОДНЫЙ СМЕТНЫЙ РАСЧЕТ СТОИМОСТИ СТРОИТЕЛЬСТВА">
        <w:r>
          <w:rPr>
            <w:sz w:val="20"/>
            <w:color w:val="0000ff"/>
          </w:rPr>
          <w:t xml:space="preserve">Приложении N 6</w:t>
        </w:r>
      </w:hyperlink>
      <w:r>
        <w:rPr>
          <w:sz w:val="20"/>
        </w:rPr>
        <w:t xml:space="preserve"> к Методике.</w:t>
      </w:r>
    </w:p>
    <w:p>
      <w:pPr>
        <w:pStyle w:val="0"/>
        <w:spacing w:before="200" w:line-rule="auto"/>
        <w:ind w:firstLine="540"/>
        <w:jc w:val="both"/>
      </w:pPr>
      <w:r>
        <w:rPr>
          <w:sz w:val="20"/>
        </w:rPr>
        <w:t xml:space="preserve">136. При определении стоимости ресурсным или ресурсно-индексным методом сводный сметный расчет разрабатывается в текущем уровне цен. При определении сметной стоимости базисно-индексным методом одновременно со сводным сметным расчетом в текущем уровне цен разрабатывается отдельный сводный сметный расчет в базисном уровне цен.</w:t>
      </w:r>
    </w:p>
    <w:p>
      <w:pPr>
        <w:pStyle w:val="0"/>
        <w:spacing w:before="200" w:line-rule="auto"/>
        <w:ind w:firstLine="540"/>
        <w:jc w:val="both"/>
      </w:pPr>
      <w:r>
        <w:rPr>
          <w:sz w:val="20"/>
        </w:rPr>
        <w:t xml:space="preserve">Затраты, учитываемые в главах 8 - 12 сводного сметного расчета, а также резерв средств на непредвиденные работы и затраты, определяемые в сметной документации с применением нормативов (показателей), выраженных в процентах, при формировании сметной стоимости базисно-индексным методом рассчитываются с применением таких нормативов к базисному и к текущему уровням цен в отдельных сводных сметных расчетах (за исключением случаев, когда нормативными правовыми актами Российской Федерации предусмотрен иной порядок пересчета отдельных видов затрат из базисного в текущий уровень цен).</w:t>
      </w:r>
    </w:p>
    <w:p>
      <w:pPr>
        <w:pStyle w:val="0"/>
        <w:jc w:val="both"/>
      </w:pPr>
      <w:r>
        <w:rPr>
          <w:sz w:val="20"/>
        </w:rPr>
        <w:t xml:space="preserve">(абзац введен </w:t>
      </w:r>
      <w:hyperlink w:history="0" r:id="rId13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137. В сводном сметном расчете определяется сметная стоимость строительства объектов капитального строительства, расположенных в пределах строительной площадки и (или) границах полосы отвода линейных объектов, по которым подготовлена проектная документация, затраты по объекту строительства с учетом природных, климатических, региональных условий территории и других особенностей земельного участка, включая затраты по строительству объектов капитального строительства, расположенных за пределами строительной площадки и предусмотренных проектной документацией, в том числе сетей инженерно-технического обеспечения, относящихся к объекту строительства, а также временных зданий и сооружений.</w:t>
      </w:r>
    </w:p>
    <w:p>
      <w:pPr>
        <w:pStyle w:val="0"/>
        <w:jc w:val="both"/>
      </w:pPr>
      <w:r>
        <w:rPr>
          <w:sz w:val="20"/>
        </w:rPr>
        <w:t xml:space="preserve">(в ред. </w:t>
      </w:r>
      <w:hyperlink w:history="0" r:id="rId13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138. В сводном сметном расчете сметные затраты распределяются по главам в соответствии с </w:t>
      </w:r>
      <w:hyperlink w:history="0" r:id="rId138" w:tooltip="Постановление Правительства РФ от 16.02.2008 N 87 (ред. от 27.05.2022) &quot;О составе разделов проектной документации и требованиях к их содержанию&quot; {КонсультантПлюс}">
        <w:r>
          <w:rPr>
            <w:sz w:val="20"/>
            <w:color w:val="0000ff"/>
          </w:rPr>
          <w:t xml:space="preserve">Положением</w:t>
        </w:r>
      </w:hyperlink>
      <w:r>
        <w:rPr>
          <w:sz w:val="20"/>
        </w:rPr>
        <w:t xml:space="preserve"> N 87:</w:t>
      </w:r>
    </w:p>
    <w:p>
      <w:pPr>
        <w:pStyle w:val="0"/>
        <w:spacing w:before="200" w:line-rule="auto"/>
        <w:ind w:firstLine="540"/>
        <w:jc w:val="both"/>
      </w:pPr>
      <w:r>
        <w:rPr>
          <w:sz w:val="20"/>
        </w:rPr>
        <w:t xml:space="preserve">подготовка территории строительства (глава 1);</w:t>
      </w:r>
    </w:p>
    <w:p>
      <w:pPr>
        <w:pStyle w:val="0"/>
        <w:spacing w:before="200" w:line-rule="auto"/>
        <w:ind w:firstLine="540"/>
        <w:jc w:val="both"/>
      </w:pPr>
      <w:r>
        <w:rPr>
          <w:sz w:val="20"/>
        </w:rPr>
        <w:t xml:space="preserve">основные объекты строительства (глава 2);</w:t>
      </w:r>
    </w:p>
    <w:p>
      <w:pPr>
        <w:pStyle w:val="0"/>
        <w:spacing w:before="200" w:line-rule="auto"/>
        <w:ind w:firstLine="540"/>
        <w:jc w:val="both"/>
      </w:pPr>
      <w:r>
        <w:rPr>
          <w:sz w:val="20"/>
        </w:rPr>
        <w:t xml:space="preserve">объекты подсобного и обслуживающего назначения (глава 3);</w:t>
      </w:r>
    </w:p>
    <w:p>
      <w:pPr>
        <w:pStyle w:val="0"/>
        <w:spacing w:before="200" w:line-rule="auto"/>
        <w:ind w:firstLine="540"/>
        <w:jc w:val="both"/>
      </w:pPr>
      <w:r>
        <w:rPr>
          <w:sz w:val="20"/>
        </w:rPr>
        <w:t xml:space="preserve">объекты энергетического хозяйства (глава 4);</w:t>
      </w:r>
    </w:p>
    <w:p>
      <w:pPr>
        <w:pStyle w:val="0"/>
        <w:spacing w:before="200" w:line-rule="auto"/>
        <w:ind w:firstLine="540"/>
        <w:jc w:val="both"/>
      </w:pPr>
      <w:r>
        <w:rPr>
          <w:sz w:val="20"/>
        </w:rPr>
        <w:t xml:space="preserve">объекты транспортного хозяйства и связи (глава 5);</w:t>
      </w:r>
    </w:p>
    <w:p>
      <w:pPr>
        <w:pStyle w:val="0"/>
        <w:spacing w:before="200" w:line-rule="auto"/>
        <w:ind w:firstLine="540"/>
        <w:jc w:val="both"/>
      </w:pPr>
      <w:r>
        <w:rPr>
          <w:sz w:val="20"/>
        </w:rPr>
        <w:t xml:space="preserve">наружные сети и сооружения водоснабжения, водоотведения, теплоснабжения и газоснабжения (глава 6);</w:t>
      </w:r>
    </w:p>
    <w:p>
      <w:pPr>
        <w:pStyle w:val="0"/>
        <w:spacing w:before="200" w:line-rule="auto"/>
        <w:ind w:firstLine="540"/>
        <w:jc w:val="both"/>
      </w:pPr>
      <w:r>
        <w:rPr>
          <w:sz w:val="20"/>
        </w:rPr>
        <w:t xml:space="preserve">благоустройство и озеленение территории (глава 7);</w:t>
      </w:r>
    </w:p>
    <w:p>
      <w:pPr>
        <w:pStyle w:val="0"/>
        <w:spacing w:before="200" w:line-rule="auto"/>
        <w:ind w:firstLine="540"/>
        <w:jc w:val="both"/>
      </w:pPr>
      <w:r>
        <w:rPr>
          <w:sz w:val="20"/>
        </w:rPr>
        <w:t xml:space="preserve">временные здания и сооружения (глава 8);</w:t>
      </w:r>
    </w:p>
    <w:p>
      <w:pPr>
        <w:pStyle w:val="0"/>
        <w:spacing w:before="200" w:line-rule="auto"/>
        <w:ind w:firstLine="540"/>
        <w:jc w:val="both"/>
      </w:pPr>
      <w:r>
        <w:rPr>
          <w:sz w:val="20"/>
        </w:rPr>
        <w:t xml:space="preserve">прочие работы и затраты (глава 9);</w:t>
      </w:r>
    </w:p>
    <w:p>
      <w:pPr>
        <w:pStyle w:val="0"/>
        <w:spacing w:before="200" w:line-rule="auto"/>
        <w:ind w:firstLine="540"/>
        <w:jc w:val="both"/>
      </w:pPr>
      <w:r>
        <w:rPr>
          <w:sz w:val="20"/>
        </w:rPr>
        <w:t xml:space="preserve">содержание службы заказчика. Строительный контроль (глава 10);</w:t>
      </w:r>
    </w:p>
    <w:p>
      <w:pPr>
        <w:pStyle w:val="0"/>
        <w:spacing w:before="200" w:line-rule="auto"/>
        <w:ind w:firstLine="540"/>
        <w:jc w:val="both"/>
      </w:pPr>
      <w:r>
        <w:rPr>
          <w:sz w:val="20"/>
        </w:rPr>
        <w:t xml:space="preserve">подготовка эксплуатационных кадров для строящегося объекта капитального строительства (глава 11);</w:t>
      </w:r>
    </w:p>
    <w:p>
      <w:pPr>
        <w:pStyle w:val="0"/>
        <w:spacing w:before="200" w:line-rule="auto"/>
        <w:ind w:firstLine="540"/>
        <w:jc w:val="both"/>
      </w:pPr>
      <w:r>
        <w:rPr>
          <w:sz w:val="20"/>
        </w:rPr>
        <w:t xml:space="preserve">публичный технологический и ценовой аудит, подготовка обоснования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технологический и ценовой аудит такого обоснования инвестиций, аудит проектной документации, проектные и изыскательские работы (глава 12).</w:t>
      </w:r>
    </w:p>
    <w:p>
      <w:pPr>
        <w:pStyle w:val="0"/>
        <w:spacing w:before="200" w:line-rule="auto"/>
        <w:ind w:firstLine="540"/>
        <w:jc w:val="both"/>
      </w:pPr>
      <w:r>
        <w:rPr>
          <w:sz w:val="20"/>
        </w:rPr>
        <w:t xml:space="preserve">139. Наименование и нумерация глав сводного сметного расчета не подлежат корректировке вне зависимости от состава включаемых затрат. В случае отсутствия затрат, предусматриваемых соответствующей главой сводного сметного расчета, эта глава пропускается без изменения номеров последующих глав.</w:t>
      </w:r>
    </w:p>
    <w:p>
      <w:pPr>
        <w:pStyle w:val="0"/>
        <w:spacing w:before="200" w:line-rule="auto"/>
        <w:ind w:firstLine="540"/>
        <w:jc w:val="both"/>
      </w:pPr>
      <w:r>
        <w:rPr>
          <w:sz w:val="20"/>
        </w:rPr>
        <w:t xml:space="preserve">140. Для учета особенностей отдельных объектов строительства (например, линейных объектов, в том числе в нескольких субъектах Российской Федерации) в главах сводного сметного расчета предусматриваются разделы.</w:t>
      </w:r>
    </w:p>
    <w:p>
      <w:pPr>
        <w:pStyle w:val="0"/>
        <w:spacing w:before="200" w:line-rule="auto"/>
        <w:ind w:firstLine="540"/>
        <w:jc w:val="both"/>
      </w:pPr>
      <w:r>
        <w:rPr>
          <w:sz w:val="20"/>
        </w:rPr>
        <w:t xml:space="preserve">Распределение затрат по главам сводного сметного расчета осуществляется с учетом положений </w:t>
      </w:r>
      <w:hyperlink w:history="0" w:anchor="P585" w:tooltip="144. В главу 1 сводного сметного расчета включаются затраты, связанные с оформлением земельного участка, с созданием геодезической разбивочной основы для строительства и освоением территории строительства, произведенных на момент подготовки проектной документации и (или) планируемых к осуществлению в период строительства.">
        <w:r>
          <w:rPr>
            <w:sz w:val="20"/>
            <w:color w:val="0000ff"/>
          </w:rPr>
          <w:t xml:space="preserve">пунктов 144</w:t>
        </w:r>
      </w:hyperlink>
      <w:r>
        <w:rPr>
          <w:sz w:val="20"/>
        </w:rPr>
        <w:t xml:space="preserve"> - </w:t>
      </w:r>
      <w:hyperlink w:history="0" w:anchor="P678" w:tooltip="177. В случае отсутствия в сметных нормативах, сведения о которых включены в ФРСН, показателей и нормативов цены проектных работ, стоимость работ по подготовке проектной документации определяется в соответствии с положениями методики определения стоимости работ по подготовке проектной документации,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
        <w:r>
          <w:rPr>
            <w:sz w:val="20"/>
            <w:color w:val="0000ff"/>
          </w:rPr>
          <w:t xml:space="preserve">177</w:t>
        </w:r>
      </w:hyperlink>
      <w:r>
        <w:rPr>
          <w:sz w:val="20"/>
        </w:rPr>
        <w:t xml:space="preserve"> Методики.</w:t>
      </w:r>
    </w:p>
    <w:p>
      <w:pPr>
        <w:pStyle w:val="0"/>
        <w:spacing w:before="200" w:line-rule="auto"/>
        <w:ind w:firstLine="540"/>
        <w:jc w:val="both"/>
      </w:pPr>
      <w:r>
        <w:rPr>
          <w:sz w:val="20"/>
        </w:rPr>
        <w:t xml:space="preserve">141. Сметная стоимость в сводном сметном расчете определяется суммированием итоговых стоимостных показателей объектных и (или) локальных сметных расчетов (смет), сметных расчетов на отдельные виды затрат с распределением затрат по следующим элементам сметной стоимости строительства: стоимость строительных (ремонтно-строительных) работ, монтажных работ, оборудования, прочих затрат. Итоговые показатели включаются в главы сводного сметного расчета без учета затрат, указанных в </w:t>
      </w:r>
      <w:hyperlink w:history="0" w:anchor="P550" w:tooltip="134. В объектных сметных расчетах (сметах) при соответствующем обосновании в проектной и (или) иной технической документации дополнительно приводятся:">
        <w:r>
          <w:rPr>
            <w:sz w:val="20"/>
            <w:color w:val="0000ff"/>
          </w:rPr>
          <w:t xml:space="preserve">пункте 134</w:t>
        </w:r>
      </w:hyperlink>
      <w:r>
        <w:rPr>
          <w:sz w:val="20"/>
        </w:rPr>
        <w:t xml:space="preserve"> Методики, которые приводятся в соответствующих главах сводного сметного расчета согласно положениям </w:t>
      </w:r>
      <w:hyperlink w:history="0" w:anchor="P603" w:tooltip="153. В главу 8 сводного сметного расчета включаются затраты на устройство и ликвидацию временных зданий и сооружений, за исключением временных специальных вспомогательных сооружений и устройств, учитываемых дополнительно непосредственно в объектных сметных расчетах (сметах) соответствующих глав сводного сметного расчета в соответствии со сметными нормативами, сведения о которых включены в ФРСН.">
        <w:r>
          <w:rPr>
            <w:sz w:val="20"/>
            <w:color w:val="0000ff"/>
          </w:rPr>
          <w:t xml:space="preserve">пунктов 153</w:t>
        </w:r>
      </w:hyperlink>
      <w:r>
        <w:rPr>
          <w:sz w:val="20"/>
        </w:rPr>
        <w:t xml:space="preserve"> - </w:t>
      </w:r>
      <w:hyperlink w:history="0" w:anchor="P678" w:tooltip="177. В случае отсутствия в сметных нормативах, сведения о которых включены в ФРСН, показателей и нормативов цены проектных работ, стоимость работ по подготовке проектной документации определяется в соответствии с положениями методики определения стоимости работ по подготовке проектной документации,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
        <w:r>
          <w:rPr>
            <w:sz w:val="20"/>
            <w:color w:val="0000ff"/>
          </w:rPr>
          <w:t xml:space="preserve">177</w:t>
        </w:r>
      </w:hyperlink>
      <w:r>
        <w:rPr>
          <w:sz w:val="20"/>
        </w:rPr>
        <w:t xml:space="preserve"> Методики.</w:t>
      </w:r>
    </w:p>
    <w:p>
      <w:pPr>
        <w:pStyle w:val="0"/>
        <w:spacing w:before="200" w:line-rule="auto"/>
        <w:ind w:firstLine="540"/>
        <w:jc w:val="both"/>
      </w:pPr>
      <w:r>
        <w:rPr>
          <w:sz w:val="20"/>
        </w:rPr>
        <w:t xml:space="preserve">142. За итогом глав 1 - 12 сводного сметного расчета приводятся резерв средств на непредвиденные работы и затраты и сумма НДС.</w:t>
      </w:r>
    </w:p>
    <w:p>
      <w:pPr>
        <w:pStyle w:val="0"/>
        <w:jc w:val="both"/>
      </w:pPr>
      <w:r>
        <w:rPr>
          <w:sz w:val="20"/>
        </w:rPr>
        <w:t xml:space="preserve">(п. 142 в ред. </w:t>
      </w:r>
      <w:hyperlink w:history="0" r:id="rId13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143. В сводном сметном расчете приводятся итоговые данные по каждой главе (в том числе по разделам), по итогам глав 1 - 7, 1 - 8, 1 - 9, 1 - 12, а также после резерва средств на непредвиденные работы и затраты и суммы НДС.</w:t>
      </w:r>
    </w:p>
    <w:p>
      <w:pPr>
        <w:pStyle w:val="0"/>
        <w:jc w:val="both"/>
      </w:pPr>
      <w:r>
        <w:rPr>
          <w:sz w:val="20"/>
        </w:rPr>
        <w:t xml:space="preserve">(в ред. </w:t>
      </w:r>
      <w:hyperlink w:history="0" r:id="rId14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585" w:name="P585"/>
    <w:bookmarkEnd w:id="585"/>
    <w:p>
      <w:pPr>
        <w:pStyle w:val="0"/>
        <w:spacing w:before="200" w:line-rule="auto"/>
        <w:ind w:firstLine="540"/>
        <w:jc w:val="both"/>
      </w:pPr>
      <w:r>
        <w:rPr>
          <w:sz w:val="20"/>
        </w:rPr>
        <w:t xml:space="preserve">144. В главу 1 сводного сметного расчета включаются затраты, связанные с оформлением земельного участка, с созданием геодезической разбивочной основы для строительства и освоением территории строительства, произведенных на момент подготовки проектной документации и (или) планируемых к осуществлению в период строительства.</w:t>
      </w:r>
    </w:p>
    <w:p>
      <w:pPr>
        <w:pStyle w:val="0"/>
        <w:spacing w:before="200" w:line-rule="auto"/>
        <w:ind w:firstLine="540"/>
        <w:jc w:val="both"/>
      </w:pPr>
      <w:r>
        <w:rPr>
          <w:sz w:val="20"/>
        </w:rPr>
        <w:t xml:space="preserve">145. Перечень работ и затрат, включаемых в главу 1 сводного сметного расчета, приведен в </w:t>
      </w:r>
      <w:hyperlink w:history="0" w:anchor="P9264" w:tooltip="РЕКОМЕНДУЕМЫЙ ПЕРЕЧЕНЬ">
        <w:r>
          <w:rPr>
            <w:sz w:val="20"/>
            <w:color w:val="0000ff"/>
          </w:rPr>
          <w:t xml:space="preserve">Приложении N 9</w:t>
        </w:r>
      </w:hyperlink>
      <w:r>
        <w:rPr>
          <w:sz w:val="20"/>
        </w:rPr>
        <w:t xml:space="preserve"> к Методике.</w:t>
      </w:r>
    </w:p>
    <w:p>
      <w:pPr>
        <w:pStyle w:val="0"/>
        <w:spacing w:before="200" w:line-rule="auto"/>
        <w:ind w:firstLine="540"/>
        <w:jc w:val="both"/>
      </w:pPr>
      <w:r>
        <w:rPr>
          <w:sz w:val="20"/>
        </w:rPr>
        <w:t xml:space="preserve">146. В главы 2 - 7 сводного сметного расчета включаются сметные затраты в соответствии с наименованием глав. Сметная стоимость указанных затрат определяется объектными и локальными сметными расчетами (сметами).</w:t>
      </w:r>
    </w:p>
    <w:p>
      <w:pPr>
        <w:pStyle w:val="0"/>
        <w:spacing w:before="200" w:line-rule="auto"/>
        <w:ind w:firstLine="540"/>
        <w:jc w:val="both"/>
      </w:pPr>
      <w:r>
        <w:rPr>
          <w:sz w:val="20"/>
        </w:rPr>
        <w:t xml:space="preserve">147. В главу 2 сводного сметного расчета включается сметная стоимость строительства объектов капитального строительства, являющихся основными для объекта строительства.</w:t>
      </w:r>
    </w:p>
    <w:p>
      <w:pPr>
        <w:pStyle w:val="0"/>
        <w:spacing w:before="200" w:line-rule="auto"/>
        <w:ind w:firstLine="540"/>
        <w:jc w:val="both"/>
      </w:pPr>
      <w:r>
        <w:rPr>
          <w:sz w:val="20"/>
        </w:rPr>
        <w:t xml:space="preserve">148. В главу 3 сводного сметного расчета включается сметная стоимость строительства объектов капитального строительства подсобного и обслуживающего назначения.</w:t>
      </w:r>
    </w:p>
    <w:p>
      <w:pPr>
        <w:pStyle w:val="0"/>
        <w:spacing w:before="200" w:line-rule="auto"/>
        <w:ind w:firstLine="540"/>
        <w:jc w:val="both"/>
      </w:pPr>
      <w:r>
        <w:rPr>
          <w:sz w:val="20"/>
        </w:rPr>
        <w:t xml:space="preserve">При определении сметной стоимости строительства объектов производственного назначения в главу 3 включается сметная стоимость строительства предназначенных для подсобных производственных целей объектов капитального строительства, (не относящихся к энергетическим объектам и объектам транспортного хозяйства и связи, предусматриваемым в соответствующих главах), а также для обслуживания предприятия. К ним относятся подсобные цеха, газогенераторные, компрессорные, складские здания, эстакады, галереи, административные здания, лаборатории, здания предприятий общественного питания, медицинского и бытового обслуживания работников производства, относящегося к строительству объекта производственного назначения, и другие.</w:t>
      </w:r>
    </w:p>
    <w:p>
      <w:pPr>
        <w:pStyle w:val="0"/>
        <w:spacing w:before="200" w:line-rule="auto"/>
        <w:ind w:firstLine="540"/>
        <w:jc w:val="both"/>
      </w:pPr>
      <w:r>
        <w:rPr>
          <w:sz w:val="20"/>
        </w:rPr>
        <w:t xml:space="preserve">При наличии в одном объекте капитального строительства основного и подсобного производств его сметная стоимость учитывается в главе 2 сводного сметного расчета.</w:t>
      </w:r>
    </w:p>
    <w:p>
      <w:pPr>
        <w:pStyle w:val="0"/>
        <w:spacing w:before="200" w:line-rule="auto"/>
        <w:ind w:firstLine="540"/>
        <w:jc w:val="both"/>
      </w:pPr>
      <w:r>
        <w:rPr>
          <w:sz w:val="20"/>
        </w:rPr>
        <w:t xml:space="preserve">При определении сметной стоимости строительства объектов непроизводственного назначения в главу 3 включается сметная стоимость хозяйственных корпусов, проходных, мусоросборников и других объектов.</w:t>
      </w:r>
    </w:p>
    <w:p>
      <w:pPr>
        <w:pStyle w:val="0"/>
        <w:spacing w:before="200" w:line-rule="auto"/>
        <w:ind w:firstLine="540"/>
        <w:jc w:val="both"/>
      </w:pPr>
      <w:r>
        <w:rPr>
          <w:sz w:val="20"/>
        </w:rPr>
        <w:t xml:space="preserve">При определении сметной стоимости строительства автомобильных дорог и искусственных дорожных сооружений в главу 3 включается сметная стоимость зданий эксплуатационных служб, постов ГИБДД, объектов охраны, зданий дорожно-диспетчерских служб, гаражей, складов, пунктов весового и габаритного контроля, снегоплавильных пунктов.</w:t>
      </w:r>
    </w:p>
    <w:p>
      <w:pPr>
        <w:pStyle w:val="0"/>
        <w:spacing w:before="200" w:line-rule="auto"/>
        <w:ind w:firstLine="540"/>
        <w:jc w:val="both"/>
      </w:pPr>
      <w:r>
        <w:rPr>
          <w:sz w:val="20"/>
        </w:rPr>
        <w:t xml:space="preserve">Для объектов строительства железнодорожного транспорта в главу 3 включается сметная стоимость объектов защиты путевого хозяйства, охраны пути и искусственных сооружений, сети и устройства автоматизированной очистки стрелок, электрообогрева стрелок, пневматическая почта, служебно-технические здания подсобного и обслуживающего назначения всех служб, локомотиворемонтные и вагоноремонтные депо и других объектов.</w:t>
      </w:r>
    </w:p>
    <w:p>
      <w:pPr>
        <w:pStyle w:val="0"/>
        <w:spacing w:before="200" w:line-rule="auto"/>
        <w:ind w:firstLine="540"/>
        <w:jc w:val="both"/>
      </w:pPr>
      <w:r>
        <w:rPr>
          <w:sz w:val="20"/>
        </w:rPr>
        <w:t xml:space="preserve">Для объектов инфраструктуры воздушного транспорта в главу 3 включается сметная стоимость контрольно-пропускных пунктов для осуществления пропускного режима, проведения досмотра, дополнительного досмотра и повторного досмотра в целях обеспечения транспортной безопасности.</w:t>
      </w:r>
    </w:p>
    <w:p>
      <w:pPr>
        <w:pStyle w:val="0"/>
        <w:spacing w:before="200" w:line-rule="auto"/>
        <w:ind w:firstLine="540"/>
        <w:jc w:val="both"/>
      </w:pPr>
      <w:r>
        <w:rPr>
          <w:sz w:val="20"/>
        </w:rPr>
        <w:t xml:space="preserve">149. В главу 4 сводного сметного расчета включается сметная стоимость строительства объектов энергетического хозяйства, входящих в объект строительства: трансформаторных подстанций, линий электропередач (воздушных и кабельных) и др. Сметная стоимость электротехнических установок, запроектированных в составе объектов капитального строительства, учитывается в их сметной стоимости.</w:t>
      </w:r>
    </w:p>
    <w:p>
      <w:pPr>
        <w:pStyle w:val="0"/>
        <w:spacing w:before="200" w:line-rule="auto"/>
        <w:ind w:firstLine="540"/>
        <w:jc w:val="both"/>
      </w:pPr>
      <w:r>
        <w:rPr>
          <w:sz w:val="20"/>
        </w:rPr>
        <w:t xml:space="preserve">150. В главу 5 включается сметная стоимость объектов транспортного хозяйства (подъездные дороги к предприятиям и дороги на территории предприятий (автомобильные, железнодорожные), причальные и прочие портовые сооружения, площадки для стоянки транспортных средств, автозаправочные станции, здания и сооружения по техническому обслуживанию, гаражи и другие подобные объекты) и связи.</w:t>
      </w:r>
    </w:p>
    <w:p>
      <w:pPr>
        <w:pStyle w:val="0"/>
        <w:spacing w:before="200" w:line-rule="auto"/>
        <w:ind w:firstLine="540"/>
        <w:jc w:val="both"/>
      </w:pPr>
      <w:r>
        <w:rPr>
          <w:sz w:val="20"/>
        </w:rPr>
        <w:t xml:space="preserve">Для объектов строительства железнодорожного транспорта в главу 5 включаются также автодорожные путепроводы, транспортные тоннели, пешеходные мосты и тоннели, не связанные с обслуживанием пассажиров.</w:t>
      </w:r>
    </w:p>
    <w:p>
      <w:pPr>
        <w:pStyle w:val="0"/>
        <w:spacing w:before="200" w:line-rule="auto"/>
        <w:ind w:firstLine="540"/>
        <w:jc w:val="both"/>
      </w:pPr>
      <w:r>
        <w:rPr>
          <w:sz w:val="20"/>
        </w:rPr>
        <w:t xml:space="preserve">В главе 5 сводного сметного расчета предусматриваются средства на устройство сетей связи всех видов, в том числе технических средств обеспечения транспортной безопасности (телефонной, телевизионной, радиосвязи и другой) с относящимися к ним зданиями и сооружениями.</w:t>
      </w:r>
    </w:p>
    <w:p>
      <w:pPr>
        <w:pStyle w:val="0"/>
        <w:spacing w:before="200" w:line-rule="auto"/>
        <w:ind w:firstLine="540"/>
        <w:jc w:val="both"/>
      </w:pPr>
      <w:r>
        <w:rPr>
          <w:sz w:val="20"/>
        </w:rPr>
        <w:t xml:space="preserve">151. В главу 6 сводного сметного расчета включается сметная стоимость сетей водоснабжения, водоотведения, теплоснабжения и газоснабжения. К ним относятся трубопроводы с относящимися к ним зданиями и сооружениями, в том числе плотинами, водозаборными сооружениями, насосными станциями, зданиями перекачки, водонапорными башнями, очистными сооружениями, фильтрами, котельными и другими сооружениями.</w:t>
      </w:r>
    </w:p>
    <w:p>
      <w:pPr>
        <w:pStyle w:val="0"/>
        <w:spacing w:before="200" w:line-rule="auto"/>
        <w:ind w:firstLine="540"/>
        <w:jc w:val="both"/>
      </w:pPr>
      <w:r>
        <w:rPr>
          <w:sz w:val="20"/>
        </w:rPr>
        <w:t xml:space="preserve">В главу 6 не включаются сметные затраты на устройство систем инженерно-технического обеспечения, учитываемые в сметной стоимости соответствующих объектов капитального строительства.</w:t>
      </w:r>
    </w:p>
    <w:p>
      <w:pPr>
        <w:pStyle w:val="0"/>
        <w:spacing w:before="200" w:line-rule="auto"/>
        <w:ind w:firstLine="540"/>
        <w:jc w:val="both"/>
      </w:pPr>
      <w:r>
        <w:rPr>
          <w:sz w:val="20"/>
        </w:rPr>
        <w:t xml:space="preserve">152. В главу 7 сводного сметного расчета включается сметная стоимость затрат по благоустройству и озеленению территории объекта строительства, в том числе работ по вертикальной планировке (без образования рельефа), устройству дорожек, тротуаров, малых архитектурных форм, ограждению территории, наружному освещению, посадке деревьев, кустарников, устройству газонов и клумб и других элементов благоустройства и озеленения.</w:t>
      </w:r>
    </w:p>
    <w:bookmarkStart w:id="603" w:name="P603"/>
    <w:bookmarkEnd w:id="603"/>
    <w:p>
      <w:pPr>
        <w:pStyle w:val="0"/>
        <w:spacing w:before="200" w:line-rule="auto"/>
        <w:ind w:firstLine="540"/>
        <w:jc w:val="both"/>
      </w:pPr>
      <w:r>
        <w:rPr>
          <w:sz w:val="20"/>
        </w:rPr>
        <w:t xml:space="preserve">153. В главу 8 сводного сметного расчета включаются затраты на устройство и ликвидацию временных зданий и сооружений, за исключением временных специальных вспомогательных сооружений и устройств, учитываемых дополнительно непосредственно в объектных сметных расчетах (сметах) соответствующих глав сводного сметного расчета в соответствии со сметными нормативами, сведения о которых включены в ФРСН.</w:t>
      </w:r>
    </w:p>
    <w:p>
      <w:pPr>
        <w:pStyle w:val="0"/>
        <w:jc w:val="both"/>
      </w:pPr>
      <w:r>
        <w:rPr>
          <w:sz w:val="20"/>
        </w:rPr>
        <w:t xml:space="preserve">(п. 153 в ред. </w:t>
      </w:r>
      <w:hyperlink w:history="0" r:id="rId14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605" w:name="P605"/>
    <w:bookmarkEnd w:id="605"/>
    <w:p>
      <w:pPr>
        <w:pStyle w:val="0"/>
        <w:spacing w:before="200" w:line-rule="auto"/>
        <w:ind w:firstLine="540"/>
        <w:jc w:val="both"/>
      </w:pPr>
      <w:r>
        <w:rPr>
          <w:sz w:val="20"/>
        </w:rPr>
        <w:t xml:space="preserve">154. Размер средств, предназначенных на строительство титульных временных зданий и сооружений, определяется в соответствии с </w:t>
      </w:r>
      <w:hyperlink w:history="0" r:id="rId142" w:tooltip="Приказ Минстроя России от 19.06.2020 N 332/пр &quot;Об утверждении Методики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quot; (Зарегистрировано в Минюсте России 29.10.2020 N 60665) {КонсультантПлюс}">
        <w:r>
          <w:rPr>
            <w:sz w:val="20"/>
            <w:color w:val="0000ff"/>
          </w:rPr>
          <w:t xml:space="preserve">пунктом 21</w:t>
        </w:r>
      </w:hyperlink>
      <w:r>
        <w:rPr>
          <w:sz w:val="20"/>
        </w:rPr>
        <w:t xml:space="preserve"> Методики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утвержденной приказом Министерства строительства и жилищно-коммунального хозяйства Российской Федерации от 19 июня 2020 г. N 332/пр (зарегистрирован Министерством юстиции Российской Федерации 29 октября 2020 г., регистрационный N 60665) (далее - Методика N 332/пр), одним из способов:</w:t>
      </w:r>
    </w:p>
    <w:p>
      <w:pPr>
        <w:pStyle w:val="0"/>
        <w:spacing w:before="200" w:line-rule="auto"/>
        <w:ind w:firstLine="540"/>
        <w:jc w:val="both"/>
      </w:pPr>
      <w:r>
        <w:rPr>
          <w:sz w:val="20"/>
        </w:rPr>
        <w:t xml:space="preserve">а) нормативным методом с применением нормативов затрат на строительство титульных временных зданий и сооружений;</w:t>
      </w:r>
    </w:p>
    <w:p>
      <w:pPr>
        <w:pStyle w:val="0"/>
        <w:spacing w:before="200" w:line-rule="auto"/>
        <w:ind w:firstLine="540"/>
        <w:jc w:val="both"/>
      </w:pPr>
      <w:r>
        <w:rPr>
          <w:sz w:val="20"/>
        </w:rPr>
        <w:t xml:space="preserve">б) расчетным методом на основании данных ПОС, в соответствии с указанным в нем перечнем и характеристиками титульных временных зданий и сооружений.</w:t>
      </w:r>
    </w:p>
    <w:p>
      <w:pPr>
        <w:pStyle w:val="0"/>
        <w:spacing w:before="200" w:line-rule="auto"/>
        <w:ind w:firstLine="540"/>
        <w:jc w:val="both"/>
      </w:pPr>
      <w:r>
        <w:rPr>
          <w:sz w:val="20"/>
        </w:rPr>
        <w:t xml:space="preserve">Затраты на устройство и ликвидацию временных специальных вспомогательных сооружений и устройств определяются дополнительно в соответствии с </w:t>
      </w:r>
      <w:hyperlink w:history="0" r:id="rId143" w:tooltip="Приказ Минстроя России от 19.06.2020 N 332/пр &quot;Об утверждении Методики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quot; (Зарегистрировано в Минюсте России 29.10.2020 N 60665) {КонсультантПлюс}">
        <w:r>
          <w:rPr>
            <w:sz w:val="20"/>
            <w:color w:val="0000ff"/>
          </w:rPr>
          <w:t xml:space="preserve">пунктом 27</w:t>
        </w:r>
      </w:hyperlink>
      <w:r>
        <w:rPr>
          <w:sz w:val="20"/>
        </w:rPr>
        <w:t xml:space="preserve"> Методики N 332/пр.</w:t>
      </w:r>
    </w:p>
    <w:p>
      <w:pPr>
        <w:pStyle w:val="0"/>
        <w:spacing w:before="200" w:line-rule="auto"/>
        <w:ind w:firstLine="540"/>
        <w:jc w:val="both"/>
      </w:pPr>
      <w:r>
        <w:rPr>
          <w:sz w:val="20"/>
        </w:rPr>
        <w:t xml:space="preserve">На основании данных ПОС по решению заказчика нормативный метод определения затрат на строительство титульных временных зданий и сооружений может применяться независимо от места их расположения.</w:t>
      </w:r>
    </w:p>
    <w:p>
      <w:pPr>
        <w:pStyle w:val="0"/>
        <w:jc w:val="both"/>
      </w:pPr>
      <w:r>
        <w:rPr>
          <w:sz w:val="20"/>
        </w:rPr>
        <w:t xml:space="preserve">(п. 154 в ред. </w:t>
      </w:r>
      <w:hyperlink w:history="0" r:id="rId14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155. При определении размера средств, предназначенных на устройство и ликвидацию титульных временных зданий и сооружений, расчетным методом на основании данных ПОС осуществляется разработка локальных сметных расчетов (смет) и калькуляций затрат.</w:t>
      </w:r>
    </w:p>
    <w:p>
      <w:pPr>
        <w:pStyle w:val="0"/>
        <w:jc w:val="both"/>
      </w:pPr>
      <w:r>
        <w:rPr>
          <w:sz w:val="20"/>
        </w:rPr>
        <w:t xml:space="preserve">(п. 155 в ред. </w:t>
      </w:r>
      <w:hyperlink w:history="0" r:id="rId14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156. Одновременное использование способов, указанных в </w:t>
      </w:r>
      <w:hyperlink w:history="0" w:anchor="P605" w:tooltip="154. Размер средств, предназначенных на строительство титульных временных зданий и сооружений, определяется в соответствии с пунктом 21 Методики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ной приказом Министерства строительства и жилищно-коммунального хозяйства Российской Федерации от 19 июня 2020 г. N 332/пр (зарегистрирован Министерством юстиции Российской Федерации 29 октяб...">
        <w:r>
          <w:rPr>
            <w:sz w:val="20"/>
            <w:color w:val="0000ff"/>
          </w:rPr>
          <w:t xml:space="preserve">подпунктах "а"</w:t>
        </w:r>
      </w:hyperlink>
      <w:r>
        <w:rPr>
          <w:sz w:val="20"/>
        </w:rPr>
        <w:t xml:space="preserve"> и </w:t>
      </w:r>
      <w:hyperlink w:history="0" w:anchor="P605" w:tooltip="154. Размер средств, предназначенных на строительство титульных временных зданий и сооружений, определяется в соответствии с пунктом 21 Методики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ной приказом Министерства строительства и жилищно-коммунального хозяйства Российской Федерации от 19 июня 2020 г. N 332/пр (зарегистрирован Министерством юстиции Российской Федерации 29 октяб...">
        <w:r>
          <w:rPr>
            <w:sz w:val="20"/>
            <w:color w:val="0000ff"/>
          </w:rPr>
          <w:t xml:space="preserve">"б" пункта 154</w:t>
        </w:r>
      </w:hyperlink>
      <w:r>
        <w:rPr>
          <w:sz w:val="20"/>
        </w:rPr>
        <w:t xml:space="preserve"> Методики, не допускается за исключением случаев, приведенных в положениях сметных нормативов, сведения о которых включены в ФРСН.</w:t>
      </w:r>
    </w:p>
    <w:p>
      <w:pPr>
        <w:pStyle w:val="0"/>
        <w:spacing w:before="200" w:line-rule="auto"/>
        <w:ind w:firstLine="540"/>
        <w:jc w:val="both"/>
      </w:pPr>
      <w:r>
        <w:rPr>
          <w:sz w:val="20"/>
        </w:rPr>
        <w:t xml:space="preserve">157. Затраты на устройство и ликвидацию титульных временных зданий и сооружений включаются:</w:t>
      </w:r>
    </w:p>
    <w:p>
      <w:pPr>
        <w:pStyle w:val="0"/>
        <w:spacing w:before="200" w:line-rule="auto"/>
        <w:ind w:firstLine="540"/>
        <w:jc w:val="both"/>
      </w:pPr>
      <w:r>
        <w:rPr>
          <w:sz w:val="20"/>
        </w:rPr>
        <w:t xml:space="preserve">а) в </w:t>
      </w:r>
      <w:hyperlink w:history="0" w:anchor="P8745" w:tooltip="4">
        <w:r>
          <w:rPr>
            <w:sz w:val="20"/>
            <w:color w:val="0000ff"/>
          </w:rPr>
          <w:t xml:space="preserve">графы 4</w:t>
        </w:r>
      </w:hyperlink>
      <w:r>
        <w:rPr>
          <w:sz w:val="20"/>
        </w:rPr>
        <w:t xml:space="preserve">, </w:t>
      </w:r>
      <w:hyperlink w:history="0" w:anchor="P8746" w:tooltip="5">
        <w:r>
          <w:rPr>
            <w:sz w:val="20"/>
            <w:color w:val="0000ff"/>
          </w:rPr>
          <w:t xml:space="preserve">5</w:t>
        </w:r>
      </w:hyperlink>
      <w:r>
        <w:rPr>
          <w:sz w:val="20"/>
        </w:rPr>
        <w:t xml:space="preserve"> и </w:t>
      </w:r>
      <w:hyperlink w:history="0" w:anchor="P8749" w:tooltip="8">
        <w:r>
          <w:rPr>
            <w:sz w:val="20"/>
            <w:color w:val="0000ff"/>
          </w:rPr>
          <w:t xml:space="preserve">8</w:t>
        </w:r>
      </w:hyperlink>
      <w:r>
        <w:rPr>
          <w:sz w:val="20"/>
        </w:rPr>
        <w:t xml:space="preserve"> сводного сметного расчета стоимости строительства отдельными строками для соответствующих объектов капитального строительства при определении затрат нормативным методом;</w:t>
      </w:r>
    </w:p>
    <w:p>
      <w:pPr>
        <w:pStyle w:val="0"/>
        <w:spacing w:before="200" w:line-rule="auto"/>
        <w:ind w:firstLine="540"/>
        <w:jc w:val="both"/>
      </w:pPr>
      <w:r>
        <w:rPr>
          <w:sz w:val="20"/>
        </w:rPr>
        <w:t xml:space="preserve">б) в </w:t>
      </w:r>
      <w:hyperlink w:history="0" w:anchor="P8745" w:tooltip="4">
        <w:r>
          <w:rPr>
            <w:sz w:val="20"/>
            <w:color w:val="0000ff"/>
          </w:rPr>
          <w:t xml:space="preserve">графы 4</w:t>
        </w:r>
      </w:hyperlink>
      <w:r>
        <w:rPr>
          <w:sz w:val="20"/>
        </w:rPr>
        <w:t xml:space="preserve"> - </w:t>
      </w:r>
      <w:hyperlink w:history="0" w:anchor="P8749" w:tooltip="8">
        <w:r>
          <w:rPr>
            <w:sz w:val="20"/>
            <w:color w:val="0000ff"/>
          </w:rPr>
          <w:t xml:space="preserve">8</w:t>
        </w:r>
      </w:hyperlink>
      <w:r>
        <w:rPr>
          <w:sz w:val="20"/>
        </w:rPr>
        <w:t xml:space="preserve"> сводного сметного расчета стоимости строительства при определении затрат расчетным методом на основании данных ПОС, а расходы на их содержание и эксплуатацию учитываются в </w:t>
      </w:r>
      <w:hyperlink w:history="0" w:anchor="P8748" w:tooltip="7">
        <w:r>
          <w:rPr>
            <w:sz w:val="20"/>
            <w:color w:val="0000ff"/>
          </w:rPr>
          <w:t xml:space="preserve">графе 7</w:t>
        </w:r>
      </w:hyperlink>
      <w:r>
        <w:rPr>
          <w:sz w:val="20"/>
        </w:rPr>
        <w:t xml:space="preserve"> главы 9 сводного сметного расчета, за исключением расходов на содержание и эксплуатацию, учтенных нормативами накладных расходов.</w:t>
      </w:r>
    </w:p>
    <w:p>
      <w:pPr>
        <w:pStyle w:val="0"/>
        <w:spacing w:before="200" w:line-rule="auto"/>
        <w:ind w:firstLine="540"/>
        <w:jc w:val="both"/>
      </w:pPr>
      <w:r>
        <w:rPr>
          <w:sz w:val="20"/>
        </w:rPr>
        <w:t xml:space="preserve">Затраты, не учтенные нормативами затрат на строительство титульных временных зданий и сооружений, определяются дополнительно в соответствии со сметными нормативами, сведения о которых включены в ФРСН, и учитываются в соответствующих главах сводного сметного расчета стоимости строительства.</w:t>
      </w:r>
    </w:p>
    <w:p>
      <w:pPr>
        <w:pStyle w:val="0"/>
        <w:jc w:val="both"/>
      </w:pPr>
      <w:r>
        <w:rPr>
          <w:sz w:val="20"/>
        </w:rPr>
        <w:t xml:space="preserve">(п. 157 в ред. </w:t>
      </w:r>
      <w:hyperlink w:history="0" r:id="rId14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158. При производстве работ вахтовым методом средства на устройство вахтового поселка определяются на основании данных ПОС в соответствии со сметными нормативами, сведения о которых включены в ФРСН, и учитываются в </w:t>
      </w:r>
      <w:hyperlink w:history="0" w:anchor="P8745" w:tooltip="4">
        <w:r>
          <w:rPr>
            <w:sz w:val="20"/>
            <w:color w:val="0000ff"/>
          </w:rPr>
          <w:t xml:space="preserve">графах 4</w:t>
        </w:r>
      </w:hyperlink>
      <w:r>
        <w:rPr>
          <w:sz w:val="20"/>
        </w:rPr>
        <w:t xml:space="preserve"> - </w:t>
      </w:r>
      <w:hyperlink w:history="0" w:anchor="P8749" w:tooltip="8">
        <w:r>
          <w:rPr>
            <w:sz w:val="20"/>
            <w:color w:val="0000ff"/>
          </w:rPr>
          <w:t xml:space="preserve">8</w:t>
        </w:r>
      </w:hyperlink>
      <w:r>
        <w:rPr>
          <w:sz w:val="20"/>
        </w:rPr>
        <w:t xml:space="preserve"> главы 8 сводного сметного расчета.</w:t>
      </w:r>
    </w:p>
    <w:p>
      <w:pPr>
        <w:pStyle w:val="0"/>
        <w:jc w:val="both"/>
      </w:pPr>
      <w:r>
        <w:rPr>
          <w:sz w:val="20"/>
        </w:rPr>
        <w:t xml:space="preserve">(п. 158 в ред. </w:t>
      </w:r>
      <w:hyperlink w:history="0" r:id="rId14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159. В главу 9 сводного сметного расчета включается сметная стоимость прочих работ и затрат, не учитываемых в других главах сводного сметного расчета. Рекомендуемый перечень работ и затрат, учитываемых в главах 1 и 9 сводного сметного расчета, приведен в </w:t>
      </w:r>
      <w:hyperlink w:history="0" w:anchor="P9264" w:tooltip="РЕКОМЕНДУЕМЫЙ ПЕРЕЧЕНЬ">
        <w:r>
          <w:rPr>
            <w:sz w:val="20"/>
            <w:color w:val="0000ff"/>
          </w:rPr>
          <w:t xml:space="preserve">Приложении N 9</w:t>
        </w:r>
      </w:hyperlink>
      <w:r>
        <w:rPr>
          <w:sz w:val="20"/>
        </w:rPr>
        <w:t xml:space="preserve"> к Методике.</w:t>
      </w:r>
    </w:p>
    <w:p>
      <w:pPr>
        <w:pStyle w:val="0"/>
        <w:jc w:val="both"/>
      </w:pPr>
      <w:r>
        <w:rPr>
          <w:sz w:val="20"/>
        </w:rPr>
        <w:t xml:space="preserve">(в ред. </w:t>
      </w:r>
      <w:hyperlink w:history="0" r:id="rId14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160. При получении электрической энергии, затрачиваемой на сушку зданий, а также на отопление зданий в зимний период электрокалориферами от передвижных электростанций, разница в стоимости электрической энергии, получаемой от передвижных электростанций по сравнению со стоимостью электроэнергии, получаемой из единой энергетической системы России, дополнительно учитывается в 9 главе сводного сметного расчета, а расчет выполняется в соответствии с положениями </w:t>
      </w:r>
      <w:hyperlink w:history="0" w:anchor="P285" w:tooltip="73. В составе сметных прямых затрат при обосновании проектной и (или) иной технической документацией дополнительно учитывается разница в стоимости электроэнергии, получаемой от передвижных источников снабжения, по сравнению со стоимостью электроэнергии, передаваемой от производителей единой энергетической системы России, относимая на стоимость материальных ресурсов.">
        <w:r>
          <w:rPr>
            <w:sz w:val="20"/>
            <w:color w:val="0000ff"/>
          </w:rPr>
          <w:t xml:space="preserve">пункта 73</w:t>
        </w:r>
      </w:hyperlink>
      <w:r>
        <w:rPr>
          <w:sz w:val="20"/>
        </w:rPr>
        <w:t xml:space="preserve"> Методики.</w:t>
      </w:r>
    </w:p>
    <w:bookmarkStart w:id="624" w:name="P624"/>
    <w:bookmarkEnd w:id="624"/>
    <w:p>
      <w:pPr>
        <w:pStyle w:val="0"/>
        <w:spacing w:before="200" w:line-rule="auto"/>
        <w:ind w:firstLine="540"/>
        <w:jc w:val="both"/>
      </w:pPr>
      <w:r>
        <w:rPr>
          <w:sz w:val="20"/>
        </w:rPr>
        <w:t xml:space="preserve">161. В главе 9 сводного сметного расчета могут предусматриваться затраты, связанные с предоставлением обязательной банковской гарантии в качестве обеспечения исполнения контракта и гарантийных обязательств, в случаях, когда указанные затраты являются обязательными по требованию заказчика. Затраты, связанные с предоставлением обязательной банковской гарантии (С</w:t>
      </w:r>
      <w:r>
        <w:rPr>
          <w:sz w:val="20"/>
          <w:vertAlign w:val="subscript"/>
        </w:rPr>
        <w:t xml:space="preserve">БГ</w:t>
      </w:r>
      <w:r>
        <w:rPr>
          <w:sz w:val="20"/>
        </w:rPr>
        <w:t xml:space="preserve">), учитываются по результатам конъюнктурного анализа не менее 3 (трех) предложений банков, обладающих правом выдачи банковских гарантий, выполненного с учетом требований заказчика и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с указанием расчета для каждого предложения по формуле (6):</w:t>
      </w:r>
    </w:p>
    <w:p>
      <w:pPr>
        <w:pStyle w:val="0"/>
        <w:jc w:val="both"/>
      </w:pPr>
      <w:r>
        <w:rPr>
          <w:sz w:val="20"/>
        </w:rPr>
      </w:r>
    </w:p>
    <w:p>
      <w:pPr>
        <w:pStyle w:val="0"/>
        <w:jc w:val="center"/>
      </w:pPr>
      <w:r>
        <w:rPr>
          <w:sz w:val="20"/>
        </w:rPr>
        <w:t xml:space="preserve">С</w:t>
      </w:r>
      <w:r>
        <w:rPr>
          <w:sz w:val="20"/>
          <w:vertAlign w:val="subscript"/>
        </w:rPr>
        <w:t xml:space="preserve">БГ</w:t>
      </w:r>
      <w:r>
        <w:rPr>
          <w:sz w:val="20"/>
        </w:rPr>
        <w:t xml:space="preserve"> = БГ x К</w:t>
      </w:r>
      <w:r>
        <w:rPr>
          <w:sz w:val="20"/>
          <w:vertAlign w:val="subscript"/>
        </w:rPr>
        <w:t xml:space="preserve">в</w:t>
      </w:r>
      <w:r>
        <w:rPr>
          <w:sz w:val="20"/>
        </w:rPr>
        <w:t xml:space="preserve"> x N, (6),</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БГ - сумма банковской гарантии, руб.;</w:t>
      </w:r>
    </w:p>
    <w:p>
      <w:pPr>
        <w:pStyle w:val="0"/>
        <w:spacing w:before="200" w:line-rule="auto"/>
        <w:ind w:firstLine="540"/>
        <w:jc w:val="both"/>
      </w:pPr>
      <w:r>
        <w:rPr>
          <w:sz w:val="20"/>
        </w:rPr>
        <w:t xml:space="preserve">К</w:t>
      </w:r>
      <w:r>
        <w:rPr>
          <w:sz w:val="20"/>
          <w:vertAlign w:val="subscript"/>
        </w:rPr>
        <w:t xml:space="preserve">в</w:t>
      </w:r>
      <w:r>
        <w:rPr>
          <w:sz w:val="20"/>
        </w:rPr>
        <w:t xml:space="preserve"> - размер вознаграждения в расчете на год, установленный банком, обладающим правом выдачи банковских гарантий, %;</w:t>
      </w:r>
    </w:p>
    <w:p>
      <w:pPr>
        <w:pStyle w:val="0"/>
        <w:spacing w:before="200" w:line-rule="auto"/>
        <w:ind w:firstLine="540"/>
        <w:jc w:val="both"/>
      </w:pPr>
      <w:r>
        <w:rPr>
          <w:sz w:val="20"/>
        </w:rPr>
        <w:t xml:space="preserve">N - срок действия гарантии, количество лет.</w:t>
      </w:r>
    </w:p>
    <w:p>
      <w:pPr>
        <w:pStyle w:val="0"/>
        <w:spacing w:before="200" w:line-rule="auto"/>
        <w:ind w:firstLine="540"/>
        <w:jc w:val="both"/>
      </w:pPr>
      <w:r>
        <w:rPr>
          <w:sz w:val="20"/>
        </w:rPr>
        <w:t xml:space="preserve">161.1. По решению заказчика в главе 9 сводного сметного расчета сверх затрат, учтенных нормативами накладных расходов, могут быть учтены дополнительные расходы на разработку проектов производства работ (далее - ППР) для объектов капитального строительства, отнесенных в соответствии со </w:t>
      </w:r>
      <w:hyperlink w:history="0" r:id="rId149"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статьей 48.1</w:t>
        </w:r>
      </w:hyperlink>
      <w:r>
        <w:rPr>
          <w:sz w:val="20"/>
        </w:rPr>
        <w:t xml:space="preserve"> Градостроительного кодекса Российской Федерации к особо опасным и технически сложным и уникальным, в размере 20% от стоимости разработки разделов (части разделов) рабочей документации, на основании которой выполняются строительно-монтажные работы, перечень которых определяется заказчиком и качественное выполнение которых невозможно без разработки такого ППР. При этом стоимость разработки части (разделов) рабочей документации, необходимая для определения стоимости ППР, рассчитывается в соответствии со сметными нормативами, сведения о которых включены в ФРСН.</w:t>
      </w:r>
    </w:p>
    <w:p>
      <w:pPr>
        <w:pStyle w:val="0"/>
        <w:jc w:val="both"/>
      </w:pPr>
      <w:r>
        <w:rPr>
          <w:sz w:val="20"/>
        </w:rPr>
        <w:t xml:space="preserve">(п. 161.1 введен </w:t>
      </w:r>
      <w:hyperlink w:history="0" r:id="rId15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bookmarkStart w:id="634" w:name="P634"/>
    <w:bookmarkEnd w:id="634"/>
    <w:p>
      <w:pPr>
        <w:pStyle w:val="0"/>
        <w:spacing w:before="200" w:line-rule="auto"/>
        <w:ind w:firstLine="540"/>
        <w:jc w:val="both"/>
      </w:pPr>
      <w:r>
        <w:rPr>
          <w:sz w:val="20"/>
        </w:rPr>
        <w:t xml:space="preserve">161.2. В случае, установленном законодательством Российской Федерации, в главе 9 сводного сметного расчета могут быть предусмотрены средства на выплату премий за досрочный ввод в эксплуатацию построенного объекта.</w:t>
      </w:r>
    </w:p>
    <w:p>
      <w:pPr>
        <w:pStyle w:val="0"/>
        <w:spacing w:before="200" w:line-rule="auto"/>
        <w:ind w:firstLine="540"/>
        <w:jc w:val="both"/>
      </w:pPr>
      <w:r>
        <w:rPr>
          <w:sz w:val="20"/>
        </w:rPr>
        <w:t xml:space="preserve">Указанные средства определяются расчетом в размере 2% от суммы итогов строительно-монтажных работ, сложившихся по </w:t>
      </w:r>
      <w:hyperlink w:history="0" w:anchor="P8745" w:tooltip="4">
        <w:r>
          <w:rPr>
            <w:sz w:val="20"/>
            <w:color w:val="0000ff"/>
          </w:rPr>
          <w:t xml:space="preserve">графам 4</w:t>
        </w:r>
      </w:hyperlink>
      <w:r>
        <w:rPr>
          <w:sz w:val="20"/>
        </w:rPr>
        <w:t xml:space="preserve"> и </w:t>
      </w:r>
      <w:hyperlink w:history="0" w:anchor="P8746" w:tooltip="5">
        <w:r>
          <w:rPr>
            <w:sz w:val="20"/>
            <w:color w:val="0000ff"/>
          </w:rPr>
          <w:t xml:space="preserve">5</w:t>
        </w:r>
      </w:hyperlink>
      <w:r>
        <w:rPr>
          <w:sz w:val="20"/>
        </w:rPr>
        <w:t xml:space="preserve"> глав 1 - 7 сводного сметного расчета, в случаях, когда продолжительность строительства в соответствии с графиком производства работ, разрабатываемым в составе ПОС по объекту, не превышает рекомендуемые нормативные сроки строительства таких объектов согласно документам в области стандартизации и срок исполнения таких контрактов сокращен не менее чем на 10 (десять) процентов от продолжительности, установленной в ПОС.</w:t>
      </w:r>
    </w:p>
    <w:p>
      <w:pPr>
        <w:pStyle w:val="0"/>
        <w:jc w:val="both"/>
      </w:pPr>
      <w:r>
        <w:rPr>
          <w:sz w:val="20"/>
        </w:rPr>
        <w:t xml:space="preserve">(п. 161.2 введен </w:t>
      </w:r>
      <w:hyperlink w:history="0" r:id="rId15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162. В главу 10 сводного сметного расчета включаются затраты на содержание технического заказчика и затраты заказчика на проведение строительного контроля при строительстве (далее - строительный контроль) (</w:t>
      </w: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r>
        <w:rPr>
          <w:sz w:val="20"/>
        </w:rPr>
        <w:t xml:space="preserve">), в том числе для организаций, осуществляющих функции единого заказчика по строительству объектов капитального строительства.</w:t>
      </w:r>
    </w:p>
    <w:p>
      <w:pPr>
        <w:pStyle w:val="0"/>
        <w:jc w:val="both"/>
      </w:pPr>
      <w:r>
        <w:rPr>
          <w:sz w:val="20"/>
        </w:rPr>
        <w:t xml:space="preserve">(в ред. </w:t>
      </w:r>
      <w:hyperlink w:history="0" r:id="rId15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163. Средства на содержание технического заказчика определяются на основании расчета в соответствии с положениями сметных нормативов, сведения о которых включены в ФРСН.</w:t>
      </w:r>
    </w:p>
    <w:p>
      <w:pPr>
        <w:pStyle w:val="0"/>
        <w:spacing w:before="200" w:line-rule="auto"/>
        <w:ind w:firstLine="540"/>
        <w:jc w:val="both"/>
      </w:pPr>
      <w:r>
        <w:rPr>
          <w:sz w:val="20"/>
        </w:rPr>
        <w:t xml:space="preserve">164. При осуществлении строительного контроля техническим заказчиком к средствам на содержание технического заказчика дополнительно включаются расходы на проведение строительного контроля.</w:t>
      </w:r>
    </w:p>
    <w:p>
      <w:pPr>
        <w:pStyle w:val="0"/>
        <w:spacing w:before="200" w:line-rule="auto"/>
        <w:ind w:firstLine="540"/>
        <w:jc w:val="both"/>
      </w:pPr>
      <w:r>
        <w:rPr>
          <w:sz w:val="20"/>
        </w:rPr>
        <w:t xml:space="preserve">165. Затраты на содержание технического заказчика не учитываются в сводном сметном расчете в случае, если функции технического заказчика осуществляет уполномоченная застройщиком организация, деятельность которой финансируется за счет целевых средств, выделяемых на ее текущее содержание, на основании бюджетной сметы, утвержденной в установленном бюджетным законодательством Российской Федерации порядке в рамках лимитов бюджетных обязательств.</w:t>
      </w:r>
    </w:p>
    <w:bookmarkStart w:id="642" w:name="P642"/>
    <w:bookmarkEnd w:id="642"/>
    <w:p>
      <w:pPr>
        <w:pStyle w:val="0"/>
        <w:spacing w:before="200" w:line-rule="auto"/>
        <w:ind w:firstLine="540"/>
        <w:jc w:val="both"/>
      </w:pPr>
      <w:r>
        <w:rPr>
          <w:sz w:val="20"/>
        </w:rPr>
        <w:t xml:space="preserve">166. Размер затрат на осуществление строительного контроля при строительстве объектов капитального строительства, финансируемых полностью или частично с привлечением средств федерального бюджета, определяется исходя из общей стоимости строительства с применением нормативов, приведенных в </w:t>
      </w:r>
      <w:hyperlink w:history="0" r:id="rId153" w:tooltip="Постановление Правительства РФ от 21.06.2010 N 468 &quot;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quot; (вместе с &quot;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quot;) {КонсультантПлюс}">
        <w:r>
          <w:rPr>
            <w:sz w:val="20"/>
            <w:color w:val="0000ff"/>
          </w:rPr>
          <w:t xml:space="preserve">приложении</w:t>
        </w:r>
      </w:hyperlink>
      <w:r>
        <w:rPr>
          <w:sz w:val="20"/>
        </w:rPr>
        <w:t xml:space="preserve"> к Положению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утвержденному постановлением Правительства Российской Федерации от 21 июня 2010 г.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(Собрание законодательства Российской Федерации, 2010, N 26, ст. 3365).</w:t>
      </w:r>
    </w:p>
    <w:p>
      <w:pPr>
        <w:pStyle w:val="0"/>
        <w:spacing w:before="200" w:line-rule="auto"/>
        <w:ind w:firstLine="540"/>
        <w:jc w:val="both"/>
      </w:pPr>
      <w:r>
        <w:rPr>
          <w:sz w:val="20"/>
        </w:rPr>
        <w:t xml:space="preserve">167. Расчет затрат на осуществление строительного контроля осуществляется в текущем уровне цен от итогов глав 1 - 9 сводного сметного расчета стоимости строительства (</w:t>
      </w:r>
      <w:hyperlink w:history="0" w:anchor="P8745" w:tooltip="4">
        <w:r>
          <w:rPr>
            <w:sz w:val="20"/>
            <w:color w:val="0000ff"/>
          </w:rPr>
          <w:t xml:space="preserve">графы 4</w:t>
        </w:r>
      </w:hyperlink>
      <w:r>
        <w:rPr>
          <w:sz w:val="20"/>
        </w:rPr>
        <w:t xml:space="preserve">, </w:t>
      </w:r>
      <w:hyperlink w:history="0" w:anchor="P8746" w:tooltip="5">
        <w:r>
          <w:rPr>
            <w:sz w:val="20"/>
            <w:color w:val="0000ff"/>
          </w:rPr>
          <w:t xml:space="preserve">5</w:t>
        </w:r>
      </w:hyperlink>
      <w:r>
        <w:rPr>
          <w:sz w:val="20"/>
        </w:rPr>
        <w:t xml:space="preserve">, </w:t>
      </w:r>
      <w:hyperlink w:history="0" w:anchor="P8747" w:tooltip="6">
        <w:r>
          <w:rPr>
            <w:sz w:val="20"/>
            <w:color w:val="0000ff"/>
          </w:rPr>
          <w:t xml:space="preserve">6</w:t>
        </w:r>
      </w:hyperlink>
      <w:r>
        <w:rPr>
          <w:sz w:val="20"/>
        </w:rPr>
        <w:t xml:space="preserve"> и </w:t>
      </w:r>
      <w:hyperlink w:history="0" w:anchor="P8748" w:tooltip="7">
        <w:r>
          <w:rPr>
            <w:sz w:val="20"/>
            <w:color w:val="0000ff"/>
          </w:rPr>
          <w:t xml:space="preserve">7</w:t>
        </w:r>
      </w:hyperlink>
      <w:r>
        <w:rPr>
          <w:sz w:val="20"/>
        </w:rPr>
        <w:t xml:space="preserve">) (за исключением расходов на приобретение земельных участков), и указывается в главе 10 сводного сметного расчета стоимости строительства отдельной строкой "Строительный контроль" (</w:t>
      </w: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r>
        <w:rPr>
          <w:sz w:val="20"/>
        </w:rPr>
        <w:t xml:space="preserve">).</w:t>
      </w:r>
    </w:p>
    <w:p>
      <w:pPr>
        <w:pStyle w:val="0"/>
        <w:jc w:val="both"/>
      </w:pPr>
      <w:r>
        <w:rPr>
          <w:sz w:val="20"/>
        </w:rPr>
        <w:t xml:space="preserve">(в ред. </w:t>
      </w:r>
      <w:hyperlink w:history="0" r:id="rId15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В главе 9 сводного сметного расчета дополнительно к затратам на осуществление функций строительного контроля, определяемым в соответствии с </w:t>
      </w:r>
      <w:hyperlink w:history="0" w:anchor="P642" w:tooltip="166. Размер затрат на осуществление строительного контроля при строительстве объектов капитального строительства, финансируемых полностью или частично с привлечением средств федерального бюджета, определяется исходя из общей стоимости строительства с применением нормативов, приведенных в приложении к Положению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му постановлением Правительства Российской ...">
        <w:r>
          <w:rPr>
            <w:sz w:val="20"/>
            <w:color w:val="0000ff"/>
          </w:rPr>
          <w:t xml:space="preserve">пунктом 166</w:t>
        </w:r>
      </w:hyperlink>
      <w:r>
        <w:rPr>
          <w:sz w:val="20"/>
        </w:rPr>
        <w:t xml:space="preserve"> Методики, могут учитываться затраты, связанные с проведением дополнительного строительного контроля заказчика инструментальными и лабораторными методами в объемах, предусмотренных действующими документами в области стандартизации и технического регулирования соответствующих работ, а также нормативными правовыми актами Российской Федерации, в случае если такое решение принято заказчиком.</w:t>
      </w:r>
    </w:p>
    <w:p>
      <w:pPr>
        <w:pStyle w:val="0"/>
        <w:jc w:val="both"/>
      </w:pPr>
      <w:r>
        <w:rPr>
          <w:sz w:val="20"/>
        </w:rPr>
        <w:t xml:space="preserve">(абзац введен </w:t>
      </w:r>
      <w:hyperlink w:history="0" r:id="rId15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168. При применении ресурсного и ресурсно-индексного методов для определения нормативов расходов на осуществление строительного контроля сметная стоимость строительства в базисном уровне цен рассчитывается как отношение сметной стоимости в текущем уровне цен к соответствующим индексам изменения сметной стоимости, примененным при составлении сметной документации.</w:t>
      </w:r>
    </w:p>
    <w:p>
      <w:pPr>
        <w:pStyle w:val="0"/>
        <w:spacing w:before="200" w:line-rule="auto"/>
        <w:ind w:firstLine="540"/>
        <w:jc w:val="both"/>
      </w:pPr>
      <w:r>
        <w:rPr>
          <w:sz w:val="20"/>
        </w:rPr>
        <w:t xml:space="preserve">169. Затраты, возникающие при выполнении техническим заказчиком своих функций и не связанные с его содержанием (например, плата за получение исходных данных и технических условий для подготовки проектной документации), учитываются в соответствующих главах сводного сметного расчета.</w:t>
      </w:r>
    </w:p>
    <w:p>
      <w:pPr>
        <w:pStyle w:val="0"/>
        <w:spacing w:before="200" w:line-rule="auto"/>
        <w:ind w:firstLine="540"/>
        <w:jc w:val="both"/>
      </w:pPr>
      <w:r>
        <w:rPr>
          <w:sz w:val="20"/>
        </w:rPr>
        <w:t xml:space="preserve">170. В главу 11 сводного сметного расчета (</w:t>
      </w: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r>
        <w:rPr>
          <w:sz w:val="20"/>
        </w:rPr>
        <w:t xml:space="preserve">) включаются затраты, связанные с подготовкой эксплуатационных кадров для строящихся (реконструируемых) объектов капитального строительства, определяемые по сметным расчетам на отдельный вид затрат на основании проектной и (или) иной технической документации.</w:t>
      </w:r>
    </w:p>
    <w:p>
      <w:pPr>
        <w:pStyle w:val="0"/>
        <w:spacing w:before="200" w:line-rule="auto"/>
        <w:ind w:firstLine="540"/>
        <w:jc w:val="both"/>
      </w:pPr>
      <w:r>
        <w:rPr>
          <w:sz w:val="20"/>
        </w:rPr>
        <w:t xml:space="preserve">Расчет затрат, связанных с подготовкой эксплуатационных кадров, осуществляется исходя из данных о количестве и квалификационном составе работников, сроков подготовки, затрат на подготовку, оплаты труда работников, затрат, связанных с проездом обучающихся до места обучения и обратно, а также других затрат, связанных с подготовкой эксплуатационных кадров, перечень которых принимается на основании проектной и (или) иной технической документации.</w:t>
      </w:r>
    </w:p>
    <w:p>
      <w:pPr>
        <w:pStyle w:val="0"/>
        <w:spacing w:before="200" w:line-rule="auto"/>
        <w:ind w:firstLine="540"/>
        <w:jc w:val="both"/>
      </w:pPr>
      <w:r>
        <w:rPr>
          <w:sz w:val="20"/>
        </w:rPr>
        <w:t xml:space="preserve">171. В главу 12 сводного сметного расчета включается стоимость следующих затрат:</w:t>
      </w:r>
    </w:p>
    <w:bookmarkStart w:id="652" w:name="P652"/>
    <w:bookmarkEnd w:id="652"/>
    <w:p>
      <w:pPr>
        <w:pStyle w:val="0"/>
        <w:spacing w:before="200" w:line-rule="auto"/>
        <w:ind w:firstLine="540"/>
        <w:jc w:val="both"/>
      </w:pPr>
      <w:r>
        <w:rPr>
          <w:sz w:val="20"/>
        </w:rPr>
        <w:t xml:space="preserve">а) на проведение публичного технологического и ценового аудита;</w:t>
      </w:r>
    </w:p>
    <w:p>
      <w:pPr>
        <w:pStyle w:val="0"/>
        <w:spacing w:before="200" w:line-rule="auto"/>
        <w:ind w:firstLine="540"/>
        <w:jc w:val="both"/>
      </w:pPr>
      <w:r>
        <w:rPr>
          <w:sz w:val="20"/>
        </w:rPr>
        <w:t xml:space="preserve">б) на подготовку обоснования инвестиций, осуществляемых в инвестиционные проекты по созданию объектов капитального строительства, в отношении которых планируется заключение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pPr>
        <w:pStyle w:val="0"/>
        <w:spacing w:before="200" w:line-rule="auto"/>
        <w:ind w:firstLine="540"/>
        <w:jc w:val="both"/>
      </w:pPr>
      <w:r>
        <w:rPr>
          <w:sz w:val="20"/>
        </w:rPr>
        <w:t xml:space="preserve">в) на проведение технологического и ценового аудита обоснования инвестиций, осуществляемых в инвестиционные проекты по созданию объектов капитального строительства, в отношении которых планируется заключение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w:t>
      </w:r>
    </w:p>
    <w:p>
      <w:pPr>
        <w:pStyle w:val="0"/>
        <w:spacing w:before="200" w:line-rule="auto"/>
        <w:ind w:firstLine="540"/>
        <w:jc w:val="both"/>
      </w:pPr>
      <w:r>
        <w:rPr>
          <w:sz w:val="20"/>
        </w:rPr>
        <w:t xml:space="preserve">г) на работы по инженерным изысканиям для архитектурно-строительного проектирования (основные и специальные виды инженерных изысканий, дополнительные и специальные работы (услуги), включая затраты на подготовку предложений и рекомендаций по организации и проведению мониторингов, предусмотренных требованиями технических регламентов, а также проводимых по решению заказчика при согласовании с главным распорядителем средств соответствующего бюджета (за исключением случаев, когда заказчиком является главный распорядитель бюджетных средств));</w:t>
      </w:r>
    </w:p>
    <w:p>
      <w:pPr>
        <w:pStyle w:val="0"/>
        <w:jc w:val="both"/>
      </w:pPr>
      <w:r>
        <w:rPr>
          <w:sz w:val="20"/>
        </w:rPr>
        <w:t xml:space="preserve">(пп. "г" в ред. </w:t>
      </w:r>
      <w:hyperlink w:history="0" r:id="rId15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д) на работы по подготовке проектной и рабочей документации, в том числе на строительство временных зданий и сооружений;</w:t>
      </w:r>
    </w:p>
    <w:p>
      <w:pPr>
        <w:pStyle w:val="0"/>
        <w:jc w:val="both"/>
      </w:pPr>
      <w:r>
        <w:rPr>
          <w:sz w:val="20"/>
        </w:rPr>
        <w:t xml:space="preserve">(в ред. </w:t>
      </w:r>
      <w:hyperlink w:history="0" r:id="rId15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е) на научное и научно-техническое сопровождение инженерных изысканий и работ по подготовке проектной и рабочей документации;</w:t>
      </w:r>
    </w:p>
    <w:p>
      <w:pPr>
        <w:pStyle w:val="0"/>
        <w:spacing w:before="200" w:line-rule="auto"/>
        <w:ind w:firstLine="540"/>
        <w:jc w:val="both"/>
      </w:pPr>
      <w:r>
        <w:rPr>
          <w:sz w:val="20"/>
        </w:rPr>
        <w:t xml:space="preserve">ж) на проведение государственной экологической экспертизы проектной документации объектов, строительство, реконструкцию которых предполагается осуществлять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в границах Байкальской природной территории, проектной документации объектов, используемых для размещения и (или) обезвреживания отходов I - V классов опасности, искусственных земельных участков на водных объектах, проектной документации объектов, относящихся в соответствии с законодательством в области охраны окружающей среды к объектам I категории;</w:t>
      </w:r>
    </w:p>
    <w:p>
      <w:pPr>
        <w:pStyle w:val="0"/>
        <w:spacing w:before="200" w:line-rule="auto"/>
        <w:ind w:firstLine="540"/>
        <w:jc w:val="both"/>
      </w:pPr>
      <w:r>
        <w:rPr>
          <w:sz w:val="20"/>
        </w:rPr>
        <w:t xml:space="preserve">з) на проведение авторского надзора;</w:t>
      </w:r>
    </w:p>
    <w:p>
      <w:pPr>
        <w:pStyle w:val="0"/>
        <w:spacing w:before="200" w:line-rule="auto"/>
        <w:ind w:firstLine="540"/>
        <w:jc w:val="both"/>
      </w:pPr>
      <w:r>
        <w:rPr>
          <w:sz w:val="20"/>
        </w:rPr>
        <w:t xml:space="preserve">и) на проведение экспертизы промышленной безопасности, обязательное проведение которой предусмотрено законодательством Российской Федерации (за исключением затрат по оценке соответствия оборудования 1, 2, 3 класса безопасности в процессе его изготовления, учитываемых в стоимости оборудования);</w:t>
      </w:r>
    </w:p>
    <w:p>
      <w:pPr>
        <w:pStyle w:val="0"/>
        <w:spacing w:before="200" w:line-rule="auto"/>
        <w:ind w:firstLine="540"/>
        <w:jc w:val="both"/>
      </w:pPr>
      <w:r>
        <w:rPr>
          <w:sz w:val="20"/>
        </w:rPr>
        <w:t xml:space="preserve">к) на полевые испытания грунтов сваями, проводимые при инженерных изысканиях для строительства, полевые контрольные испытания свай при строительстве, испытания, производимых для уточнения несущей способности свай;</w:t>
      </w:r>
    </w:p>
    <w:p>
      <w:pPr>
        <w:pStyle w:val="0"/>
        <w:spacing w:before="200" w:line-rule="auto"/>
        <w:ind w:firstLine="540"/>
        <w:jc w:val="both"/>
      </w:pPr>
      <w:r>
        <w:rPr>
          <w:sz w:val="20"/>
        </w:rPr>
        <w:t xml:space="preserve">л) на проведение экспертизы проектной документации и результатов инженерных изысканий, в том числе экспертное сопровождение при проведении экспертизы по результатам экспертного сопровождения, а также на проведение государственной историко-культурной экспертизы проектной документации на проведение работ по сохранению объектов культурного наследия;</w:t>
      </w:r>
    </w:p>
    <w:p>
      <w:pPr>
        <w:pStyle w:val="0"/>
        <w:jc w:val="both"/>
      </w:pPr>
      <w:r>
        <w:rPr>
          <w:sz w:val="20"/>
        </w:rPr>
        <w:t xml:space="preserve">(в ред. </w:t>
      </w:r>
      <w:hyperlink w:history="0" r:id="rId15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bookmarkStart w:id="666" w:name="P666"/>
    <w:bookmarkEnd w:id="666"/>
    <w:p>
      <w:pPr>
        <w:pStyle w:val="0"/>
        <w:spacing w:before="200" w:line-rule="auto"/>
        <w:ind w:firstLine="540"/>
        <w:jc w:val="both"/>
      </w:pPr>
      <w:r>
        <w:rPr>
          <w:sz w:val="20"/>
        </w:rPr>
        <w:t xml:space="preserve">м) на аудит проектной документации.</w:t>
      </w:r>
    </w:p>
    <w:p>
      <w:pPr>
        <w:pStyle w:val="0"/>
        <w:spacing w:before="200" w:line-rule="auto"/>
        <w:ind w:firstLine="540"/>
        <w:jc w:val="both"/>
      </w:pPr>
      <w:r>
        <w:rPr>
          <w:sz w:val="20"/>
        </w:rPr>
        <w:t xml:space="preserve">Затраты, указанные в </w:t>
      </w:r>
      <w:hyperlink w:history="0" w:anchor="P652" w:tooltip="а) на проведение публичного технологического и ценового аудита;">
        <w:r>
          <w:rPr>
            <w:sz w:val="20"/>
            <w:color w:val="0000ff"/>
          </w:rPr>
          <w:t xml:space="preserve">подпунктах "а"</w:t>
        </w:r>
      </w:hyperlink>
      <w:r>
        <w:rPr>
          <w:sz w:val="20"/>
        </w:rPr>
        <w:t xml:space="preserve"> - </w:t>
      </w:r>
      <w:hyperlink w:history="0" w:anchor="P666" w:tooltip="м) на аудит проектной документации.">
        <w:r>
          <w:rPr>
            <w:sz w:val="20"/>
            <w:color w:val="0000ff"/>
          </w:rPr>
          <w:t xml:space="preserve">"м"</w:t>
        </w:r>
      </w:hyperlink>
      <w:r>
        <w:rPr>
          <w:sz w:val="20"/>
        </w:rPr>
        <w:t xml:space="preserve"> настоящего пункта Методики, включаются в </w:t>
      </w: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r>
        <w:rPr>
          <w:sz w:val="20"/>
        </w:rPr>
        <w:t xml:space="preserve"> сводного сметного расчета.</w:t>
      </w:r>
    </w:p>
    <w:p>
      <w:pPr>
        <w:pStyle w:val="0"/>
        <w:jc w:val="both"/>
      </w:pPr>
      <w:r>
        <w:rPr>
          <w:sz w:val="20"/>
        </w:rPr>
        <w:t xml:space="preserve">(в ред. </w:t>
      </w:r>
      <w:hyperlink w:history="0" r:id="rId15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172. Затраты на проведение инженерных изысканий, подготовку проектной и рабочей документации определяются расчетами на основании сметных нормативов, сведения о которых включены в ФРСН.</w:t>
      </w:r>
    </w:p>
    <w:p>
      <w:pPr>
        <w:pStyle w:val="0"/>
        <w:spacing w:before="200" w:line-rule="auto"/>
        <w:ind w:firstLine="540"/>
        <w:jc w:val="both"/>
      </w:pPr>
      <w:r>
        <w:rPr>
          <w:sz w:val="20"/>
        </w:rPr>
        <w:t xml:space="preserve">173. Включение затрат на осуществление авторского надзора допускается по объектам, обязательное проведение авторского надзора по которым предусмотрено законодательством Российской Федерации, а также по решению заказчика при согласовании с главным распорядителем средств соответствующего бюджета (за исключением случаев, когда заказчиком является главный распорядитель бюджетных средств). Лимит затрат на проведение авторского надзора определяется в размере 0,2 процентов от итога </w:t>
      </w:r>
      <w:hyperlink w:history="0" w:anchor="P8749" w:tooltip="8">
        <w:r>
          <w:rPr>
            <w:sz w:val="20"/>
            <w:color w:val="0000ff"/>
          </w:rPr>
          <w:t xml:space="preserve">графы 8</w:t>
        </w:r>
      </w:hyperlink>
      <w:r>
        <w:rPr>
          <w:sz w:val="20"/>
        </w:rPr>
        <w:t xml:space="preserve"> глав 1 - 9 сводного сметного расчета и включается в </w:t>
      </w: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r>
        <w:rPr>
          <w:sz w:val="20"/>
        </w:rPr>
        <w:t xml:space="preserve">.</w:t>
      </w:r>
    </w:p>
    <w:p>
      <w:pPr>
        <w:pStyle w:val="0"/>
        <w:spacing w:before="200" w:line-rule="auto"/>
        <w:ind w:firstLine="540"/>
        <w:jc w:val="both"/>
      </w:pPr>
      <w:r>
        <w:rPr>
          <w:sz w:val="20"/>
        </w:rPr>
        <w:t xml:space="preserve">174. Лимит затрат на проведение авторского надзора не учитывает стоимость проезда лиц, осуществляющих авторский надзор, на объект строительства и обратно.</w:t>
      </w:r>
    </w:p>
    <w:p>
      <w:pPr>
        <w:pStyle w:val="0"/>
        <w:spacing w:before="200" w:line-rule="auto"/>
        <w:ind w:firstLine="540"/>
        <w:jc w:val="both"/>
      </w:pPr>
      <w:r>
        <w:rPr>
          <w:sz w:val="20"/>
        </w:rPr>
        <w:t xml:space="preserve">Данные затраты определяются дополнительно в порядке, определенном нормативными правовыми актами Российской Федерации, и включаются в главу 12 сводного сметного расчета (</w:t>
      </w: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r>
        <w:rPr>
          <w:sz w:val="20"/>
        </w:rPr>
        <w:t xml:space="preserve">).</w:t>
      </w:r>
    </w:p>
    <w:p>
      <w:pPr>
        <w:pStyle w:val="0"/>
        <w:spacing w:before="200" w:line-rule="auto"/>
        <w:ind w:firstLine="540"/>
        <w:jc w:val="both"/>
      </w:pPr>
      <w:r>
        <w:rPr>
          <w:sz w:val="20"/>
        </w:rPr>
        <w:t xml:space="preserve">175. Затраты на проведение полевых испытаний грунтов сваями, полевых контрольных испытаний свай, испытаний, производимых для уточнения несущей способности свай, определяются в соответствии с положениями сметных нормативов, сведения о которых включены в ФРСН, на основании проектной и (или) иной технической документации. Указанные затраты включаются в </w:t>
      </w:r>
      <w:hyperlink w:history="0" w:anchor="P8745" w:tooltip="4">
        <w:r>
          <w:rPr>
            <w:sz w:val="20"/>
            <w:color w:val="0000ff"/>
          </w:rPr>
          <w:t xml:space="preserve">графы 4</w:t>
        </w:r>
      </w:hyperlink>
      <w:r>
        <w:rPr>
          <w:sz w:val="20"/>
        </w:rPr>
        <w:t xml:space="preserve">, </w:t>
      </w:r>
      <w:hyperlink w:history="0" w:anchor="P8748" w:tooltip="7">
        <w:r>
          <w:rPr>
            <w:sz w:val="20"/>
            <w:color w:val="0000ff"/>
          </w:rPr>
          <w:t xml:space="preserve">7</w:t>
        </w:r>
      </w:hyperlink>
      <w:r>
        <w:rPr>
          <w:sz w:val="20"/>
        </w:rPr>
        <w:t xml:space="preserve"> и </w:t>
      </w:r>
      <w:hyperlink w:history="0" w:anchor="P8749" w:tooltip="8">
        <w:r>
          <w:rPr>
            <w:sz w:val="20"/>
            <w:color w:val="0000ff"/>
          </w:rPr>
          <w:t xml:space="preserve">8</w:t>
        </w:r>
      </w:hyperlink>
      <w:r>
        <w:rPr>
          <w:sz w:val="20"/>
        </w:rPr>
        <w:t xml:space="preserve"> сводного сметного расчета, определяются на основании локальных сметных расчетов (смет), разработанных в порядке, установленном Методикой. Состав затрат в зависимости от видов нагрузок определяется на основании сметных нормативов, необходимых для определения стоимости работ по инженерным изысканиям, сведения о которых включены в ФРСН, а также документами по стандартизации Российской Федерации.</w:t>
      </w:r>
    </w:p>
    <w:p>
      <w:pPr>
        <w:pStyle w:val="0"/>
        <w:spacing w:before="200" w:line-rule="auto"/>
        <w:ind w:firstLine="540"/>
        <w:jc w:val="both"/>
      </w:pPr>
      <w:r>
        <w:rPr>
          <w:sz w:val="20"/>
        </w:rPr>
        <w:t xml:space="preserve">176. Определение затрат на проведение государственной экспертизы проектной документации и результатов инженерных изысканий осуществляется в соответствии с </w:t>
      </w:r>
      <w:hyperlink w:history="0" r:id="rId160" w:tooltip="Постановление Правительства РФ от 05.03.2007 N 145 (ред. от 28.07.2022) &quot;О порядке организации и проведения государственной экспертизы проектной документации и результатов инженерных изысканий&quot; (с изм. и доп., вступ. в силу с 01.09.2022) {КонсультантПлюс}">
        <w:r>
          <w:rPr>
            <w:sz w:val="20"/>
            <w:color w:val="0000ff"/>
          </w:rPr>
          <w:t xml:space="preserve">постановлением</w:t>
        </w:r>
      </w:hyperlink>
      <w:r>
        <w:rPr>
          <w:sz w:val="20"/>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2020, N 13, ст. 190), на проведение публичного технологического и ценового аудита - в соответствии с </w:t>
      </w:r>
      <w:hyperlink w:history="0" r:id="rId161" w:tooltip="Постановление Правительства РФ от 30.04.2013 N 382 (ред. от 31.12.2019, с изм. от 02.04.2020) &quot;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quot; (вместе с &quot;Положением о проведении публичного технологического и ценового аудита крупных инвестиционных проектов с государственным участием&quot;) {КонсультантПлюс}">
        <w:r>
          <w:rPr>
            <w:sz w:val="20"/>
            <w:color w:val="0000ff"/>
          </w:rPr>
          <w:t xml:space="preserve">постановлением</w:t>
        </w:r>
      </w:hyperlink>
      <w:r>
        <w:rPr>
          <w:sz w:val="20"/>
        </w:rPr>
        <w:t xml:space="preserve">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(Собрание законодательства Российской Федерации, 2013, N 20, ст. 2478; 2020, N 15, ст. 2278), аудита проектной документации - в соответствии с </w:t>
      </w:r>
      <w:hyperlink w:history="0" r:id="rId162" w:tooltip="Постановление Правительства РФ от 12.11.2016 N 1159 (ред. от 01.03.2022) &quot;О критериях экономической эффективности проектной документации&quot; {КонсультантПлюс}">
        <w:r>
          <w:rPr>
            <w:sz w:val="20"/>
            <w:color w:val="0000ff"/>
          </w:rPr>
          <w:t xml:space="preserve">постановлением</w:t>
        </w:r>
      </w:hyperlink>
      <w:r>
        <w:rPr>
          <w:sz w:val="20"/>
        </w:rPr>
        <w:t xml:space="preserve"> Правительства Российской Федерации от 12 ноября 2016 г. N 1159 "О критериях экономической эффективности проектной документации" (Собрание законодательства Российской Федерации, 2016, N 48, ст. 6764; 2020, N 2, ст. 190), на подготовку обоснования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технологический и ценовой аудит такого обоснования инвестиций - в соответствии с </w:t>
      </w:r>
      <w:hyperlink w:history="0" r:id="rId163" w:tooltip="Постановление Правительства РФ от 12.05.2017 N 563 (ред. от 01.03.2022) &quot;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quot; (вместе с &quot;Правилами заключения контрактов, предметом которых является одновременно выполнение работ по проектированию, строительству и вводу в эксплуатацию объекто {КонсультантПлюс}">
        <w:r>
          <w:rPr>
            <w:sz w:val="20"/>
            <w:color w:val="0000ff"/>
          </w:rPr>
          <w:t xml:space="preserve">постановлением</w:t>
        </w:r>
      </w:hyperlink>
      <w:r>
        <w:rPr>
          <w:sz w:val="20"/>
        </w:rPr>
        <w:t xml:space="preserve"> Правительства Российской Федерации от 12 мая 2017 г. N 563 "О порядке и об основаниях заключения контрактов, предметом которых является одновременно выполнение работ 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 (Собрание законодательства Российской Федерации, 2017, N 21, ст. 3015; 2020, N 2, ст. 190), на проведение государственной историко-культурной экспертизы - в соответствии с </w:t>
      </w:r>
      <w:hyperlink w:history="0" r:id="rId164" w:tooltip="Постановление Правительства РФ от 15.07.2009 N 569 (ред. от 11.09.2021) &quot;Об утверждении Положения о государственной историко-культурной экспертизе&quot; {КонсультантПлюс}">
        <w:r>
          <w:rPr>
            <w:sz w:val="20"/>
            <w:color w:val="0000ff"/>
          </w:rPr>
          <w:t xml:space="preserve">Положением</w:t>
        </w:r>
      </w:hyperlink>
      <w:r>
        <w:rPr>
          <w:sz w:val="20"/>
        </w:rPr>
        <w:t xml:space="preserve"> о государственной историко-культурной экспертизе, утвержденным постановлением Правительства Российской Федерации от 15 июля 2009 г. N 569 (Собрание законодательства Российской Федерации, 2009, N 30, ст. 3812; 2021, N 39, ст. 6710).</w:t>
      </w:r>
    </w:p>
    <w:p>
      <w:pPr>
        <w:pStyle w:val="0"/>
        <w:jc w:val="both"/>
      </w:pPr>
      <w:r>
        <w:rPr>
          <w:sz w:val="20"/>
        </w:rPr>
        <w:t xml:space="preserve">(в ред. </w:t>
      </w:r>
      <w:hyperlink w:history="0" r:id="rId16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176.1. Затраты по проведению государственной историко-культурной экспертизы проектной документации на проведение работ по сохранению объектов культурного наследия не учитываются в сводном сметном расчете в случае, если оплата указанных услуг производится за счет и в пределах бюджетных ассигнований, предусматриваемых федеральному органу исполнительной власти в федеральном бюджете на обеспечение его деятельности.</w:t>
      </w:r>
    </w:p>
    <w:p>
      <w:pPr>
        <w:pStyle w:val="0"/>
        <w:jc w:val="both"/>
      </w:pPr>
      <w:r>
        <w:rPr>
          <w:sz w:val="20"/>
        </w:rPr>
        <w:t xml:space="preserve">(п. 176.1 введен </w:t>
      </w:r>
      <w:hyperlink w:history="0" r:id="rId16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bookmarkStart w:id="678" w:name="P678"/>
    <w:bookmarkEnd w:id="678"/>
    <w:p>
      <w:pPr>
        <w:pStyle w:val="0"/>
        <w:spacing w:before="200" w:line-rule="auto"/>
        <w:ind w:firstLine="540"/>
        <w:jc w:val="both"/>
      </w:pPr>
      <w:r>
        <w:rPr>
          <w:sz w:val="20"/>
        </w:rPr>
        <w:t xml:space="preserve">177. В случае отсутствия в сметных нормативах, сведения о которых включены в ФРСН, показателей и нормативов цены проектных работ, стоимость работ по подготовке проектной документации определяется в соответствии с положениями методики определения стоимости работ по подготовке проектной документации,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соответствии с </w:t>
      </w:r>
      <w:hyperlink w:history="0" r:id="rId167"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частью 3 статьи 8.3</w:t>
        </w:r>
      </w:hyperlink>
      <w:r>
        <w:rPr>
          <w:sz w:val="20"/>
        </w:rPr>
        <w:t xml:space="preserve"> Градостроительного кодекса Российской Федерации.</w:t>
      </w:r>
    </w:p>
    <w:p>
      <w:pPr>
        <w:pStyle w:val="0"/>
        <w:spacing w:before="200" w:line-rule="auto"/>
        <w:ind w:firstLine="540"/>
        <w:jc w:val="both"/>
      </w:pPr>
      <w:r>
        <w:rPr>
          <w:sz w:val="20"/>
        </w:rPr>
        <w:t xml:space="preserve">В случае отсутствия в сметных нормативах, сведения о которых включены в ФРСН, цен на работы по основным и специальным видам инженерных изысканий и нормативов цены инженерных изысканий, стоимость работ по инженерным изысканиям определяется в соответствии с положениями методик определения стоимости работ по инженерным изысканиям, утверждаемых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строительства, архитектуры, градостроительства в соответствии с </w:t>
      </w:r>
      <w:hyperlink w:history="0" r:id="rId168"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частью 3 статьи 8.3</w:t>
        </w:r>
      </w:hyperlink>
      <w:r>
        <w:rPr>
          <w:sz w:val="20"/>
        </w:rPr>
        <w:t xml:space="preserve"> Градостроительного кодекса Российской Федерации.</w:t>
      </w:r>
    </w:p>
    <w:p>
      <w:pPr>
        <w:pStyle w:val="0"/>
        <w:spacing w:before="200" w:line-rule="auto"/>
        <w:ind w:firstLine="540"/>
        <w:jc w:val="both"/>
      </w:pPr>
      <w:r>
        <w:rPr>
          <w:sz w:val="20"/>
        </w:rPr>
        <w:t xml:space="preserve">178. Приведенная в Методике номенклатура работ и затрат, включаемых в главы 1, 9 и 12 сводного сметного расчета, не является исчерпывающей и может быть дополнена затратами, учитывающими специфические особенности строительства и относимыми на капитальные вложения в случаях, предусмотренных законодательством Российской Федерации, а также при соответствующем обосновании проектной и (или) иной технической документацией или техническим заданием на разработку такой документации.</w:t>
      </w:r>
    </w:p>
    <w:p>
      <w:pPr>
        <w:pStyle w:val="0"/>
        <w:spacing w:before="200" w:line-rule="auto"/>
        <w:ind w:firstLine="540"/>
        <w:jc w:val="both"/>
      </w:pPr>
      <w:r>
        <w:rPr>
          <w:sz w:val="20"/>
        </w:rPr>
        <w:t xml:space="preserve">179. Резерв средств на непредвиденные работы и затраты предназначен для возмещения стоимости работ и затрат, потребность в которых возникает в процессе разработки рабочей документации и (или) в ходе строительства в результате уточнения проектных решений и (или) условий строительства, предусмотренных проектной документацией.</w:t>
      </w:r>
    </w:p>
    <w:p>
      <w:pPr>
        <w:pStyle w:val="0"/>
        <w:spacing w:before="200" w:line-rule="auto"/>
        <w:ind w:firstLine="540"/>
        <w:jc w:val="both"/>
      </w:pPr>
      <w:r>
        <w:rPr>
          <w:sz w:val="20"/>
        </w:rPr>
        <w:t xml:space="preserve">Резерв средств на непредвиденные работы и затраты определяется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 в размерах, не превышающих:</w:t>
      </w:r>
    </w:p>
    <w:p>
      <w:pPr>
        <w:pStyle w:val="0"/>
        <w:spacing w:before="200" w:line-rule="auto"/>
        <w:ind w:firstLine="540"/>
        <w:jc w:val="both"/>
      </w:pPr>
      <w:r>
        <w:rPr>
          <w:sz w:val="20"/>
        </w:rPr>
        <w:t xml:space="preserve">а) 2 (двух) процентов - для объектов капитального строительства непроизводственного назначения;</w:t>
      </w:r>
    </w:p>
    <w:p>
      <w:pPr>
        <w:pStyle w:val="0"/>
        <w:spacing w:before="200" w:line-rule="auto"/>
        <w:ind w:firstLine="540"/>
        <w:jc w:val="both"/>
      </w:pPr>
      <w:r>
        <w:rPr>
          <w:sz w:val="20"/>
        </w:rPr>
        <w:t xml:space="preserve">б) 3 (трех) процентов - для объектов капитального строительства производственного назначения, линейных объектов;</w:t>
      </w:r>
    </w:p>
    <w:p>
      <w:pPr>
        <w:pStyle w:val="0"/>
        <w:spacing w:before="200" w:line-rule="auto"/>
        <w:ind w:firstLine="540"/>
        <w:jc w:val="both"/>
      </w:pPr>
      <w:r>
        <w:rPr>
          <w:sz w:val="20"/>
        </w:rPr>
        <w:t xml:space="preserve">в) 10 (десяти) процентов - для уникальных, особо опасных и технически сложных объектов капитального строительства, предусмотренных </w:t>
      </w:r>
      <w:hyperlink w:history="0" r:id="rId169" w:tooltip="&quot;Градостроительный кодекс Российской Федерации&quot; от 29.12.2004 N 190-ФЗ (ред. от 14.07.2022) (с изм. и доп., вступ. в силу с 01.09.2022) {КонсультантПлюс}">
        <w:r>
          <w:rPr>
            <w:sz w:val="20"/>
            <w:color w:val="0000ff"/>
          </w:rPr>
          <w:t xml:space="preserve">статьей 48.1</w:t>
        </w:r>
      </w:hyperlink>
      <w:r>
        <w:rPr>
          <w:sz w:val="20"/>
        </w:rPr>
        <w:t xml:space="preserve"> Градостроительного кодекса Российской Федерации.</w:t>
      </w:r>
    </w:p>
    <w:p>
      <w:pPr>
        <w:pStyle w:val="0"/>
        <w:spacing w:before="200" w:line-rule="auto"/>
        <w:ind w:firstLine="540"/>
        <w:jc w:val="both"/>
      </w:pPr>
      <w:r>
        <w:rPr>
          <w:sz w:val="20"/>
        </w:rPr>
        <w:t xml:space="preserve">Резерв средств на непредвиденные работы и затраты определяется от итогов по главам 1 - 12 сводного сметного расчета и учитывается в сводном сметном расчете отдельной строкой с распределением по </w:t>
      </w:r>
      <w:hyperlink w:history="0" w:anchor="P8745" w:tooltip="4">
        <w:r>
          <w:rPr>
            <w:sz w:val="20"/>
            <w:color w:val="0000ff"/>
          </w:rPr>
          <w:t xml:space="preserve">графам 4</w:t>
        </w:r>
      </w:hyperlink>
      <w:r>
        <w:rPr>
          <w:sz w:val="20"/>
        </w:rPr>
        <w:t xml:space="preserve"> - </w:t>
      </w:r>
      <w:hyperlink w:history="0" w:anchor="P8749" w:tooltip="8">
        <w:r>
          <w:rPr>
            <w:sz w:val="20"/>
            <w:color w:val="0000ff"/>
          </w:rPr>
          <w:t xml:space="preserve">8</w:t>
        </w:r>
      </w:hyperlink>
      <w:r>
        <w:rPr>
          <w:sz w:val="20"/>
        </w:rPr>
        <w:t xml:space="preserve">.</w:t>
      </w:r>
    </w:p>
    <w:p>
      <w:pPr>
        <w:pStyle w:val="0"/>
        <w:jc w:val="both"/>
      </w:pPr>
      <w:r>
        <w:rPr>
          <w:sz w:val="20"/>
        </w:rPr>
        <w:t xml:space="preserve">(в ред. </w:t>
      </w:r>
      <w:hyperlink w:history="0" r:id="rId17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180. За итогом сводного сметного расчета приводится сумма НДС, принимаемого в размере, установленном законодательством Российской Федерации.</w:t>
      </w:r>
    </w:p>
    <w:p>
      <w:pPr>
        <w:pStyle w:val="0"/>
        <w:jc w:val="both"/>
      </w:pPr>
      <w:r>
        <w:rPr>
          <w:sz w:val="20"/>
        </w:rPr>
        <w:t xml:space="preserve">(в ред. </w:t>
      </w:r>
      <w:hyperlink w:history="0" r:id="rId17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181. Расчет суммы НДС выполняется от итогов глав 1 - 12 сводного сметного расчета с учетом резерва средств на непредвиденные работы и затраты, за исключением стоимости работ и услуг, не подлежащих налогообложению в соответствии со </w:t>
      </w:r>
      <w:hyperlink w:history="0" r:id="rId172" w:tooltip="&quot;Налоговый кодекс Российской Федерации (часть вторая)&quot; от 05.08.2000 N 117-ФЗ (ред. от 14.07.2022) (с изм. и доп., вступ. в силу с 01.09.2022) ------------ Недействующая редакция {КонсультантПлюс}">
        <w:r>
          <w:rPr>
            <w:sz w:val="20"/>
            <w:color w:val="0000ff"/>
          </w:rPr>
          <w:t xml:space="preserve">статьей 149</w:t>
        </w:r>
      </w:hyperlink>
      <w:r>
        <w:rPr>
          <w:sz w:val="20"/>
        </w:rPr>
        <w:t xml:space="preserve"> Налогового кодекса Российской Федерации (Собрание законодательства Российской Федерации, 2000, N 32, ст. 3340; 2020, N 31, ст. 5024).</w:t>
      </w:r>
    </w:p>
    <w:p>
      <w:pPr>
        <w:pStyle w:val="0"/>
        <w:jc w:val="both"/>
      </w:pPr>
      <w:r>
        <w:rPr>
          <w:sz w:val="20"/>
        </w:rPr>
        <w:t xml:space="preserve">(в ред. </w:t>
      </w:r>
      <w:hyperlink w:history="0" r:id="rId17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Полученная сумма НДС показывается отдельной строкой с распределением по </w:t>
      </w:r>
      <w:hyperlink w:history="0" w:anchor="P8745" w:tooltip="4">
        <w:r>
          <w:rPr>
            <w:sz w:val="20"/>
            <w:color w:val="0000ff"/>
          </w:rPr>
          <w:t xml:space="preserve">графам 4</w:t>
        </w:r>
      </w:hyperlink>
      <w:r>
        <w:rPr>
          <w:sz w:val="20"/>
        </w:rPr>
        <w:t xml:space="preserve"> - </w:t>
      </w:r>
      <w:hyperlink w:history="0" w:anchor="P8749" w:tooltip="8">
        <w:r>
          <w:rPr>
            <w:sz w:val="20"/>
            <w:color w:val="0000ff"/>
          </w:rPr>
          <w:t xml:space="preserve">8</w:t>
        </w:r>
      </w:hyperlink>
      <w:r>
        <w:rPr>
          <w:sz w:val="20"/>
        </w:rPr>
        <w:t xml:space="preserve">.</w:t>
      </w:r>
    </w:p>
    <w:p>
      <w:pPr>
        <w:pStyle w:val="0"/>
        <w:jc w:val="both"/>
      </w:pPr>
      <w:r>
        <w:rPr>
          <w:sz w:val="20"/>
        </w:rPr>
        <w:t xml:space="preserve">(в ред. </w:t>
      </w:r>
      <w:hyperlink w:history="0" r:id="rId17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При определении сметной стоимости работ (услуг) по сохранению объектов культурного наследия (памятников истории и культуры) народов Российской Федерации, указанных в </w:t>
      </w:r>
      <w:hyperlink w:history="0" r:id="rId175" w:tooltip="&quot;Налоговый кодекс Российской Федерации (часть вторая)&quot; от 05.08.2000 N 117-ФЗ (ред. от 14.07.2022) (с изм. и доп., вступ. в силу с 01.09.2022) ------------ Недействующая редакция {КонсультантПлюс}">
        <w:r>
          <w:rPr>
            <w:sz w:val="20"/>
            <w:color w:val="0000ff"/>
          </w:rPr>
          <w:t xml:space="preserve">подпункте 15 пункта 2 статьи 149</w:t>
        </w:r>
      </w:hyperlink>
      <w:r>
        <w:rPr>
          <w:sz w:val="20"/>
        </w:rPr>
        <w:t xml:space="preserve"> Налогового кодекса Российской Федерации (Собрание законодательства Российской Федерации, 2000, N 32, ст. 3340; 2021, N 24, ст. 4217), работы (услуги), не подлежащие налогообложению, включающие в себя консервационные, противоаварийные, ремонтные, реставрационные работы, работы по приспособлению объекта культурного наследия, выявленного объекта культурного наследия для современного использования, спасательные археологические полевые работы, в том числе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выявленного объекта культурного наследия, технический и авторский надзор за проведением этих работ на объектах культурного наследия, выявленных объектах культурного наследия, в расчет НДС не включаются за исключением сметной стоимости материальных ресурсов, оборудования и эксплуатации машин и механизмов (без учета оплаты труда машинистов).</w:t>
      </w:r>
    </w:p>
    <w:p>
      <w:pPr>
        <w:pStyle w:val="0"/>
        <w:jc w:val="both"/>
      </w:pPr>
      <w:r>
        <w:rPr>
          <w:sz w:val="20"/>
        </w:rPr>
        <w:t xml:space="preserve">(абзац введен </w:t>
      </w:r>
      <w:hyperlink w:history="0" r:id="rId17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jc w:val="both"/>
      </w:pPr>
      <w:r>
        <w:rPr>
          <w:sz w:val="20"/>
        </w:rPr>
      </w:r>
    </w:p>
    <w:p>
      <w:pPr>
        <w:pStyle w:val="2"/>
        <w:outlineLvl w:val="1"/>
        <w:jc w:val="center"/>
      </w:pPr>
      <w:r>
        <w:rPr>
          <w:sz w:val="20"/>
        </w:rPr>
        <w:t xml:space="preserve">X. Особенности определения затрат на выполнение</w:t>
      </w:r>
    </w:p>
    <w:p>
      <w:pPr>
        <w:pStyle w:val="2"/>
        <w:jc w:val="center"/>
      </w:pPr>
      <w:r>
        <w:rPr>
          <w:sz w:val="20"/>
        </w:rPr>
        <w:t xml:space="preserve">работ, связанных с созданием произведений</w:t>
      </w:r>
    </w:p>
    <w:p>
      <w:pPr>
        <w:pStyle w:val="2"/>
        <w:jc w:val="center"/>
      </w:pPr>
      <w:r>
        <w:rPr>
          <w:sz w:val="20"/>
        </w:rPr>
        <w:t xml:space="preserve">изобразительного искусства</w:t>
      </w:r>
    </w:p>
    <w:p>
      <w:pPr>
        <w:pStyle w:val="0"/>
        <w:jc w:val="both"/>
      </w:pPr>
      <w:r>
        <w:rPr>
          <w:sz w:val="20"/>
        </w:rPr>
      </w:r>
    </w:p>
    <w:bookmarkStart w:id="701" w:name="P701"/>
    <w:bookmarkEnd w:id="701"/>
    <w:p>
      <w:pPr>
        <w:pStyle w:val="0"/>
        <w:ind w:firstLine="540"/>
        <w:jc w:val="both"/>
      </w:pPr>
      <w:r>
        <w:rPr>
          <w:sz w:val="20"/>
        </w:rPr>
        <w:t xml:space="preserve">182. Затраты на выполнение работ, связанных с созданием произведений изобразительного искусства, по назначению и характеру согласованных с архитектурной средой (пространством), предназначенных для конкретного объекта социально-культурного назначения (например, театра, музея, выставочного центра, картинной галереи, филармонии) и (или) объектов культурного наследия и образующих с ним нерасторжимое единство (далее - произведения изобразительного искусства монументального характера) и с созданием произведений изобразительного искусства самостоятельного характера и идейно-художественного значения (далее - произведения изобразительного искусства станкового характера), определяются на основании отдельно разрабатываемых локальных сметных расчетов (смет).</w:t>
      </w:r>
    </w:p>
    <w:p>
      <w:pPr>
        <w:pStyle w:val="0"/>
        <w:spacing w:before="200" w:line-rule="auto"/>
        <w:ind w:firstLine="540"/>
        <w:jc w:val="both"/>
      </w:pPr>
      <w:r>
        <w:rPr>
          <w:sz w:val="20"/>
        </w:rPr>
        <w:t xml:space="preserve">183. Сметная стоимость указанных в </w:t>
      </w:r>
      <w:hyperlink w:history="0" w:anchor="P701" w:tooltip="182. Затраты на выполнение работ, связанных с созданием произведений изобразительного искусства, по назначению и характеру согласованных с архитектурной средой (пространством), предназначенных для конкретного объекта социально-культурного назначения (например, театра, музея, выставочного центра, картинной галереи, филармонии) и (или) объектов культурного наследия и образующих с ним нерасторжимое единство (далее - произведения изобразительного искусства монументального характера) и с созданием произведени...">
        <w:r>
          <w:rPr>
            <w:sz w:val="20"/>
            <w:color w:val="0000ff"/>
          </w:rPr>
          <w:t xml:space="preserve">пункте 182</w:t>
        </w:r>
      </w:hyperlink>
      <w:r>
        <w:rPr>
          <w:sz w:val="20"/>
        </w:rPr>
        <w:t xml:space="preserve"> Методики затрат определяется на основании конъюнктурного анализа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bookmarkStart w:id="703" w:name="P703"/>
    <w:bookmarkEnd w:id="703"/>
    <w:p>
      <w:pPr>
        <w:pStyle w:val="0"/>
        <w:spacing w:before="200" w:line-rule="auto"/>
        <w:ind w:firstLine="540"/>
        <w:jc w:val="both"/>
      </w:pPr>
      <w:r>
        <w:rPr>
          <w:sz w:val="20"/>
        </w:rPr>
        <w:t xml:space="preserve">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w:t>
      </w:r>
      <w:hyperlink w:history="0" w:anchor="P8748" w:tooltip="7">
        <w:r>
          <w:rPr>
            <w:sz w:val="20"/>
            <w:color w:val="0000ff"/>
          </w:rPr>
          <w:t xml:space="preserve">графа 7</w:t>
        </w:r>
      </w:hyperlink>
      <w:r>
        <w:rPr>
          <w:sz w:val="20"/>
        </w:rPr>
        <w:t xml:space="preserve"> сводного сметного расчета).</w:t>
      </w:r>
    </w:p>
    <w:p>
      <w:pPr>
        <w:pStyle w:val="0"/>
        <w:spacing w:before="200" w:line-rule="auto"/>
        <w:ind w:firstLine="540"/>
        <w:jc w:val="both"/>
      </w:pPr>
      <w:r>
        <w:rPr>
          <w:sz w:val="20"/>
        </w:rPr>
        <w:t xml:space="preserve">185. Стоимость произведений изобразительного искусства станкового характера учитывается в сметной стоимости соответствующего объекта капитального строительства и включается в </w:t>
      </w:r>
      <w:hyperlink w:history="0" w:anchor="P8747" w:tooltip="6">
        <w:r>
          <w:rPr>
            <w:sz w:val="20"/>
            <w:color w:val="0000ff"/>
          </w:rPr>
          <w:t xml:space="preserve">графу 6</w:t>
        </w:r>
      </w:hyperlink>
      <w:r>
        <w:rPr>
          <w:sz w:val="20"/>
        </w:rPr>
        <w:t xml:space="preserve"> сводного сметного расчета.</w:t>
      </w:r>
    </w:p>
    <w:p>
      <w:pPr>
        <w:pStyle w:val="0"/>
        <w:jc w:val="both"/>
      </w:pPr>
      <w:r>
        <w:rPr>
          <w:sz w:val="20"/>
        </w:rPr>
      </w:r>
    </w:p>
    <w:p>
      <w:pPr>
        <w:pStyle w:val="2"/>
        <w:outlineLvl w:val="1"/>
        <w:jc w:val="center"/>
      </w:pPr>
      <w:r>
        <w:rPr>
          <w:sz w:val="20"/>
        </w:rPr>
        <w:t xml:space="preserve">XI. Особенности определения сметной стоимости при внесении</w:t>
      </w:r>
    </w:p>
    <w:p>
      <w:pPr>
        <w:pStyle w:val="2"/>
        <w:jc w:val="center"/>
      </w:pPr>
      <w:r>
        <w:rPr>
          <w:sz w:val="20"/>
        </w:rPr>
        <w:t xml:space="preserve">изменений в сметную документацию</w:t>
      </w:r>
    </w:p>
    <w:p>
      <w:pPr>
        <w:pStyle w:val="0"/>
        <w:jc w:val="both"/>
      </w:pPr>
      <w:r>
        <w:rPr>
          <w:sz w:val="20"/>
        </w:rPr>
      </w:r>
    </w:p>
    <w:p>
      <w:pPr>
        <w:pStyle w:val="0"/>
        <w:ind w:firstLine="540"/>
        <w:jc w:val="both"/>
      </w:pPr>
      <w:r>
        <w:rPr>
          <w:sz w:val="20"/>
        </w:rPr>
        <w:t xml:space="preserve">186. При внесении по решению заказчика изменений в сметную документацию, связанных с изменением физических объемов работ, архитектурных, функционально-технологических, конструктивных, инженерно-технических решений и других решений, предусмотренных проектной и (или) иной технической документацией, определение сметной стоимости строительства объектов капитального строительства выполняется с учетом положений Методики.</w:t>
      </w:r>
    </w:p>
    <w:p>
      <w:pPr>
        <w:pStyle w:val="0"/>
        <w:spacing w:before="200" w:line-rule="auto"/>
        <w:ind w:firstLine="540"/>
        <w:jc w:val="both"/>
      </w:pPr>
      <w:r>
        <w:rPr>
          <w:sz w:val="20"/>
        </w:rPr>
        <w:t xml:space="preserve">После перехода на ресурсно-индексный метод определения сметной стоимости строительства в соответствии с </w:t>
      </w:r>
      <w:hyperlink w:history="0" r:id="rId177"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Постановлением</w:t>
        </w:r>
      </w:hyperlink>
      <w:r>
        <w:rPr>
          <w:sz w:val="20"/>
        </w:rPr>
        <w:t xml:space="preserve"> N 1452 при внесении изменений в сметную документацию, составленную базисно-индексным методом, использование калькулирования в соответствии с </w:t>
      </w:r>
      <w:hyperlink w:history="0" w:anchor="P74" w:tooltip="б) базисно-индексным методом - с применением к сметной стоимости, определенной с использованием единичных расценок, в том числе их отдельных составляющих, сведения о которых включены в ФРСН, разработанных в базисном уровне цен, соответствующих индексов изменения сметной стоимости.">
        <w:r>
          <w:rPr>
            <w:sz w:val="20"/>
            <w:color w:val="0000ff"/>
          </w:rPr>
          <w:t xml:space="preserve">подпунктом "б" пункта 10</w:t>
        </w:r>
      </w:hyperlink>
      <w:r>
        <w:rPr>
          <w:sz w:val="20"/>
        </w:rPr>
        <w:t xml:space="preserve"> Методики допускается только в части корректировки объемов ранее учтенных видов работ, добавление новых видов работ с использованием такого калькулирования не допускается.</w:t>
      </w:r>
    </w:p>
    <w:p>
      <w:pPr>
        <w:pStyle w:val="0"/>
        <w:jc w:val="both"/>
      </w:pPr>
      <w:r>
        <w:rPr>
          <w:sz w:val="20"/>
        </w:rPr>
        <w:t xml:space="preserve">(абзац введен </w:t>
      </w:r>
      <w:hyperlink w:history="0" r:id="rId17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bookmarkStart w:id="712" w:name="P712"/>
    <w:bookmarkEnd w:id="712"/>
    <w:p>
      <w:pPr>
        <w:pStyle w:val="0"/>
        <w:spacing w:before="200" w:line-rule="auto"/>
        <w:ind w:firstLine="540"/>
        <w:jc w:val="both"/>
      </w:pPr>
      <w:r>
        <w:rPr>
          <w:sz w:val="20"/>
        </w:rPr>
        <w:t xml:space="preserve">187. Стоимость материальных ресурсов и оборудования, учтенных в сметной документации по данным конъюнктурного анализа, количество которых изменено, может быть определена по результатам конъюнктурного анализа текущих цен таких ресурсов, выполненного на дату пересчета сметной стоимости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или с применением к стоимости соответствующих ресурсов, указанной в сметной документации, получившей положительное заключение государственной экспертизы:</w:t>
      </w:r>
    </w:p>
    <w:p>
      <w:pPr>
        <w:pStyle w:val="0"/>
        <w:spacing w:before="200" w:line-rule="auto"/>
        <w:ind w:firstLine="540"/>
        <w:jc w:val="both"/>
      </w:pPr>
      <w:r>
        <w:rPr>
          <w:sz w:val="20"/>
        </w:rPr>
        <w:t xml:space="preserve">для оборудования, включенного в сборники ФССЦ, стоимость которого указана в базисном уровне цен - индексов изменения сметной стоимости оборудования по отраслям экономики, справочная информация о которых включена в ФРСН для соответствующего периода;</w:t>
      </w:r>
    </w:p>
    <w:p>
      <w:pPr>
        <w:pStyle w:val="0"/>
        <w:spacing w:before="200" w:line-rule="auto"/>
        <w:ind w:firstLine="540"/>
        <w:jc w:val="both"/>
      </w:pPr>
      <w:r>
        <w:rPr>
          <w:sz w:val="20"/>
        </w:rPr>
        <w:t xml:space="preserve">для оборудования, стоимость которого указана по результатам конъюнктурного анализа текущих цен - индексов цен на продукцию (затраты, услуги) инвестиционного назначения в целом по Российской Федерации по Общероссийскому классификатору видов экономической деятельности (ОКВЭД2) </w:t>
      </w:r>
      <w:hyperlink w:history="0" r:id="rId179" w:tooltip="&quot;ОК 029-2014 (КДЕС Ред. 2). Общероссийский классификатор видов экономической деятельности&quot; (утв. Приказом Росстандарта от 31.01.2014 N 14-ст) (ред. от 21.06.2022) {КонсультантПлюс}">
        <w:r>
          <w:rPr>
            <w:sz w:val="20"/>
            <w:color w:val="0000ff"/>
          </w:rPr>
          <w:t xml:space="preserve">"Строительство"</w:t>
        </w:r>
      </w:hyperlink>
      <w:r>
        <w:rPr>
          <w:sz w:val="20"/>
        </w:rPr>
        <w:t xml:space="preserve">, публикуемого Федеральной службой государственной статистики для соответствующего периода и субъекта Российской Федерации;</w:t>
      </w:r>
    </w:p>
    <w:p>
      <w:pPr>
        <w:pStyle w:val="0"/>
        <w:spacing w:before="200" w:line-rule="auto"/>
        <w:ind w:firstLine="540"/>
        <w:jc w:val="both"/>
      </w:pPr>
      <w:r>
        <w:rPr>
          <w:sz w:val="20"/>
        </w:rPr>
        <w:t xml:space="preserve">для материалов, изделий и конструкций, стоимость которых указана по результатам конъюнктурного анализа текущих цен - индексов цен производителей по отрасли "Строительство", содержащихся в составе сценарных условий и основных параметров прогноза социально-экономического развития Российской Федерации, опубликованного Министерством экономического развития Российской Федерации, и используемых для расчета индексов изменения сметной стоимости строительства.</w:t>
      </w:r>
    </w:p>
    <w:p>
      <w:pPr>
        <w:pStyle w:val="0"/>
        <w:spacing w:before="200" w:line-rule="auto"/>
        <w:ind w:firstLine="540"/>
        <w:jc w:val="both"/>
      </w:pPr>
      <w:r>
        <w:rPr>
          <w:sz w:val="20"/>
        </w:rPr>
        <w:t xml:space="preserve">В случае, если оборудование (часть оборудования) приобретено (осуществлена закупка оборудования) или заключены договоры (контракты) купли-продажи (поставки) оборудования, то стоимость такого оборудования учитывается в сметной документации по цене его приобретения.</w:t>
      </w:r>
    </w:p>
    <w:p>
      <w:pPr>
        <w:pStyle w:val="0"/>
        <w:jc w:val="both"/>
      </w:pPr>
      <w:r>
        <w:rPr>
          <w:sz w:val="20"/>
        </w:rPr>
        <w:t xml:space="preserve">(в ред. </w:t>
      </w:r>
      <w:hyperlink w:history="0" r:id="rId18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В случае внесения изменений в сметную документацию, разработанную на основании сметных нормативов, федеральных единичных расценок, в том числе их отдельных составляющих, сведения о которых внесены в ФРСН, и сметных цен строительных ресурсов, действующих на дату пересчета сметной стоимости, по решению застройщика без изменений физических объемов работ, конструктивных, организационных-технологических и других решений, предусмотренных проектной документацией (актом, утвержденным застройщиком или техническим заказчиком и содержащим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заданием на проектирование в зависимости от содержания работ) после получения положительного заключения государственной экспертизы, но до даты заключения государственного (муниципального) контракта (договора), предметом которого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(памятников истории и культуры) народов Российской Федерации, в связи с применением индексов изменения сметной стоимости строительства, действующих на дату пересчета сметной стоимости, определение сметной стоимости строительства объектов капитального строительства в текущем уровне цен выполняется:</w:t>
      </w:r>
    </w:p>
    <w:p>
      <w:pPr>
        <w:pStyle w:val="0"/>
        <w:jc w:val="both"/>
      </w:pPr>
      <w:r>
        <w:rPr>
          <w:sz w:val="20"/>
        </w:rPr>
        <w:t xml:space="preserve">(в ред. </w:t>
      </w:r>
      <w:hyperlink w:history="0" r:id="rId18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для строительно-монтажных работ, прочих работ и затрат, оборудования, включенных в сметную документацию, получившую положительное заключение государственной экспертизы, и сметная стоимость которых в базисном уровне цен определена на основании федеральных единичных расценок, в том числе их отдельных составляющих, к сметным нормам и (или) сметным ценам строительных ресурсов - с применением соответствующих индексов изменения сметной стоимости к их сметной стоимости в базисном уровне цен;</w:t>
      </w:r>
    </w:p>
    <w:p>
      <w:pPr>
        <w:pStyle w:val="0"/>
        <w:spacing w:before="200" w:line-rule="auto"/>
        <w:ind w:firstLine="540"/>
        <w:jc w:val="both"/>
      </w:pPr>
      <w:r>
        <w:rPr>
          <w:sz w:val="20"/>
        </w:rPr>
        <w:t xml:space="preserve">для материальных ресурсов и оборудования, учтенных в сметной документации по данным конъюнктурного анализа - с применением к текущей стоимости соответствующих ресурсов, указанной в сметной документации, получившей положительное заключение государственной экспертизы, индексов цен на продукцию (затраты, услуги) инвестиционного назначения по видам экономической деятельности (строительство) по Российской Федерации, публикуемых Федеральной службой государственной статистики для соответствующего периода. Стоимость таких материальных ресурсов и оборудования также может быть определена по результатам конъюнктурного анализа текущих цен таких ресурсов, выполненного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в случае, если такое решение принято заказчиком. Стоимость таких материальных ресурсов и оборудования в базисном уровне цен определяется обратным счетом путем деления их текущей стоимости на индекс изменения сметной стоимости строительно-монтажных работ для соответствующего вида строительства и (или) оборудования, действующий на дату пересчета сметной стоимости;</w:t>
      </w:r>
    </w:p>
    <w:p>
      <w:pPr>
        <w:pStyle w:val="0"/>
        <w:jc w:val="both"/>
      </w:pPr>
      <w:r>
        <w:rPr>
          <w:sz w:val="20"/>
        </w:rPr>
        <w:t xml:space="preserve">(в ред. </w:t>
      </w:r>
      <w:hyperlink w:history="0" r:id="rId18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стоимость работ и затрат, включенных в состав сводного сметного расчета на основании исполненных договоров, не пересчитывается;</w:t>
      </w:r>
    </w:p>
    <w:p>
      <w:pPr>
        <w:pStyle w:val="0"/>
        <w:spacing w:before="200" w:line-rule="auto"/>
        <w:ind w:firstLine="540"/>
        <w:jc w:val="both"/>
      </w:pPr>
      <w:r>
        <w:rPr>
          <w:sz w:val="20"/>
        </w:rPr>
        <w:t xml:space="preserve">В случае, если оборудование относится к нестандартизированному или стоимость которого определяется с использованием ценовой информации в валюте иностранного государства, то текущая стоимость такого оборудования может быть определена по результатам конъюнктурного анализа, выполненного на дату пересчета сметной стоимости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p>
      <w:pPr>
        <w:pStyle w:val="0"/>
        <w:spacing w:before="200" w:line-rule="auto"/>
        <w:ind w:firstLine="540"/>
        <w:jc w:val="both"/>
      </w:pPr>
      <w:r>
        <w:rPr>
          <w:sz w:val="20"/>
        </w:rPr>
        <w:t xml:space="preserve">В случае внесения по решению застройщика изменений в сметную документацию, разработанную на основании ранее действовавших сметных нормативов, федеральных единичных расценок, в том числе их отдельных составляющих, сведения о которых внесены в ФРСН, и сметных цен строительных ресурсов, без изменений физических объемов работ, конструктивных, организационных-технологических и других решений, предусмотренных проектной документацией (актом, утвержденным застройщиком или техническим заказчиком и содержащим перечень дефектов оснований, строительных конструкций, систем инженерно-технического обеспечения и сетей инженерно-технического обеспечения с указанием качественных и количественных характеристик таких дефектов, и заданием на проектирование в зависимости от содержания работ) после получения положительного заключения государственной экспертизы, но до даты заключения государственного (муниципального) контракта (договора), предметом которого является выполнение работ по строительству, реконструкции, капитальному ремонту, сносу объектов капитального строительства, сохранению объектов культурного наследия (памятников истории и культуры) народов Российской Федерации, пересчет сметной стоимости строительства объектов капитального строительства выполняется с учетом сметных нормативов, федеральных единичных расценок, в том числе их отдельных составляющих, сведения о которых внесены в ФРСН, и сметных цен строительных ресурсов.</w:t>
      </w:r>
    </w:p>
    <w:p>
      <w:pPr>
        <w:pStyle w:val="0"/>
        <w:jc w:val="both"/>
      </w:pPr>
      <w:r>
        <w:rPr>
          <w:sz w:val="20"/>
        </w:rPr>
        <w:t xml:space="preserve">(абзац введен </w:t>
      </w:r>
      <w:hyperlink w:history="0" r:id="rId183"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188. При внесении изменений в сметную документацию разрабатывается сводный сметный расчет, определяющий общую сметную стоимость строительства с учетом произведенных изменений проектной и (или) иной технической документации на полный объем работ с учетом объемов корректировки (исключаемых и дополнительных). По решению заказчика дополнительно может быть разработан отдельный сводный сметный расчет, определяющий сметную стоимость изменений. Локальные сметные расчеты (сметы) разрабатываются отдельно на исключаемые и дополнительные объемы работ.</w:t>
      </w:r>
    </w:p>
    <w:p>
      <w:pPr>
        <w:pStyle w:val="0"/>
        <w:spacing w:before="200" w:line-rule="auto"/>
        <w:ind w:firstLine="540"/>
        <w:jc w:val="both"/>
      </w:pPr>
      <w:r>
        <w:rPr>
          <w:sz w:val="20"/>
        </w:rPr>
        <w:t xml:space="preserve">189. К сметной документации дополнительно прилагаются сопоставительные ведомости объемов работ, подготовленные в соответствии с </w:t>
      </w:r>
      <w:hyperlink w:history="0" w:anchor="P10392" w:tooltip="                 Сопоставительная ведомость объемов работ">
        <w:r>
          <w:rPr>
            <w:sz w:val="20"/>
            <w:color w:val="0000ff"/>
          </w:rPr>
          <w:t xml:space="preserve">Приложением N 12</w:t>
        </w:r>
      </w:hyperlink>
      <w:r>
        <w:rPr>
          <w:sz w:val="20"/>
        </w:rPr>
        <w:t xml:space="preserve"> к Методике. По требованию заказчика к сметной документации прилагаются сопоставительные ведомости изменения сметной стоимости, подготовленные в соответствии с </w:t>
      </w:r>
      <w:hyperlink w:history="0" w:anchor="P10505" w:tooltip="          Сопоставительная ведомость изменения сметной стоимости">
        <w:r>
          <w:rPr>
            <w:sz w:val="20"/>
            <w:color w:val="0000ff"/>
          </w:rPr>
          <w:t xml:space="preserve">Приложением N 13</w:t>
        </w:r>
      </w:hyperlink>
      <w:r>
        <w:rPr>
          <w:sz w:val="20"/>
        </w:rPr>
        <w:t xml:space="preserve"> к Методике, при этом детализация изменений определяется заказчиком и приводится в разрезе глав сводного сметного расчета стоимости строительства или объектных сметных расчетов (смет) или локальных сметных расчетов (смет).</w:t>
      </w:r>
    </w:p>
    <w:p>
      <w:pPr>
        <w:pStyle w:val="0"/>
        <w:jc w:val="both"/>
      </w:pPr>
      <w:r>
        <w:rPr>
          <w:sz w:val="20"/>
        </w:rPr>
        <w:t xml:space="preserve">(п. 189 в ред. </w:t>
      </w:r>
      <w:hyperlink w:history="0" r:id="rId18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rPr>
        <w:t xml:space="preserve"> Минстроя России от 07.07.2022 N 557/пр)</w:t>
      </w:r>
    </w:p>
    <w:p>
      <w:pPr>
        <w:pStyle w:val="0"/>
        <w:spacing w:before="200" w:line-rule="auto"/>
        <w:ind w:firstLine="540"/>
        <w:jc w:val="both"/>
      </w:pPr>
      <w:r>
        <w:rPr>
          <w:sz w:val="20"/>
        </w:rPr>
        <w:t xml:space="preserve">190. В случае принятия застройщиком или техническим заказчиком решения о консервации объекта капитального строительства затраты на проведение работ по консервацию такого объекта определяются с использованием сметных нормативов, сведения о которых включены в ФРСН, на основании технической документации, разрабатываемой в соответствии с </w:t>
      </w:r>
      <w:hyperlink w:history="0" r:id="rId185" w:tooltip="Постановление Правительства РФ от 30.09.2011 N 802 (ред. от 14.04.2022) &quot;Об утверждении Правил проведения консервации объекта капитального строительства&quot; {КонсультантПлюс}">
        <w:r>
          <w:rPr>
            <w:sz w:val="20"/>
            <w:color w:val="0000ff"/>
          </w:rPr>
          <w:t xml:space="preserve">Правилами</w:t>
        </w:r>
      </w:hyperlink>
      <w:r>
        <w:rPr>
          <w:sz w:val="20"/>
        </w:rPr>
        <w:t xml:space="preserve"> проведения консервации объекта капитального строительства, утвержденными постановлением Правительства Российской Федерации от 30 сентября 2011 г. N 802 (Собрание законодательства Российской Федерации, 2011, N 41, ст. 5739; 2022, N 16, ст. 2695) (далее - Правила проведения консервации ОКС) и включаются в сводный сметный расчет.</w:t>
      </w:r>
    </w:p>
    <w:p>
      <w:pPr>
        <w:pStyle w:val="0"/>
        <w:jc w:val="both"/>
      </w:pPr>
      <w:r>
        <w:rPr>
          <w:sz w:val="20"/>
        </w:rPr>
        <w:t xml:space="preserve">(п. 190 введен </w:t>
      </w:r>
      <w:hyperlink w:history="0" r:id="rId18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191. В случае принятия застройщиком или техническим заказчиком решения о возобновлении строительства (реконструкции) законсервированного объекта проводится техническое обследование объекта, по результатам которого определяются необходимый объем и стоимость работ по восстановлению утраченных или разрушенных за период консервации конструктивных элементов или деталей объекта, а также внесение (при необходимости) изменений в ранее подготовленную проектную документацию с последующим проведением государственной экспертизы и государственной экологической экспертизы этих изменений, если законодательством Российской Федерации предусмотрено проведение такой экспертизы, либо подготовку новой проектной документации.</w:t>
      </w:r>
    </w:p>
    <w:p>
      <w:pPr>
        <w:pStyle w:val="0"/>
        <w:spacing w:before="200" w:line-rule="auto"/>
        <w:ind w:firstLine="540"/>
        <w:jc w:val="both"/>
      </w:pPr>
      <w:r>
        <w:rPr>
          <w:sz w:val="20"/>
        </w:rPr>
        <w:t xml:space="preserve">Затраты на проведение технического обследования объекта и разработку (корректировку) проектной документации, а также на выполнение работ, связанных с приведением ранее законсервированного объекта в состояние, при котором возможно продолжение его строительства (реконструкции), определяются с использованием сметных нормативов, сведения о которых включены в ФРСН, и включаются в сводный сметный расчет.</w:t>
      </w:r>
    </w:p>
    <w:p>
      <w:pPr>
        <w:pStyle w:val="0"/>
        <w:jc w:val="both"/>
      </w:pPr>
      <w:r>
        <w:rPr>
          <w:sz w:val="20"/>
        </w:rPr>
        <w:t xml:space="preserve">(п. 191 введен </w:t>
      </w:r>
      <w:hyperlink w:history="0" r:id="rId18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spacing w:before="200" w:line-rule="auto"/>
        <w:ind w:firstLine="540"/>
        <w:jc w:val="both"/>
      </w:pPr>
      <w:r>
        <w:rPr>
          <w:sz w:val="20"/>
        </w:rPr>
        <w:t xml:space="preserve">192. Если строительство (реконструкция) объекта было приостановлено на срок более 6 месяцев, но решение о его консервации не было принято в порядке, установленном </w:t>
      </w:r>
      <w:hyperlink w:history="0" r:id="rId188" w:tooltip="Постановление Правительства РФ от 30.09.2011 N 802 (ред. от 14.04.2022) &quot;Об утверждении Правил проведения консервации объекта капитального строительства&quot; {КонсультантПлюс}">
        <w:r>
          <w:rPr>
            <w:sz w:val="20"/>
            <w:color w:val="0000ff"/>
          </w:rPr>
          <w:t xml:space="preserve">Правилами</w:t>
        </w:r>
      </w:hyperlink>
      <w:r>
        <w:rPr>
          <w:sz w:val="20"/>
        </w:rPr>
        <w:t xml:space="preserve"> проведения консервации ОКС, либо в случае перерыва в работах, связанного с передачей объекта другому техническому заказчику, то в случае возобновления строительства (реконструкции) такого объекта осуществляются мероприятия, установленные </w:t>
      </w:r>
      <w:hyperlink w:history="0" r:id="rId189" w:tooltip="Постановление Правительства РФ от 30.09.2011 N 802 (ред. от 14.04.2022) &quot;Об утверждении Правил проведения консервации объекта капитального строительства&quot; {КонсультантПлюс}">
        <w:r>
          <w:rPr>
            <w:sz w:val="20"/>
            <w:color w:val="0000ff"/>
          </w:rPr>
          <w:t xml:space="preserve">пунктами 12</w:t>
        </w:r>
      </w:hyperlink>
      <w:r>
        <w:rPr>
          <w:sz w:val="20"/>
        </w:rPr>
        <w:t xml:space="preserve">, </w:t>
      </w:r>
      <w:hyperlink w:history="0" r:id="rId190" w:tooltip="Постановление Правительства РФ от 30.09.2011 N 802 (ред. от 14.04.2022) &quot;Об утверждении Правил проведения консервации объекта капитального строительства&quot; {КонсультантПлюс}">
        <w:r>
          <w:rPr>
            <w:sz w:val="20"/>
            <w:color w:val="0000ff"/>
          </w:rPr>
          <w:t xml:space="preserve">13</w:t>
        </w:r>
      </w:hyperlink>
      <w:r>
        <w:rPr>
          <w:sz w:val="20"/>
        </w:rPr>
        <w:t xml:space="preserve"> Правил проведения консервации ОКС. Стоимость таких мероприятий, связанных с приведением объекта в состояние, при котором возможно продолжение строительства (реконструкции), включается в сметную стоимость строительства (реконструкции) объекта.</w:t>
      </w:r>
    </w:p>
    <w:p>
      <w:pPr>
        <w:pStyle w:val="0"/>
        <w:jc w:val="both"/>
      </w:pPr>
      <w:r>
        <w:rPr>
          <w:sz w:val="20"/>
        </w:rPr>
        <w:t xml:space="preserve">(п. 192 введен </w:t>
      </w:r>
      <w:hyperlink w:history="0" r:id="rId191"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jc w:val="both"/>
      </w:pPr>
      <w:r>
        <w:rPr>
          <w:sz w:val="20"/>
        </w:rPr>
      </w:r>
    </w:p>
    <w:bookmarkStart w:id="738" w:name="P738"/>
    <w:bookmarkEnd w:id="738"/>
    <w:p>
      <w:pPr>
        <w:pStyle w:val="2"/>
        <w:outlineLvl w:val="1"/>
        <w:jc w:val="center"/>
      </w:pPr>
      <w:r>
        <w:rPr>
          <w:sz w:val="20"/>
        </w:rPr>
        <w:t xml:space="preserve">XII. Особенности определения сметной стоимости работ</w:t>
      </w:r>
    </w:p>
    <w:p>
      <w:pPr>
        <w:pStyle w:val="2"/>
        <w:jc w:val="center"/>
      </w:pPr>
      <w:r>
        <w:rPr>
          <w:sz w:val="20"/>
        </w:rPr>
        <w:t xml:space="preserve">по сохранению объектов культурного наследия</w:t>
      </w:r>
    </w:p>
    <w:p>
      <w:pPr>
        <w:pStyle w:val="0"/>
        <w:jc w:val="center"/>
      </w:pPr>
      <w:r>
        <w:rPr>
          <w:sz w:val="20"/>
        </w:rPr>
        <w:t xml:space="preserve">(введен </w:t>
      </w:r>
      <w:hyperlink w:history="0" r:id="rId19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Приказом</w:t>
        </w:r>
      </w:hyperlink>
      <w:r>
        <w:rPr>
          <w:sz w:val="20"/>
        </w:rPr>
        <w:t xml:space="preserve"> Минстроя России от 07.07.2022 N 557/пр)</w:t>
      </w:r>
    </w:p>
    <w:p>
      <w:pPr>
        <w:pStyle w:val="0"/>
        <w:jc w:val="both"/>
      </w:pPr>
      <w:r>
        <w:rPr>
          <w:sz w:val="20"/>
        </w:rPr>
      </w:r>
    </w:p>
    <w:p>
      <w:pPr>
        <w:pStyle w:val="0"/>
        <w:ind w:firstLine="540"/>
        <w:jc w:val="both"/>
      </w:pPr>
      <w:r>
        <w:rPr>
          <w:sz w:val="20"/>
        </w:rPr>
        <w:t xml:space="preserve">193. Определение сметной стоимости работ по сохранению объектов культурного наследия на этапе архитектурно-строительного проектирования базисно-индексным методом осуществляется с применением </w:t>
      </w:r>
      <w:hyperlink w:history="0" r:id="rId193" w:tooltip="&quot;Сборник цен на научно-проектные работы по памятникам истории и культуры. СЦНПР-91&quot; (утв. Приказом Минкультуры СССР от 05.11.1990 N 321) {КонсультантПлюс}">
        <w:r>
          <w:rPr>
            <w:sz w:val="20"/>
            <w:color w:val="0000ff"/>
          </w:rPr>
          <w:t xml:space="preserve">Сборника</w:t>
        </w:r>
      </w:hyperlink>
      <w:r>
        <w:rPr>
          <w:sz w:val="20"/>
        </w:rPr>
        <w:t xml:space="preserve"> цен на научно-проектные работы по памятникам истории и культуры (далее - Сборник СЦНПР-91) и сборников сметных норм и единичных расценок на реставрационно-восстановительные работы по памятникам истории и культуры г. Москвы (ССН-84)" (далее - Сборники ССН-84), сведения о которых включены в ФРСН.</w:t>
      </w:r>
    </w:p>
    <w:p>
      <w:pPr>
        <w:pStyle w:val="0"/>
        <w:spacing w:before="200" w:line-rule="auto"/>
        <w:ind w:firstLine="540"/>
        <w:jc w:val="both"/>
      </w:pPr>
      <w:r>
        <w:rPr>
          <w:sz w:val="20"/>
        </w:rPr>
        <w:t xml:space="preserve">194. Пересчет в текущий уровень цен стоимости научно-проектных работ по памятникам истории и культуры, определенных с использованием </w:t>
      </w:r>
      <w:hyperlink w:history="0" r:id="rId194" w:tooltip="&quot;Сборник цен на научно-проектные работы по памятникам истории и культуры. СЦНПР-91&quot; (утв. Приказом Минкультуры СССР от 05.11.1990 N 321) {КонсультантПлюс}">
        <w:r>
          <w:rPr>
            <w:sz w:val="20"/>
            <w:color w:val="0000ff"/>
          </w:rPr>
          <w:t xml:space="preserve">Сборника</w:t>
        </w:r>
      </w:hyperlink>
      <w:r>
        <w:rPr>
          <w:sz w:val="20"/>
        </w:rPr>
        <w:t xml:space="preserve"> СЦНПР-91, выполняется с применением индексов изменения сметной стоимости изыскательских работ к уровню цен по состоянию на 1 января 1991 г., включаемых в ФРСН и размещаемых в ФГИС ЦС в соответствии с </w:t>
      </w:r>
      <w:hyperlink w:history="0" r:id="rId195"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пунктом 2</w:t>
        </w:r>
      </w:hyperlink>
      <w:r>
        <w:rPr>
          <w:sz w:val="20"/>
        </w:rPr>
        <w:t xml:space="preserve"> Постановления N 1452.</w:t>
      </w:r>
    </w:p>
    <w:p>
      <w:pPr>
        <w:pStyle w:val="0"/>
        <w:spacing w:before="200" w:line-rule="auto"/>
        <w:ind w:firstLine="540"/>
        <w:jc w:val="both"/>
      </w:pPr>
      <w:r>
        <w:rPr>
          <w:sz w:val="20"/>
        </w:rPr>
        <w:t xml:space="preserve">195. При определении сметной стоимости работ по сохранению объектов культурного наследия на этапе архитектурно-строительного проектирования базисно-индексным методом с применением Сборников ССН-84 в базисном уровне цен 1984 года для объектов, расположенных на всей территории Российской Федерации, выполняется расчет:</w:t>
      </w:r>
    </w:p>
    <w:bookmarkStart w:id="745" w:name="P745"/>
    <w:bookmarkEnd w:id="745"/>
    <w:p>
      <w:pPr>
        <w:pStyle w:val="0"/>
        <w:spacing w:before="200" w:line-rule="auto"/>
        <w:ind w:firstLine="540"/>
        <w:jc w:val="both"/>
      </w:pPr>
      <w:r>
        <w:rPr>
          <w:sz w:val="20"/>
        </w:rPr>
        <w:t xml:space="preserve">а) накладных расходов при определении сметной стоимости ремонтно-реставрационных работ в размере 21,9% от стоимости прямых затрат;</w:t>
      </w:r>
    </w:p>
    <w:p>
      <w:pPr>
        <w:pStyle w:val="0"/>
        <w:spacing w:before="200" w:line-rule="auto"/>
        <w:ind w:firstLine="540"/>
        <w:jc w:val="both"/>
      </w:pPr>
      <w:r>
        <w:rPr>
          <w:sz w:val="20"/>
        </w:rPr>
        <w:t xml:space="preserve">б) накладных расходов при определении сметной стоимости работ по архитектурно-художественной реставрации в размере 85% от оплаты труда, учитываемой в прямых затратах;</w:t>
      </w:r>
    </w:p>
    <w:bookmarkStart w:id="747" w:name="P747"/>
    <w:bookmarkEnd w:id="747"/>
    <w:p>
      <w:pPr>
        <w:pStyle w:val="0"/>
        <w:spacing w:before="200" w:line-rule="auto"/>
        <w:ind w:firstLine="540"/>
        <w:jc w:val="both"/>
      </w:pPr>
      <w:r>
        <w:rPr>
          <w:sz w:val="20"/>
        </w:rPr>
        <w:t xml:space="preserve">в) сметной прибыли в размере 8% от общей стоимости прямых затрат и накладных расходов;</w:t>
      </w:r>
    </w:p>
    <w:p>
      <w:pPr>
        <w:pStyle w:val="0"/>
        <w:spacing w:before="200" w:line-rule="auto"/>
        <w:ind w:firstLine="540"/>
        <w:jc w:val="both"/>
      </w:pPr>
      <w:r>
        <w:rPr>
          <w:sz w:val="20"/>
        </w:rPr>
        <w:t xml:space="preserve">г) расходов на эксплуатацию строительных машин и механизмов при определении сметной стоимости ремонтно-реставрационных работ в размере 10% от оплаты труда, учитываемой в прямых затратах (в случае, если нормами Сборника ССН-84 такие затраты не учтены), в отношении работ, выполняемых с использованием машин и механизмов, определенных в проектной документации.</w:t>
      </w:r>
    </w:p>
    <w:p>
      <w:pPr>
        <w:pStyle w:val="0"/>
        <w:spacing w:before="200" w:line-rule="auto"/>
        <w:ind w:firstLine="540"/>
        <w:jc w:val="both"/>
      </w:pPr>
      <w:r>
        <w:rPr>
          <w:sz w:val="20"/>
        </w:rPr>
        <w:t xml:space="preserve">196. Пересчет в уровень цен сметно-нормативной базы 2001 года стоимости ремонтно-реставрационных работ, определенных с использованием Сборников ССН-84, выполняется с применением к сметной стоимости в базисном уровне цен 1984 года коэффициентов изменения стоимости ремонтно-реставрационных работ от уровня цен 1984 года к уровню цен 2001 года, приведенных в </w:t>
      </w:r>
      <w:hyperlink w:history="0" w:anchor="P772" w:tooltip="Коэффициент изменения стоимости ремонтно-реставрационных">
        <w:r>
          <w:rPr>
            <w:sz w:val="20"/>
            <w:color w:val="0000ff"/>
          </w:rPr>
          <w:t xml:space="preserve">таблице N 1</w:t>
        </w:r>
      </w:hyperlink>
      <w:r>
        <w:rPr>
          <w:sz w:val="20"/>
        </w:rPr>
        <w:t xml:space="preserve"> к Методике, в соответствии с </w:t>
      </w:r>
      <w:hyperlink w:history="0" w:anchor="P766" w:tooltip="205. В случае, если пересчет сметной стоимости ремонтно-реставрационных работ, определенной с использованием Сборников ССН-84 в базисном уровне цен 1984 года, в текущий уровень цен выполняется с применением индекса к СМР, то в графе 11 рекомендуемого образца формы локального сметного расчета (сметы) для базисно-индексного метода при определении сметной стоимости работ по сохранению объектов культурного наследия (памятников истории и культуры) народов Российской Федерации на территории Российской Федераци...">
        <w:r>
          <w:rPr>
            <w:sz w:val="20"/>
            <w:color w:val="0000ff"/>
          </w:rPr>
          <w:t xml:space="preserve">пунктом 205</w:t>
        </w:r>
      </w:hyperlink>
      <w:r>
        <w:rPr>
          <w:sz w:val="20"/>
        </w:rPr>
        <w:t xml:space="preserve"> Методики или коэффициентов изменения стоимости ремонтно-реставрационных работ по элементам прямых затрат от уровня цен 1984 года к уровню цен 2001 года, приведенных в </w:t>
      </w:r>
      <w:hyperlink w:history="0" w:anchor="P784" w:tooltip="Коэффициенты изменения стоимости ремонтно-реставрационных">
        <w:r>
          <w:rPr>
            <w:sz w:val="20"/>
            <w:color w:val="0000ff"/>
          </w:rPr>
          <w:t xml:space="preserve">таблице N 2</w:t>
        </w:r>
      </w:hyperlink>
      <w:r>
        <w:rPr>
          <w:sz w:val="20"/>
        </w:rPr>
        <w:t xml:space="preserve"> к Методике, в соответствии с </w:t>
      </w:r>
      <w:hyperlink w:history="0" w:anchor="P767" w:tooltip="206. В случае, если пересчет сметной стоимости ремонтно-реставрационных работ, определенной с использованием Сборников ССН-84 в базисном уровне цен 1984 года, в текущий уровень цен выполняется с применением индексов к элементам прямых затрат, в графе 11 рекомендуемого образца формы локального сметного расчета (сметы) для базисно-индексного метода при определении сметной стоимости работ по сохранению объектов культурного наследия (памятников истории и культуры) народов Российской Федерации на территории Р...">
        <w:r>
          <w:rPr>
            <w:sz w:val="20"/>
            <w:color w:val="0000ff"/>
          </w:rPr>
          <w:t xml:space="preserve">пунктом 206</w:t>
        </w:r>
      </w:hyperlink>
      <w:r>
        <w:rPr>
          <w:sz w:val="20"/>
        </w:rPr>
        <w:t xml:space="preserve"> Методики.</w:t>
      </w:r>
    </w:p>
    <w:bookmarkStart w:id="750" w:name="P750"/>
    <w:bookmarkEnd w:id="750"/>
    <w:p>
      <w:pPr>
        <w:pStyle w:val="0"/>
        <w:spacing w:before="200" w:line-rule="auto"/>
        <w:ind w:firstLine="540"/>
        <w:jc w:val="both"/>
      </w:pPr>
      <w:r>
        <w:rPr>
          <w:sz w:val="20"/>
        </w:rPr>
        <w:t xml:space="preserve">197. Пересчет в текущий уровень цен стоимости ремонтно-реставрационных работ, определенной в уровне цен сметно-нормативной базы 2001 года, выполняется с применением индексов по видам объектов, сведения о которых включены в ФРСН, с учетом положений </w:t>
      </w:r>
      <w:hyperlink w:history="0" w:anchor="P757" w:tooltip="199. При отсутствии в Сборниках ССН-84 необходимых единичных расценок на ремонтно-реставрационные работы аналогичные технологическим процессам в новом строительстве стоимость таких работ определяется по соответствующим единичным расценкам, включенным в сборники ФЕР (или ТЕР).">
        <w:r>
          <w:rPr>
            <w:sz w:val="20"/>
            <w:color w:val="0000ff"/>
          </w:rPr>
          <w:t xml:space="preserve">пункта 199</w:t>
        </w:r>
      </w:hyperlink>
      <w:r>
        <w:rPr>
          <w:sz w:val="20"/>
        </w:rPr>
        <w:t xml:space="preserve"> Методики.</w:t>
      </w:r>
    </w:p>
    <w:p>
      <w:pPr>
        <w:pStyle w:val="0"/>
        <w:spacing w:before="200" w:line-rule="auto"/>
        <w:ind w:firstLine="540"/>
        <w:jc w:val="both"/>
      </w:pPr>
      <w:r>
        <w:rPr>
          <w:sz w:val="20"/>
        </w:rPr>
        <w:t xml:space="preserve">При этом, в случае, если сметная стоимость работ по сохранению объектов культурного наследия на этапе архитектурно-строительного проектирования определена с одновременным использованием ФЕР (или ТЕР) и Сборников ССН-84, пересчет в текущий уровень цен осуществляется с использованием индексов по видам объектов к ФЕР (или ТЕР соответственно).</w:t>
      </w:r>
    </w:p>
    <w:p>
      <w:pPr>
        <w:pStyle w:val="0"/>
        <w:spacing w:before="200" w:line-rule="auto"/>
        <w:ind w:firstLine="540"/>
        <w:jc w:val="both"/>
      </w:pPr>
      <w:r>
        <w:rPr>
          <w:sz w:val="20"/>
        </w:rPr>
        <w:t xml:space="preserve">В случае, если сметная стоимость работ по сохранению объектов культурного наследия на этапе архитектурно-строительного проектирования определена с использованием только Сборников ССН-84 (без использования ФЕР (или ТЕР), пересчет в текущий уровень цен осуществляется с использованием индексов по видам объектов к ФЕР, а при их отсутствии - к ТЕР.</w:t>
      </w:r>
    </w:p>
    <w:p>
      <w:pPr>
        <w:pStyle w:val="0"/>
        <w:spacing w:before="200" w:line-rule="auto"/>
        <w:ind w:firstLine="540"/>
        <w:jc w:val="both"/>
      </w:pPr>
      <w:r>
        <w:rPr>
          <w:sz w:val="20"/>
        </w:rPr>
        <w:t xml:space="preserve">Применение индексов по видам объектов выполняется в соответствии с положениями </w:t>
      </w:r>
      <w:hyperlink w:history="0" r:id="rId196"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Методики</w:t>
        </w:r>
      </w:hyperlink>
      <w:r>
        <w:rPr>
          <w:sz w:val="20"/>
        </w:rPr>
        <w:t xml:space="preserve"> N 326/пр.</w:t>
      </w:r>
    </w:p>
    <w:p>
      <w:pPr>
        <w:pStyle w:val="0"/>
        <w:spacing w:before="200" w:line-rule="auto"/>
        <w:ind w:firstLine="540"/>
        <w:jc w:val="both"/>
      </w:pPr>
      <w:r>
        <w:rPr>
          <w:sz w:val="20"/>
        </w:rPr>
        <w:t xml:space="preserve">198. В случае, когда пересчет в текущий уровень цен сметной стоимости работ по сохранению объектов культурного наследия выполняется с использованием индексов к элементам прямых затрат:</w:t>
      </w:r>
    </w:p>
    <w:p>
      <w:pPr>
        <w:pStyle w:val="0"/>
        <w:spacing w:before="200" w:line-rule="auto"/>
        <w:ind w:firstLine="540"/>
        <w:jc w:val="both"/>
      </w:pPr>
      <w:r>
        <w:rPr>
          <w:sz w:val="20"/>
        </w:rPr>
        <w:t xml:space="preserve">а) накладные расходы и сметная прибыль в текущем уровне цен определяются в порядке, предусмотренном </w:t>
      </w:r>
      <w:hyperlink w:history="0" w:anchor="P745" w:tooltip="а) накладных расходов при определении сметной стоимости ремонтно-реставрационных работ в размере 21,9% от стоимости прямых затрат;">
        <w:r>
          <w:rPr>
            <w:sz w:val="20"/>
            <w:color w:val="0000ff"/>
          </w:rPr>
          <w:t xml:space="preserve">подпунктами "а"</w:t>
        </w:r>
      </w:hyperlink>
      <w:r>
        <w:rPr>
          <w:sz w:val="20"/>
        </w:rPr>
        <w:t xml:space="preserve"> - </w:t>
      </w:r>
      <w:hyperlink w:history="0" w:anchor="P747" w:tooltip="в) сметной прибыли в размере 8% от общей стоимости прямых затрат и накладных расходов;">
        <w:r>
          <w:rPr>
            <w:sz w:val="20"/>
            <w:color w:val="0000ff"/>
          </w:rPr>
          <w:t xml:space="preserve">"в" пункта 195</w:t>
        </w:r>
      </w:hyperlink>
      <w:r>
        <w:rPr>
          <w:sz w:val="20"/>
        </w:rPr>
        <w:t xml:space="preserve"> Методики от стоимости соответствующих затрат (прямых затрат, оплаты труда, прямых затрат и накладных расходов) в текущем уровне цен;</w:t>
      </w:r>
    </w:p>
    <w:p>
      <w:pPr>
        <w:pStyle w:val="0"/>
        <w:spacing w:before="200" w:line-rule="auto"/>
        <w:ind w:firstLine="540"/>
        <w:jc w:val="both"/>
      </w:pPr>
      <w:r>
        <w:rPr>
          <w:sz w:val="20"/>
        </w:rPr>
        <w:t xml:space="preserve">б) расходы на эксплуатацию строительных машин и механизмов в текущем уровне цен определяются с применением индекса, рассчитываемого для применения к сметной стоимости эксплуатации машин и механизмов.</w:t>
      </w:r>
    </w:p>
    <w:bookmarkStart w:id="757" w:name="P757"/>
    <w:bookmarkEnd w:id="757"/>
    <w:p>
      <w:pPr>
        <w:pStyle w:val="0"/>
        <w:spacing w:before="200" w:line-rule="auto"/>
        <w:ind w:firstLine="540"/>
        <w:jc w:val="both"/>
      </w:pPr>
      <w:r>
        <w:rPr>
          <w:sz w:val="20"/>
        </w:rPr>
        <w:t xml:space="preserve">199. При отсутствии в Сборниках ССН-84 необходимых единичных расценок на ремонтно-реставрационные работы аналогичные технологическим процессам в новом строительстве стоимость таких работ определяется по соответствующим единичным расценкам, включенным в сборники ФЕР (или ТЕР).</w:t>
      </w:r>
    </w:p>
    <w:p>
      <w:pPr>
        <w:pStyle w:val="0"/>
        <w:spacing w:before="200" w:line-rule="auto"/>
        <w:ind w:firstLine="540"/>
        <w:jc w:val="both"/>
      </w:pPr>
      <w:r>
        <w:rPr>
          <w:sz w:val="20"/>
        </w:rPr>
        <w:t xml:space="preserve">При определении сметной стоимости работ по сохранению объектов культурного наследия на этапе архитектурно-строительного проектирования с применением ФЕР (или ТЕР) и Сборников ССН-84 локальные сметные расчеты (сметы) составляются отдельно на ремонтно-реставрационные работы сметная стоимость которых определена с использованием Сборников ССН-84 и работы, сметная стоимость которых определена с использованием ФЕР (или ТЕР).</w:t>
      </w:r>
    </w:p>
    <w:p>
      <w:pPr>
        <w:pStyle w:val="0"/>
        <w:spacing w:before="200" w:line-rule="auto"/>
        <w:ind w:firstLine="540"/>
        <w:jc w:val="both"/>
      </w:pPr>
      <w:r>
        <w:rPr>
          <w:sz w:val="20"/>
        </w:rPr>
        <w:t xml:space="preserve">200. Стоимость отдельных материальных ресурсов, отсутствующих в Сборниках ССН-84, сборнике ФССЦ (ТССЦ), сведения о котором включены в ФРСН, в текущем уровне цен определяется по наиболее экономичному варианту на основании сбора информации о текущих ценах (конъюнктурный анализ)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9" w:tooltip="24. Вместо кода группы допускается указывать код раздела (части, книги) с указанием нулей в недостающих группах цифр, например, 64.4.00.00. Для материальных ресурсов и оборудования, не подлежащих включению в КСР, вместо кода группы указывается следующая комбинация цифр: 101 - для технологического оборудования, 102 - для материальных ресурсов индивидуального изготовления, 103 - для инженерного оборудования индивидуального изготовления, 104 - для производственного и хозяйственного инвентаря, в том числе ме...">
        <w:r>
          <w:rPr>
            <w:sz w:val="20"/>
            <w:color w:val="0000ff"/>
          </w:rPr>
          <w:t xml:space="preserve">24</w:t>
        </w:r>
      </w:hyperlink>
      <w:r>
        <w:rPr>
          <w:sz w:val="20"/>
        </w:rPr>
        <w:t xml:space="preserve"> Методики.</w:t>
      </w:r>
    </w:p>
    <w:p>
      <w:pPr>
        <w:pStyle w:val="0"/>
        <w:spacing w:before="200" w:line-rule="auto"/>
        <w:ind w:firstLine="540"/>
        <w:jc w:val="both"/>
      </w:pPr>
      <w:r>
        <w:rPr>
          <w:sz w:val="20"/>
        </w:rPr>
        <w:t xml:space="preserve">201. При определении сметной стоимости работ по сохранению объектов культурного наследия на этапе архитектурно-строительного проектирования базисно-индексным методом с применением Сборников ССН-84 в базисном уровне цен 1984 года сметные расчеты рекомендуется оформлять в соответствии с рекомендуемыми образцами форм локального сметного расчета (сметы) для базисно-индексного метода при определении сметной стоимости работ по сохранению объектов культурного наследия (памятников истории и культуры) народов Российской Федерации на территории Российской Федерации (</w:t>
      </w:r>
      <w:hyperlink w:history="0" w:anchor="P3715" w:tooltip="Форма N 3 локального сметного расчета (сметы) для базисно-индексного метода с применением индекса к СМР">
        <w:r>
          <w:rPr>
            <w:sz w:val="20"/>
            <w:color w:val="0000ff"/>
          </w:rPr>
          <w:t xml:space="preserve">формы N 3</w:t>
        </w:r>
      </w:hyperlink>
      <w:r>
        <w:rPr>
          <w:sz w:val="20"/>
        </w:rPr>
        <w:t xml:space="preserve"> и </w:t>
      </w:r>
      <w:hyperlink w:history="0" w:anchor="P4268" w:tooltip="Форма N 4 локального сметного расчета (сметы)">
        <w:r>
          <w:rPr>
            <w:sz w:val="20"/>
            <w:color w:val="0000ff"/>
          </w:rPr>
          <w:t xml:space="preserve">N 4</w:t>
        </w:r>
      </w:hyperlink>
      <w:r>
        <w:rPr>
          <w:sz w:val="20"/>
        </w:rPr>
        <w:t xml:space="preserve">), приведенным в Приложении N 2 к Методике, с учетом положений </w:t>
      </w:r>
      <w:hyperlink w:history="0" w:anchor="P757" w:tooltip="199. При отсутствии в Сборниках ССН-84 необходимых единичных расценок на ремонтно-реставрационные работы аналогичные технологическим процессам в новом строительстве стоимость таких работ определяется по соответствующим единичным расценкам, включенным в сборники ФЕР (или ТЕР).">
        <w:r>
          <w:rPr>
            <w:sz w:val="20"/>
            <w:color w:val="0000ff"/>
          </w:rPr>
          <w:t xml:space="preserve">пунктов 199</w:t>
        </w:r>
      </w:hyperlink>
      <w:r>
        <w:rPr>
          <w:sz w:val="20"/>
        </w:rPr>
        <w:t xml:space="preserve"> - </w:t>
      </w:r>
      <w:hyperlink w:history="0" w:anchor="P764" w:tooltip="203. При определении сметной стоимости работ по архитектурно-художественной реставрации базисно-индексным методом рекомендуемые образцы форм локального сметного расчета (сметы) для базисно-индексного метода при определении сметной стоимости работ по сохранению объектов культурного наследия (памятников истории и культуры) народов Российской Федерации на территории Российской Федерации (формы N 3 и N 4), приведенные в Приложении N 2 к Методике, заполняются с учетом особенностей по определению величины накл...">
        <w:r>
          <w:rPr>
            <w:sz w:val="20"/>
            <w:color w:val="0000ff"/>
          </w:rPr>
          <w:t xml:space="preserve">203</w:t>
        </w:r>
      </w:hyperlink>
      <w:r>
        <w:rPr>
          <w:sz w:val="20"/>
        </w:rPr>
        <w:t xml:space="preserve"> Методики.</w:t>
      </w:r>
    </w:p>
    <w:p>
      <w:pPr>
        <w:pStyle w:val="0"/>
        <w:spacing w:before="200" w:line-rule="auto"/>
        <w:ind w:firstLine="540"/>
        <w:jc w:val="both"/>
      </w:pPr>
      <w:r>
        <w:rPr>
          <w:sz w:val="20"/>
        </w:rPr>
        <w:t xml:space="preserve">202. При определении сметной стоимости ремонтно-реставрационных работ базисно-индексным методом заполнение рекомендуемых образцов форм локального сметного расчета (сметы) для базисно-индексного метода при определении сметной стоимости работ по сохранению объектов культурного наследия (памятников истории и культуры) народов Российской Федерации на территории Российской Федерации (</w:t>
      </w:r>
      <w:hyperlink w:history="0" w:anchor="P3715" w:tooltip="Форма N 3 локального сметного расчета (сметы) для базисно-индексного метода с применением индекса к СМР">
        <w:r>
          <w:rPr>
            <w:sz w:val="20"/>
            <w:color w:val="0000ff"/>
          </w:rPr>
          <w:t xml:space="preserve">формы N 3</w:t>
        </w:r>
      </w:hyperlink>
      <w:r>
        <w:rPr>
          <w:sz w:val="20"/>
        </w:rPr>
        <w:t xml:space="preserve"> и </w:t>
      </w:r>
      <w:hyperlink w:history="0" w:anchor="P4268" w:tooltip="Форма N 4 локального сметного расчета (сметы)">
        <w:r>
          <w:rPr>
            <w:sz w:val="20"/>
            <w:color w:val="0000ff"/>
          </w:rPr>
          <w:t xml:space="preserve">N 4</w:t>
        </w:r>
      </w:hyperlink>
      <w:r>
        <w:rPr>
          <w:sz w:val="20"/>
        </w:rPr>
        <w:t xml:space="preserve">), приведенные в Приложении N 2 к Методике, рекомендуется осуществлять с учетом следующих особенностей:</w:t>
      </w:r>
    </w:p>
    <w:p>
      <w:pPr>
        <w:pStyle w:val="0"/>
        <w:spacing w:before="200" w:line-rule="auto"/>
        <w:ind w:firstLine="540"/>
        <w:jc w:val="both"/>
      </w:pPr>
      <w:r>
        <w:rPr>
          <w:sz w:val="20"/>
        </w:rPr>
        <w:t xml:space="preserve">а) в </w:t>
      </w:r>
      <w:hyperlink w:history="0" w:anchor="P3864" w:tooltip="ЭМ">
        <w:r>
          <w:rPr>
            <w:sz w:val="20"/>
            <w:color w:val="0000ff"/>
          </w:rPr>
          <w:t xml:space="preserve">строках "ЭМ"</w:t>
        </w:r>
      </w:hyperlink>
      <w:r>
        <w:rPr>
          <w:sz w:val="20"/>
        </w:rPr>
        <w:t xml:space="preserve"> соответствующих единичных расценок в </w:t>
      </w:r>
      <w:hyperlink w:history="0" w:anchor="P3808" w:tooltip="8">
        <w:r>
          <w:rPr>
            <w:sz w:val="20"/>
            <w:color w:val="0000ff"/>
          </w:rPr>
          <w:t xml:space="preserve">графе 8</w:t>
        </w:r>
      </w:hyperlink>
      <w:r>
        <w:rPr>
          <w:sz w:val="20"/>
        </w:rPr>
        <w:t xml:space="preserve"> указываются расходы на эксплуатацию строительных машин и механизмов в размере 10% от оплаты труда, указанной в </w:t>
      </w:r>
      <w:hyperlink w:history="0" w:anchor="P3808" w:tooltip="8">
        <w:r>
          <w:rPr>
            <w:sz w:val="20"/>
            <w:color w:val="0000ff"/>
          </w:rPr>
          <w:t xml:space="preserve">графе 8</w:t>
        </w:r>
      </w:hyperlink>
      <w:r>
        <w:rPr>
          <w:sz w:val="20"/>
        </w:rPr>
        <w:t xml:space="preserve"> по </w:t>
      </w:r>
      <w:hyperlink w:history="0" w:anchor="P3852" w:tooltip="ОТ">
        <w:r>
          <w:rPr>
            <w:sz w:val="20"/>
            <w:color w:val="0000ff"/>
          </w:rPr>
          <w:t xml:space="preserve">строкам "ОТ"</w:t>
        </w:r>
      </w:hyperlink>
      <w:r>
        <w:rPr>
          <w:sz w:val="20"/>
        </w:rPr>
        <w:t xml:space="preserve"> таких расценок, при этом строки </w:t>
      </w:r>
      <w:hyperlink w:history="0" w:anchor="P3876" w:tooltip="в т.ч. ОТм">
        <w:r>
          <w:rPr>
            <w:sz w:val="20"/>
            <w:color w:val="0000ff"/>
          </w:rPr>
          <w:t xml:space="preserve">"в т.ч. ОТм"</w:t>
        </w:r>
      </w:hyperlink>
      <w:r>
        <w:rPr>
          <w:sz w:val="20"/>
        </w:rPr>
        <w:t xml:space="preserve"> и </w:t>
      </w:r>
      <w:hyperlink w:history="0" w:anchor="P3912" w:tooltip="ФОТ">
        <w:r>
          <w:rPr>
            <w:sz w:val="20"/>
            <w:color w:val="0000ff"/>
          </w:rPr>
          <w:t xml:space="preserve">"ФОТ"</w:t>
        </w:r>
      </w:hyperlink>
      <w:r>
        <w:rPr>
          <w:sz w:val="20"/>
        </w:rPr>
        <w:t xml:space="preserve"> не заполняются;</w:t>
      </w:r>
    </w:p>
    <w:p>
      <w:pPr>
        <w:pStyle w:val="0"/>
        <w:spacing w:before="200" w:line-rule="auto"/>
        <w:ind w:firstLine="540"/>
        <w:jc w:val="both"/>
      </w:pPr>
      <w:r>
        <w:rPr>
          <w:sz w:val="20"/>
        </w:rPr>
        <w:t xml:space="preserve">б) в </w:t>
      </w:r>
      <w:hyperlink w:history="0" w:anchor="P3924" w:tooltip="НР &lt;вид работ&gt;">
        <w:r>
          <w:rPr>
            <w:sz w:val="20"/>
            <w:color w:val="0000ff"/>
          </w:rPr>
          <w:t xml:space="preserve">строках "НР &lt;вид работ&gt;"</w:t>
        </w:r>
      </w:hyperlink>
      <w:r>
        <w:rPr>
          <w:sz w:val="20"/>
        </w:rPr>
        <w:t xml:space="preserve"> к соответствующим единичным расценкам в </w:t>
      </w:r>
      <w:hyperlink w:history="0" w:anchor="P3810" w:tooltip="10">
        <w:r>
          <w:rPr>
            <w:sz w:val="20"/>
            <w:color w:val="0000ff"/>
          </w:rPr>
          <w:t xml:space="preserve">графе 10</w:t>
        </w:r>
      </w:hyperlink>
      <w:r>
        <w:rPr>
          <w:sz w:val="20"/>
        </w:rPr>
        <w:t xml:space="preserve"> указываются величины накладных расходов в размере 21,9% от стоимости прямых затрат таких расценок, указанных по </w:t>
      </w:r>
      <w:hyperlink w:history="0" w:anchor="P3900" w:tooltip="Итого по расценке">
        <w:r>
          <w:rPr>
            <w:sz w:val="20"/>
            <w:color w:val="0000ff"/>
          </w:rPr>
          <w:t xml:space="preserve">строке</w:t>
        </w:r>
      </w:hyperlink>
      <w:r>
        <w:rPr>
          <w:sz w:val="20"/>
        </w:rPr>
        <w:t xml:space="preserve"> "Итого по расценке" в </w:t>
      </w:r>
      <w:hyperlink w:history="0" w:anchor="P3810" w:tooltip="10">
        <w:r>
          <w:rPr>
            <w:sz w:val="20"/>
            <w:color w:val="0000ff"/>
          </w:rPr>
          <w:t xml:space="preserve">графе 10</w:t>
        </w:r>
      </w:hyperlink>
      <w:r>
        <w:rPr>
          <w:sz w:val="20"/>
        </w:rPr>
        <w:t xml:space="preserve">.</w:t>
      </w:r>
    </w:p>
    <w:bookmarkStart w:id="764" w:name="P764"/>
    <w:bookmarkEnd w:id="764"/>
    <w:p>
      <w:pPr>
        <w:pStyle w:val="0"/>
        <w:spacing w:before="200" w:line-rule="auto"/>
        <w:ind w:firstLine="540"/>
        <w:jc w:val="both"/>
      </w:pPr>
      <w:r>
        <w:rPr>
          <w:sz w:val="20"/>
        </w:rPr>
        <w:t xml:space="preserve">203. При определении сметной стоимости работ по архитектурно-художественной реставрации базисно-индексным методом рекомендуемые образцы форм локального сметного расчета (сметы) для базисно-индексного метода при определении сметной стоимости работ по сохранению объектов культурного наследия (памятников истории и культуры) народов Российской Федерации на территории Российской Федерации (</w:t>
      </w:r>
      <w:hyperlink w:history="0" w:anchor="P3715" w:tooltip="Форма N 3 локального сметного расчета (сметы) для базисно-индексного метода с применением индекса к СМР">
        <w:r>
          <w:rPr>
            <w:sz w:val="20"/>
            <w:color w:val="0000ff"/>
          </w:rPr>
          <w:t xml:space="preserve">формы N 3</w:t>
        </w:r>
      </w:hyperlink>
      <w:r>
        <w:rPr>
          <w:sz w:val="20"/>
        </w:rPr>
        <w:t xml:space="preserve"> и </w:t>
      </w:r>
      <w:hyperlink w:history="0" w:anchor="P4268" w:tooltip="Форма N 4 локального сметного расчета (сметы)">
        <w:r>
          <w:rPr>
            <w:sz w:val="20"/>
            <w:color w:val="0000ff"/>
          </w:rPr>
          <w:t xml:space="preserve">N 4</w:t>
        </w:r>
      </w:hyperlink>
      <w:r>
        <w:rPr>
          <w:sz w:val="20"/>
        </w:rPr>
        <w:t xml:space="preserve">), приведенные в Приложении N 2 к Методике, заполняются с учетом особенностей по определению величины накладных расходов: в </w:t>
      </w:r>
      <w:hyperlink w:history="0" w:anchor="P3924" w:tooltip="НР &lt;вид работ&gt;">
        <w:r>
          <w:rPr>
            <w:sz w:val="20"/>
            <w:color w:val="0000ff"/>
          </w:rPr>
          <w:t xml:space="preserve">строках "НР &lt;вид работ&gt;"</w:t>
        </w:r>
      </w:hyperlink>
      <w:r>
        <w:rPr>
          <w:sz w:val="20"/>
        </w:rPr>
        <w:t xml:space="preserve"> к соответствующим единичным расценкам в </w:t>
      </w:r>
      <w:hyperlink w:history="0" w:anchor="P3810" w:tooltip="10">
        <w:r>
          <w:rPr>
            <w:sz w:val="20"/>
            <w:color w:val="0000ff"/>
          </w:rPr>
          <w:t xml:space="preserve">графе 10</w:t>
        </w:r>
      </w:hyperlink>
      <w:r>
        <w:rPr>
          <w:sz w:val="20"/>
        </w:rPr>
        <w:t xml:space="preserve"> указываются величины накладных расходов в размере 85% от оплаты труда, указанной в </w:t>
      </w:r>
      <w:hyperlink w:history="0" w:anchor="P3810" w:tooltip="10">
        <w:r>
          <w:rPr>
            <w:sz w:val="20"/>
            <w:color w:val="0000ff"/>
          </w:rPr>
          <w:t xml:space="preserve">графе 10</w:t>
        </w:r>
      </w:hyperlink>
      <w:r>
        <w:rPr>
          <w:sz w:val="20"/>
        </w:rPr>
        <w:t xml:space="preserve"> по строкам </w:t>
      </w:r>
      <w:hyperlink w:history="0" w:anchor="P3852" w:tooltip="ОТ">
        <w:r>
          <w:rPr>
            <w:sz w:val="20"/>
            <w:color w:val="0000ff"/>
          </w:rPr>
          <w:t xml:space="preserve">"ОТ"</w:t>
        </w:r>
      </w:hyperlink>
      <w:r>
        <w:rPr>
          <w:sz w:val="20"/>
        </w:rPr>
        <w:t xml:space="preserve"> таких расценок.</w:t>
      </w:r>
    </w:p>
    <w:p>
      <w:pPr>
        <w:pStyle w:val="0"/>
        <w:spacing w:before="200" w:line-rule="auto"/>
        <w:ind w:firstLine="540"/>
        <w:jc w:val="both"/>
      </w:pPr>
      <w:r>
        <w:rPr>
          <w:sz w:val="20"/>
        </w:rPr>
        <w:t xml:space="preserve">204. При определении сметной стоимости ремонтно-реставрационных работ величина сметной прибыли к соответствующим единичным расценкам указывается в </w:t>
      </w:r>
      <w:hyperlink w:history="0" w:anchor="P3936" w:tooltip="СП &lt;вид работ&gt;">
        <w:r>
          <w:rPr>
            <w:sz w:val="20"/>
            <w:color w:val="0000ff"/>
          </w:rPr>
          <w:t xml:space="preserve">строках "СП &lt;вид работ</w:t>
        </w:r>
      </w:hyperlink>
      <w:r>
        <w:rPr>
          <w:sz w:val="20"/>
        </w:rPr>
        <w:t xml:space="preserve">&gt;" в </w:t>
      </w:r>
      <w:hyperlink w:history="0" w:anchor="P3810" w:tooltip="10">
        <w:r>
          <w:rPr>
            <w:sz w:val="20"/>
            <w:color w:val="0000ff"/>
          </w:rPr>
          <w:t xml:space="preserve">графе 10</w:t>
        </w:r>
      </w:hyperlink>
      <w:r>
        <w:rPr>
          <w:sz w:val="20"/>
        </w:rPr>
        <w:t xml:space="preserve"> в размере 8% от общей стоимости прямых затрат, указанных в </w:t>
      </w:r>
      <w:hyperlink w:history="0" w:anchor="P3810" w:tooltip="10">
        <w:r>
          <w:rPr>
            <w:sz w:val="20"/>
            <w:color w:val="0000ff"/>
          </w:rPr>
          <w:t xml:space="preserve">графе 10</w:t>
        </w:r>
      </w:hyperlink>
      <w:r>
        <w:rPr>
          <w:sz w:val="20"/>
        </w:rPr>
        <w:t xml:space="preserve"> по </w:t>
      </w:r>
      <w:hyperlink w:history="0" w:anchor="P3900" w:tooltip="Итого по расценке">
        <w:r>
          <w:rPr>
            <w:sz w:val="20"/>
            <w:color w:val="0000ff"/>
          </w:rPr>
          <w:t xml:space="preserve">строке</w:t>
        </w:r>
      </w:hyperlink>
      <w:r>
        <w:rPr>
          <w:sz w:val="20"/>
        </w:rPr>
        <w:t xml:space="preserve"> "Итого по расценке" таких расценок, и накладных расходов, указанных по </w:t>
      </w:r>
      <w:hyperlink w:history="0" w:anchor="P3924" w:tooltip="НР &lt;вид работ&gt;">
        <w:r>
          <w:rPr>
            <w:sz w:val="20"/>
            <w:color w:val="0000ff"/>
          </w:rPr>
          <w:t xml:space="preserve">строке "НР &lt;вид работ&gt;"</w:t>
        </w:r>
      </w:hyperlink>
      <w:r>
        <w:rPr>
          <w:sz w:val="20"/>
        </w:rPr>
        <w:t xml:space="preserve"> в </w:t>
      </w:r>
      <w:hyperlink w:history="0" w:anchor="P3810" w:tooltip="10">
        <w:r>
          <w:rPr>
            <w:sz w:val="20"/>
            <w:color w:val="0000ff"/>
          </w:rPr>
          <w:t xml:space="preserve">графе 10</w:t>
        </w:r>
      </w:hyperlink>
      <w:r>
        <w:rPr>
          <w:sz w:val="20"/>
        </w:rPr>
        <w:t xml:space="preserve">, к соответствующим единичным расценкам.</w:t>
      </w:r>
    </w:p>
    <w:bookmarkStart w:id="766" w:name="P766"/>
    <w:bookmarkEnd w:id="766"/>
    <w:p>
      <w:pPr>
        <w:pStyle w:val="0"/>
        <w:spacing w:before="200" w:line-rule="auto"/>
        <w:ind w:firstLine="540"/>
        <w:jc w:val="both"/>
      </w:pPr>
      <w:r>
        <w:rPr>
          <w:sz w:val="20"/>
        </w:rPr>
        <w:t xml:space="preserve">205. В случае, если пересчет сметной стоимости ремонтно-реставрационных работ, определенной с использованием Сборников ССН-84 в базисном уровне цен 1984 года, в текущий уровень цен выполняется с применением индекса к СМР, то в </w:t>
      </w:r>
      <w:hyperlink w:history="0" w:anchor="P3811" w:tooltip="11">
        <w:r>
          <w:rPr>
            <w:sz w:val="20"/>
            <w:color w:val="0000ff"/>
          </w:rPr>
          <w:t xml:space="preserve">графе 11</w:t>
        </w:r>
      </w:hyperlink>
      <w:r>
        <w:rPr>
          <w:sz w:val="20"/>
        </w:rPr>
        <w:t xml:space="preserve"> рекомендуемого образца формы локального сметного расчета (сметы) для базисно-индексного метода при определении сметной стоимости работ по сохранению объектов культурного наследия (памятников истории и культуры) народов Российской Федерации на территории Российской Федерации </w:t>
      </w:r>
      <w:hyperlink w:history="0" w:anchor="P3715" w:tooltip="Форма N 3 локального сметного расчета (сметы) для базисно-индексного метода с применением индекса к СМР">
        <w:r>
          <w:rPr>
            <w:sz w:val="20"/>
            <w:color w:val="0000ff"/>
          </w:rPr>
          <w:t xml:space="preserve">(форма N 3)</w:t>
        </w:r>
      </w:hyperlink>
      <w:r>
        <w:rPr>
          <w:sz w:val="20"/>
        </w:rPr>
        <w:t xml:space="preserve">, приведенного в Приложении N 2 к Методике, по строкам "</w:t>
      </w:r>
      <w:hyperlink w:history="0" w:anchor="P4140" w:tooltip="ремонтно-реставрационные работы в базисном уровне цен 1984 года с пересчетом в уровень цен сметно-нормативной базы 2001 года">
        <w:r>
          <w:rPr>
            <w:sz w:val="20"/>
            <w:color w:val="0000ff"/>
          </w:rPr>
          <w:t xml:space="preserve">ремонтно-реставрационные</w:t>
        </w:r>
      </w:hyperlink>
      <w:r>
        <w:rPr>
          <w:sz w:val="20"/>
        </w:rPr>
        <w:t xml:space="preserve"> работы в базисном уровне цен 1984 года с пересчетом в уровень цен сметно-нормативной базы 2001 года" и "</w:t>
      </w:r>
      <w:hyperlink w:history="0" w:anchor="P4146" w:tooltip="ремонтно-реставрационные работы в уровне цен сметно-нормативной базы 2001 года с пересчетом в текущий уровень цен">
        <w:r>
          <w:rPr>
            <w:sz w:val="20"/>
            <w:color w:val="0000ff"/>
          </w:rPr>
          <w:t xml:space="preserve">ремонтно-реставрационные</w:t>
        </w:r>
      </w:hyperlink>
      <w:r>
        <w:rPr>
          <w:sz w:val="20"/>
        </w:rPr>
        <w:t xml:space="preserve"> работы в уровне цен сметно-нормативной базы 2001 года с пересчетом в текущий уровень цен", указываются соответственно коэффициент изменения стоимости ремонтно-реставрационных работ от уровня цен 1984 года к уровню цен 2001 года, приведенный в </w:t>
      </w:r>
      <w:hyperlink w:history="0" w:anchor="P772" w:tooltip="Коэффициент изменения стоимости ремонтно-реставрационных">
        <w:r>
          <w:rPr>
            <w:sz w:val="20"/>
            <w:color w:val="0000ff"/>
          </w:rPr>
          <w:t xml:space="preserve">таблице N 1</w:t>
        </w:r>
      </w:hyperlink>
      <w:r>
        <w:rPr>
          <w:sz w:val="20"/>
        </w:rPr>
        <w:t xml:space="preserve"> к Методике, и индекс к СМР, выбранный в соответствии с </w:t>
      </w:r>
      <w:hyperlink w:history="0" w:anchor="P750" w:tooltip="197. Пересчет в текущий уровень цен стоимости ремонтно-реставрационных работ, определенной в уровне цен сметно-нормативной базы 2001 года, выполняется с применением индексов по видам объектов, сведения о которых включены в ФРСН, с учетом положений пункта 199 Методики.">
        <w:r>
          <w:rPr>
            <w:sz w:val="20"/>
            <w:color w:val="0000ff"/>
          </w:rPr>
          <w:t xml:space="preserve">пунктом 197</w:t>
        </w:r>
      </w:hyperlink>
      <w:r>
        <w:rPr>
          <w:sz w:val="20"/>
        </w:rPr>
        <w:t xml:space="preserve"> Методики. В </w:t>
      </w:r>
      <w:hyperlink w:history="0" w:anchor="P3812" w:tooltip="12">
        <w:r>
          <w:rPr>
            <w:sz w:val="20"/>
            <w:color w:val="0000ff"/>
          </w:rPr>
          <w:t xml:space="preserve">графе 12</w:t>
        </w:r>
      </w:hyperlink>
      <w:r>
        <w:rPr>
          <w:sz w:val="20"/>
        </w:rPr>
        <w:t xml:space="preserve"> указывается сметная стоимость ремонтно-реставрационных работ в текущем уровне цен, рассчитанная как произведение </w:t>
      </w:r>
      <w:hyperlink w:history="0" w:anchor="P3810" w:tooltip="10">
        <w:r>
          <w:rPr>
            <w:sz w:val="20"/>
            <w:color w:val="0000ff"/>
          </w:rPr>
          <w:t xml:space="preserve">граф 10</w:t>
        </w:r>
      </w:hyperlink>
      <w:r>
        <w:rPr>
          <w:sz w:val="20"/>
        </w:rPr>
        <w:t xml:space="preserve"> и </w:t>
      </w:r>
      <w:hyperlink w:history="0" w:anchor="P3811" w:tooltip="11">
        <w:r>
          <w:rPr>
            <w:sz w:val="20"/>
            <w:color w:val="0000ff"/>
          </w:rPr>
          <w:t xml:space="preserve">11</w:t>
        </w:r>
      </w:hyperlink>
      <w:r>
        <w:rPr>
          <w:sz w:val="20"/>
        </w:rPr>
        <w:t xml:space="preserve">, с округлением до двух знаков после запятой. Значение в </w:t>
      </w:r>
      <w:hyperlink w:history="0" w:anchor="P3810" w:tooltip="10">
        <w:r>
          <w:rPr>
            <w:sz w:val="20"/>
            <w:color w:val="0000ff"/>
          </w:rPr>
          <w:t xml:space="preserve">графах 10</w:t>
        </w:r>
      </w:hyperlink>
      <w:r>
        <w:rPr>
          <w:sz w:val="20"/>
        </w:rPr>
        <w:t xml:space="preserve"> и </w:t>
      </w:r>
      <w:hyperlink w:history="0" w:anchor="P3812" w:tooltip="12">
        <w:r>
          <w:rPr>
            <w:sz w:val="20"/>
            <w:color w:val="0000ff"/>
          </w:rPr>
          <w:t xml:space="preserve">12</w:t>
        </w:r>
      </w:hyperlink>
      <w:r>
        <w:rPr>
          <w:sz w:val="20"/>
        </w:rPr>
        <w:t xml:space="preserve"> по </w:t>
      </w:r>
      <w:hyperlink w:history="0" w:anchor="P4128" w:tooltip="ВСЕГО ремонтно-реставрационные работы">
        <w:r>
          <w:rPr>
            <w:sz w:val="20"/>
            <w:color w:val="0000ff"/>
          </w:rPr>
          <w:t xml:space="preserve">строке</w:t>
        </w:r>
      </w:hyperlink>
      <w:r>
        <w:rPr>
          <w:sz w:val="20"/>
        </w:rPr>
        <w:t xml:space="preserve"> "ВСЕГО ремонтно-реставрационные работы" определяется суммированием значений, указанных в </w:t>
      </w:r>
      <w:hyperlink w:history="0" w:anchor="P3810" w:tooltip="10">
        <w:r>
          <w:rPr>
            <w:sz w:val="20"/>
            <w:color w:val="0000ff"/>
          </w:rPr>
          <w:t xml:space="preserve">графах 10</w:t>
        </w:r>
      </w:hyperlink>
      <w:r>
        <w:rPr>
          <w:sz w:val="20"/>
        </w:rPr>
        <w:t xml:space="preserve"> и </w:t>
      </w:r>
      <w:hyperlink w:history="0" w:anchor="P3812" w:tooltip="12">
        <w:r>
          <w:rPr>
            <w:sz w:val="20"/>
            <w:color w:val="0000ff"/>
          </w:rPr>
          <w:t xml:space="preserve">12</w:t>
        </w:r>
      </w:hyperlink>
      <w:r>
        <w:rPr>
          <w:sz w:val="20"/>
        </w:rPr>
        <w:t xml:space="preserve"> по строкам "</w:t>
      </w:r>
      <w:hyperlink w:history="0" w:anchor="P4140" w:tooltip="ремонтно-реставрационные работы в базисном уровне цен 1984 года с пересчетом в уровень цен сметно-нормативной базы 2001 года">
        <w:r>
          <w:rPr>
            <w:sz w:val="20"/>
            <w:color w:val="0000ff"/>
          </w:rPr>
          <w:t xml:space="preserve">ремонтно-реставрационные</w:t>
        </w:r>
      </w:hyperlink>
      <w:r>
        <w:rPr>
          <w:sz w:val="20"/>
        </w:rPr>
        <w:t xml:space="preserve"> работы в базисном уровне цен 1984 года с пересчетом в уровень цен сметно-нормативной базы 2001 года" и "</w:t>
      </w:r>
      <w:hyperlink w:history="0" w:anchor="P4146" w:tooltip="ремонтно-реставрационные работы в уровне цен сметно-нормативной базы 2001 года с пересчетом в текущий уровень цен">
        <w:r>
          <w:rPr>
            <w:sz w:val="20"/>
            <w:color w:val="0000ff"/>
          </w:rPr>
          <w:t xml:space="preserve">ремонтно-реставрационные</w:t>
        </w:r>
      </w:hyperlink>
      <w:r>
        <w:rPr>
          <w:sz w:val="20"/>
        </w:rPr>
        <w:t xml:space="preserve"> работы в уровне цен сметно-нормативной базы 2001 года с пересчетом в текущий уровень цен".</w:t>
      </w:r>
    </w:p>
    <w:bookmarkStart w:id="767" w:name="P767"/>
    <w:bookmarkEnd w:id="767"/>
    <w:p>
      <w:pPr>
        <w:pStyle w:val="0"/>
        <w:spacing w:before="200" w:line-rule="auto"/>
        <w:ind w:firstLine="540"/>
        <w:jc w:val="both"/>
      </w:pPr>
      <w:r>
        <w:rPr>
          <w:sz w:val="20"/>
        </w:rPr>
        <w:t xml:space="preserve">206. В случае, если пересчет сметной стоимости ремонтно-реставрационных работ, определенной с использованием Сборников ССН-84 в базисном уровне цен 1984 года, в текущий уровень цен выполняется с применением индексов к элементам прямых затрат, в </w:t>
      </w:r>
      <w:hyperlink w:history="0" w:anchor="P4371" w:tooltip="11">
        <w:r>
          <w:rPr>
            <w:sz w:val="20"/>
            <w:color w:val="0000ff"/>
          </w:rPr>
          <w:t xml:space="preserve">графе 11</w:t>
        </w:r>
      </w:hyperlink>
      <w:r>
        <w:rPr>
          <w:sz w:val="20"/>
        </w:rPr>
        <w:t xml:space="preserve"> рекомендуемого образца формы локального сметного расчета (сметы) для базисно-индексного метода при определении сметной стоимости работ по сохранению объектов культурного наследия (памятников истории и культуры) народов Российской Федерации на территории Российской Федерации </w:t>
      </w:r>
      <w:hyperlink w:history="0" w:anchor="P4268" w:tooltip="Форма N 4 локального сметного расчета (сметы)">
        <w:r>
          <w:rPr>
            <w:sz w:val="20"/>
            <w:color w:val="0000ff"/>
          </w:rPr>
          <w:t xml:space="preserve">(форма N 4)</w:t>
        </w:r>
      </w:hyperlink>
      <w:r>
        <w:rPr>
          <w:sz w:val="20"/>
        </w:rPr>
        <w:t xml:space="preserve">, приведенного в Приложении N 2 к Методике, по </w:t>
      </w:r>
      <w:hyperlink w:history="0" w:anchor="P4412" w:tooltip="ОТ">
        <w:r>
          <w:rPr>
            <w:sz w:val="20"/>
            <w:color w:val="0000ff"/>
          </w:rPr>
          <w:t xml:space="preserve">строкам "ОТ"</w:t>
        </w:r>
      </w:hyperlink>
      <w:r>
        <w:rPr>
          <w:sz w:val="20"/>
        </w:rPr>
        <w:t xml:space="preserve">, </w:t>
      </w:r>
      <w:hyperlink w:history="0" w:anchor="P4424" w:tooltip="ЭМ">
        <w:r>
          <w:rPr>
            <w:sz w:val="20"/>
            <w:color w:val="0000ff"/>
          </w:rPr>
          <w:t xml:space="preserve">"ЭМ"</w:t>
        </w:r>
      </w:hyperlink>
      <w:r>
        <w:rPr>
          <w:sz w:val="20"/>
        </w:rPr>
        <w:t xml:space="preserve"> </w:t>
      </w:r>
      <w:hyperlink w:history="0" w:anchor="P4448" w:tooltip="М">
        <w:r>
          <w:rPr>
            <w:sz w:val="20"/>
            <w:color w:val="0000ff"/>
          </w:rPr>
          <w:t xml:space="preserve">"М"</w:t>
        </w:r>
      </w:hyperlink>
      <w:r>
        <w:rPr>
          <w:sz w:val="20"/>
        </w:rPr>
        <w:t xml:space="preserve">, указываются индексы, рассчитанные как произведение коэффициентов изменения стоимости ремонтно-реставрационных работ по элементам прямых затрат от уровня цен 1984 года к уровню цен 2001 года, приведенных в </w:t>
      </w:r>
      <w:hyperlink w:history="0" w:anchor="P784" w:tooltip="Коэффициенты изменения стоимости ремонтно-реставрационных">
        <w:r>
          <w:rPr>
            <w:sz w:val="20"/>
            <w:color w:val="0000ff"/>
          </w:rPr>
          <w:t xml:space="preserve">таблице N 2</w:t>
        </w:r>
      </w:hyperlink>
      <w:r>
        <w:rPr>
          <w:sz w:val="20"/>
        </w:rPr>
        <w:t xml:space="preserve"> к Методике, и соответствующих индексов к элементам прямых затрат, выбранных в соответствии с </w:t>
      </w:r>
      <w:hyperlink w:history="0" w:anchor="P750" w:tooltip="197. Пересчет в текущий уровень цен стоимости ремонтно-реставрационных работ, определенной в уровне цен сметно-нормативной базы 2001 года, выполняется с применением индексов по видам объектов, сведения о которых включены в ФРСН, с учетом положений пункта 199 Методики.">
        <w:r>
          <w:rPr>
            <w:sz w:val="20"/>
            <w:color w:val="0000ff"/>
          </w:rPr>
          <w:t xml:space="preserve">пунктом 197</w:t>
        </w:r>
      </w:hyperlink>
      <w:r>
        <w:rPr>
          <w:sz w:val="20"/>
        </w:rPr>
        <w:t xml:space="preserve"> Методики, с округлением полученного результата до двух знаков после запятой, при этом в </w:t>
      </w:r>
      <w:hyperlink w:history="0" w:anchor="P4371" w:tooltip="11">
        <w:r>
          <w:rPr>
            <w:sz w:val="20"/>
            <w:color w:val="0000ff"/>
          </w:rPr>
          <w:t xml:space="preserve">графе 11</w:t>
        </w:r>
      </w:hyperlink>
      <w:r>
        <w:rPr>
          <w:sz w:val="20"/>
        </w:rPr>
        <w:t xml:space="preserve"> по </w:t>
      </w:r>
      <w:hyperlink w:history="0" w:anchor="P4424" w:tooltip="ЭМ">
        <w:r>
          <w:rPr>
            <w:sz w:val="20"/>
            <w:color w:val="0000ff"/>
          </w:rPr>
          <w:t xml:space="preserve">строке "ЭМ"</w:t>
        </w:r>
      </w:hyperlink>
      <w:r>
        <w:rPr>
          <w:sz w:val="20"/>
        </w:rPr>
        <w:t xml:space="preserve"> указывается индекс, рассчитываемый для применения к сметной стоимости эксплуатации машин и механизмов. В </w:t>
      </w:r>
      <w:hyperlink w:history="0" w:anchor="P4372" w:tooltip="12">
        <w:r>
          <w:rPr>
            <w:sz w:val="20"/>
            <w:color w:val="0000ff"/>
          </w:rPr>
          <w:t xml:space="preserve">графе 12</w:t>
        </w:r>
      </w:hyperlink>
      <w:r>
        <w:rPr>
          <w:sz w:val="20"/>
        </w:rPr>
        <w:t xml:space="preserve"> по </w:t>
      </w:r>
      <w:hyperlink w:history="0" w:anchor="P4412" w:tooltip="ОТ">
        <w:r>
          <w:rPr>
            <w:sz w:val="20"/>
            <w:color w:val="0000ff"/>
          </w:rPr>
          <w:t xml:space="preserve">строкам "ОТ"</w:t>
        </w:r>
      </w:hyperlink>
      <w:r>
        <w:rPr>
          <w:sz w:val="20"/>
        </w:rPr>
        <w:t xml:space="preserve">, </w:t>
      </w:r>
      <w:hyperlink w:history="0" w:anchor="P4424" w:tooltip="ЭМ">
        <w:r>
          <w:rPr>
            <w:sz w:val="20"/>
            <w:color w:val="0000ff"/>
          </w:rPr>
          <w:t xml:space="preserve">"ЭМ"</w:t>
        </w:r>
      </w:hyperlink>
      <w:r>
        <w:rPr>
          <w:sz w:val="20"/>
        </w:rPr>
        <w:t xml:space="preserve">, </w:t>
      </w:r>
      <w:hyperlink w:history="0" w:anchor="P4448" w:tooltip="М">
        <w:r>
          <w:rPr>
            <w:sz w:val="20"/>
            <w:color w:val="0000ff"/>
          </w:rPr>
          <w:t xml:space="preserve">"М"</w:t>
        </w:r>
      </w:hyperlink>
      <w:r>
        <w:rPr>
          <w:sz w:val="20"/>
        </w:rPr>
        <w:t xml:space="preserve"> указывается сметная стоимость в текущем уровне цен, рассчитанная как произведение </w:t>
      </w:r>
      <w:hyperlink w:history="0" w:anchor="P4370" w:tooltip="10">
        <w:r>
          <w:rPr>
            <w:sz w:val="20"/>
            <w:color w:val="0000ff"/>
          </w:rPr>
          <w:t xml:space="preserve">граф 10</w:t>
        </w:r>
      </w:hyperlink>
      <w:r>
        <w:rPr>
          <w:sz w:val="20"/>
        </w:rPr>
        <w:t xml:space="preserve"> и </w:t>
      </w:r>
      <w:hyperlink w:history="0" w:anchor="P4371" w:tooltip="11">
        <w:r>
          <w:rPr>
            <w:sz w:val="20"/>
            <w:color w:val="0000ff"/>
          </w:rPr>
          <w:t xml:space="preserve">11</w:t>
        </w:r>
      </w:hyperlink>
      <w:r>
        <w:rPr>
          <w:sz w:val="20"/>
        </w:rPr>
        <w:t xml:space="preserve"> по соответствующей строке. В </w:t>
      </w:r>
      <w:hyperlink w:history="0" w:anchor="P4372" w:tooltip="12">
        <w:r>
          <w:rPr>
            <w:sz w:val="20"/>
            <w:color w:val="0000ff"/>
          </w:rPr>
          <w:t xml:space="preserve">графе 12</w:t>
        </w:r>
      </w:hyperlink>
      <w:r>
        <w:rPr>
          <w:sz w:val="20"/>
        </w:rPr>
        <w:t xml:space="preserve"> по </w:t>
      </w:r>
      <w:hyperlink w:history="0" w:anchor="P4460" w:tooltip="Итого по расценке">
        <w:r>
          <w:rPr>
            <w:sz w:val="20"/>
            <w:color w:val="0000ff"/>
          </w:rPr>
          <w:t xml:space="preserve">строке</w:t>
        </w:r>
      </w:hyperlink>
      <w:r>
        <w:rPr>
          <w:sz w:val="20"/>
        </w:rPr>
        <w:t xml:space="preserve"> "Итого по расценке" указывается сметная стоимость в текущем уровне цен, рассчитываемая суммированием сметной стоимости элементов прямых затрат, указанной в </w:t>
      </w:r>
      <w:hyperlink w:history="0" w:anchor="P4372" w:tooltip="12">
        <w:r>
          <w:rPr>
            <w:sz w:val="20"/>
            <w:color w:val="0000ff"/>
          </w:rPr>
          <w:t xml:space="preserve">графе 12</w:t>
        </w:r>
      </w:hyperlink>
      <w:r>
        <w:rPr>
          <w:sz w:val="20"/>
        </w:rPr>
        <w:t xml:space="preserve">, по такой расценке.</w:t>
      </w:r>
    </w:p>
    <w:p>
      <w:pPr>
        <w:pStyle w:val="0"/>
        <w:spacing w:before="200" w:line-rule="auto"/>
        <w:ind w:firstLine="540"/>
        <w:jc w:val="both"/>
      </w:pPr>
      <w:r>
        <w:rPr>
          <w:sz w:val="20"/>
        </w:rPr>
        <w:t xml:space="preserve">При определении сметной стоимости ремонтно-реставрационных работ в текущем уровне цен в </w:t>
      </w:r>
      <w:hyperlink w:history="0" w:anchor="P4484" w:tooltip="НР &lt;вид работ&gt;">
        <w:r>
          <w:rPr>
            <w:sz w:val="20"/>
            <w:color w:val="0000ff"/>
          </w:rPr>
          <w:t xml:space="preserve">строках "НР &lt;вид работ&gt;"</w:t>
        </w:r>
      </w:hyperlink>
      <w:r>
        <w:rPr>
          <w:sz w:val="20"/>
        </w:rPr>
        <w:t xml:space="preserve"> к соответствующим единичным расценкам в </w:t>
      </w:r>
      <w:hyperlink w:history="0" w:anchor="P4372" w:tooltip="12">
        <w:r>
          <w:rPr>
            <w:sz w:val="20"/>
            <w:color w:val="0000ff"/>
          </w:rPr>
          <w:t xml:space="preserve">графе 12</w:t>
        </w:r>
      </w:hyperlink>
      <w:r>
        <w:rPr>
          <w:sz w:val="20"/>
        </w:rPr>
        <w:t xml:space="preserve"> указываются величины накладных расходов в размере 21,9% от стоимости прямых затрат, указанной в </w:t>
      </w:r>
      <w:hyperlink w:history="0" w:anchor="P4372" w:tooltip="12">
        <w:r>
          <w:rPr>
            <w:sz w:val="20"/>
            <w:color w:val="0000ff"/>
          </w:rPr>
          <w:t xml:space="preserve">графе 12</w:t>
        </w:r>
      </w:hyperlink>
      <w:r>
        <w:rPr>
          <w:sz w:val="20"/>
        </w:rPr>
        <w:t xml:space="preserve"> по </w:t>
      </w:r>
      <w:hyperlink w:history="0" w:anchor="P4460" w:tooltip="Итого по расценке">
        <w:r>
          <w:rPr>
            <w:sz w:val="20"/>
            <w:color w:val="0000ff"/>
          </w:rPr>
          <w:t xml:space="preserve">строке</w:t>
        </w:r>
      </w:hyperlink>
      <w:r>
        <w:rPr>
          <w:sz w:val="20"/>
        </w:rPr>
        <w:t xml:space="preserve"> "Итого по расценке".</w:t>
      </w:r>
    </w:p>
    <w:p>
      <w:pPr>
        <w:pStyle w:val="0"/>
        <w:spacing w:before="200" w:line-rule="auto"/>
        <w:ind w:firstLine="540"/>
        <w:jc w:val="both"/>
      </w:pPr>
      <w:r>
        <w:rPr>
          <w:sz w:val="20"/>
        </w:rPr>
        <w:t xml:space="preserve">При определении сметной стоимости работ по архитектурно-художественной реставрации в текущем уровне цен в </w:t>
      </w:r>
      <w:hyperlink w:history="0" w:anchor="P4484" w:tooltip="НР &lt;вид работ&gt;">
        <w:r>
          <w:rPr>
            <w:sz w:val="20"/>
            <w:color w:val="0000ff"/>
          </w:rPr>
          <w:t xml:space="preserve">строках "НР &lt;вид работ&gt;"</w:t>
        </w:r>
      </w:hyperlink>
      <w:r>
        <w:rPr>
          <w:sz w:val="20"/>
        </w:rPr>
        <w:t xml:space="preserve"> к соответствующим единичным расценкам в </w:t>
      </w:r>
      <w:hyperlink w:history="0" w:anchor="P4372" w:tooltip="12">
        <w:r>
          <w:rPr>
            <w:sz w:val="20"/>
            <w:color w:val="0000ff"/>
          </w:rPr>
          <w:t xml:space="preserve">графе 12</w:t>
        </w:r>
      </w:hyperlink>
      <w:r>
        <w:rPr>
          <w:sz w:val="20"/>
        </w:rPr>
        <w:t xml:space="preserve"> указываются величины накладных расходов в размере 85% от оплаты труда, указанной в </w:t>
      </w:r>
      <w:hyperlink w:history="0" w:anchor="P4372" w:tooltip="12">
        <w:r>
          <w:rPr>
            <w:sz w:val="20"/>
            <w:color w:val="0000ff"/>
          </w:rPr>
          <w:t xml:space="preserve">графе 12</w:t>
        </w:r>
      </w:hyperlink>
      <w:r>
        <w:rPr>
          <w:sz w:val="20"/>
        </w:rPr>
        <w:t xml:space="preserve"> по строкам </w:t>
      </w:r>
      <w:hyperlink w:history="0" w:anchor="P4412" w:tooltip="ОТ">
        <w:r>
          <w:rPr>
            <w:sz w:val="20"/>
            <w:color w:val="0000ff"/>
          </w:rPr>
          <w:t xml:space="preserve">"ОТ"</w:t>
        </w:r>
      </w:hyperlink>
      <w:r>
        <w:rPr>
          <w:sz w:val="20"/>
        </w:rPr>
        <w:t xml:space="preserve"> таких расценок.</w:t>
      </w:r>
    </w:p>
    <w:p>
      <w:pPr>
        <w:pStyle w:val="0"/>
        <w:spacing w:before="200" w:line-rule="auto"/>
        <w:ind w:firstLine="540"/>
        <w:jc w:val="both"/>
      </w:pPr>
      <w:r>
        <w:rPr>
          <w:sz w:val="20"/>
        </w:rPr>
        <w:t xml:space="preserve">Величина сметной прибыли в текущем уровне цен к соответствующим единичным расценкам указывается в </w:t>
      </w:r>
      <w:hyperlink w:history="0" w:anchor="P4496" w:tooltip="СП &lt;вид работ&gt;">
        <w:r>
          <w:rPr>
            <w:sz w:val="20"/>
            <w:color w:val="0000ff"/>
          </w:rPr>
          <w:t xml:space="preserve">строках "СП &lt;вид работ&gt;"</w:t>
        </w:r>
      </w:hyperlink>
      <w:r>
        <w:rPr>
          <w:sz w:val="20"/>
        </w:rPr>
        <w:t xml:space="preserve"> в </w:t>
      </w:r>
      <w:hyperlink w:history="0" w:anchor="P4372" w:tooltip="12">
        <w:r>
          <w:rPr>
            <w:sz w:val="20"/>
            <w:color w:val="0000ff"/>
          </w:rPr>
          <w:t xml:space="preserve">графе 12</w:t>
        </w:r>
      </w:hyperlink>
      <w:r>
        <w:rPr>
          <w:sz w:val="20"/>
        </w:rPr>
        <w:t xml:space="preserve"> в размере 8% от общей стоимости прямых затрат, указанных в </w:t>
      </w:r>
      <w:hyperlink w:history="0" w:anchor="P4372" w:tooltip="12">
        <w:r>
          <w:rPr>
            <w:sz w:val="20"/>
            <w:color w:val="0000ff"/>
          </w:rPr>
          <w:t xml:space="preserve">графе 12</w:t>
        </w:r>
      </w:hyperlink>
      <w:r>
        <w:rPr>
          <w:sz w:val="20"/>
        </w:rPr>
        <w:t xml:space="preserve"> по строке "Итого по расценке" таких расценок, и накладных расходов, указанных по </w:t>
      </w:r>
      <w:hyperlink w:history="0" w:anchor="P4484" w:tooltip="НР &lt;вид работ&gt;">
        <w:r>
          <w:rPr>
            <w:sz w:val="20"/>
            <w:color w:val="0000ff"/>
          </w:rPr>
          <w:t xml:space="preserve">строке "НР &lt;вид работ&gt;"</w:t>
        </w:r>
      </w:hyperlink>
      <w:r>
        <w:rPr>
          <w:sz w:val="20"/>
        </w:rPr>
        <w:t xml:space="preserve"> в </w:t>
      </w:r>
      <w:hyperlink w:history="0" w:anchor="P4372" w:tooltip="12">
        <w:r>
          <w:rPr>
            <w:sz w:val="20"/>
            <w:color w:val="0000ff"/>
          </w:rPr>
          <w:t xml:space="preserve">графе 12</w:t>
        </w:r>
      </w:hyperlink>
      <w:r>
        <w:rPr>
          <w:sz w:val="20"/>
        </w:rPr>
        <w:t xml:space="preserve"> к соответствующим единичным расценкам.</w:t>
      </w:r>
    </w:p>
    <w:p>
      <w:pPr>
        <w:pStyle w:val="0"/>
        <w:jc w:val="both"/>
      </w:pPr>
      <w:r>
        <w:rPr>
          <w:sz w:val="20"/>
        </w:rPr>
      </w:r>
    </w:p>
    <w:bookmarkStart w:id="772" w:name="P772"/>
    <w:bookmarkEnd w:id="772"/>
    <w:p>
      <w:pPr>
        <w:pStyle w:val="2"/>
        <w:outlineLvl w:val="2"/>
        <w:jc w:val="center"/>
      </w:pPr>
      <w:r>
        <w:rPr>
          <w:sz w:val="20"/>
        </w:rPr>
        <w:t xml:space="preserve">Коэффициент изменения стоимости ремонтно-реставрационных</w:t>
      </w:r>
    </w:p>
    <w:p>
      <w:pPr>
        <w:pStyle w:val="2"/>
        <w:jc w:val="center"/>
      </w:pPr>
      <w:r>
        <w:rPr>
          <w:sz w:val="20"/>
        </w:rPr>
        <w:t xml:space="preserve">работ от уровня цен 1984 года к уровню цен 2001 года</w:t>
      </w:r>
    </w:p>
    <w:p>
      <w:pPr>
        <w:pStyle w:val="0"/>
        <w:jc w:val="both"/>
      </w:pPr>
      <w:r>
        <w:rPr>
          <w:sz w:val="20"/>
        </w:rPr>
      </w:r>
    </w:p>
    <w:p>
      <w:pPr>
        <w:pStyle w:val="0"/>
        <w:jc w:val="right"/>
      </w:pPr>
      <w:r>
        <w:rPr>
          <w:sz w:val="20"/>
        </w:rPr>
        <w:t xml:space="preserve">Таблица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855"/>
        <w:gridCol w:w="5216"/>
      </w:tblGrid>
      <w:tr>
        <w:tc>
          <w:tcPr>
            <w:tcW w:w="3855" w:type="dxa"/>
          </w:tcPr>
          <w:p>
            <w:pPr>
              <w:pStyle w:val="0"/>
              <w:jc w:val="center"/>
            </w:pPr>
            <w:r>
              <w:rPr>
                <w:sz w:val="20"/>
              </w:rPr>
              <w:t xml:space="preserve">Наименование субъекта Российской Федерации</w:t>
            </w:r>
          </w:p>
        </w:tc>
        <w:tc>
          <w:tcPr>
            <w:tcW w:w="5216" w:type="dxa"/>
          </w:tcPr>
          <w:p>
            <w:pPr>
              <w:pStyle w:val="0"/>
              <w:jc w:val="center"/>
            </w:pPr>
            <w:r>
              <w:rPr>
                <w:sz w:val="20"/>
              </w:rPr>
              <w:t xml:space="preserve">Коэффициент изменения стоимости ремонтно-реставрационных работ от уровня цен 1984 года к к уровню цен 2001 года</w:t>
            </w:r>
          </w:p>
        </w:tc>
      </w:tr>
      <w:tr>
        <w:tc>
          <w:tcPr>
            <w:tcW w:w="3855" w:type="dxa"/>
          </w:tcPr>
          <w:p>
            <w:pPr>
              <w:pStyle w:val="0"/>
              <w:jc w:val="center"/>
            </w:pPr>
            <w:r>
              <w:rPr>
                <w:sz w:val="20"/>
              </w:rPr>
              <w:t xml:space="preserve">1</w:t>
            </w:r>
          </w:p>
        </w:tc>
        <w:tc>
          <w:tcPr>
            <w:tcW w:w="5216" w:type="dxa"/>
          </w:tcPr>
          <w:p>
            <w:pPr>
              <w:pStyle w:val="0"/>
              <w:jc w:val="center"/>
            </w:pPr>
            <w:r>
              <w:rPr>
                <w:sz w:val="20"/>
              </w:rPr>
              <w:t xml:space="preserve">2</w:t>
            </w:r>
          </w:p>
        </w:tc>
      </w:tr>
      <w:tr>
        <w:tc>
          <w:tcPr>
            <w:tcW w:w="3855" w:type="dxa"/>
          </w:tcPr>
          <w:p>
            <w:pPr>
              <w:pStyle w:val="0"/>
              <w:jc w:val="center"/>
            </w:pPr>
            <w:r>
              <w:rPr>
                <w:sz w:val="20"/>
              </w:rPr>
              <w:t xml:space="preserve">Московская область</w:t>
            </w:r>
          </w:p>
        </w:tc>
        <w:tc>
          <w:tcPr>
            <w:tcW w:w="5216" w:type="dxa"/>
          </w:tcPr>
          <w:p>
            <w:pPr>
              <w:pStyle w:val="0"/>
              <w:jc w:val="center"/>
            </w:pPr>
            <w:r>
              <w:rPr>
                <w:sz w:val="20"/>
              </w:rPr>
              <w:t xml:space="preserve">37,65</w:t>
            </w:r>
          </w:p>
        </w:tc>
      </w:tr>
    </w:tbl>
    <w:p>
      <w:pPr>
        <w:pStyle w:val="0"/>
        <w:jc w:val="both"/>
      </w:pPr>
      <w:r>
        <w:rPr>
          <w:sz w:val="20"/>
        </w:rPr>
      </w:r>
    </w:p>
    <w:bookmarkStart w:id="784" w:name="P784"/>
    <w:bookmarkEnd w:id="784"/>
    <w:p>
      <w:pPr>
        <w:pStyle w:val="2"/>
        <w:outlineLvl w:val="2"/>
        <w:jc w:val="center"/>
      </w:pPr>
      <w:r>
        <w:rPr>
          <w:sz w:val="20"/>
        </w:rPr>
        <w:t xml:space="preserve">Коэффициенты изменения стоимости ремонтно-реставрационных</w:t>
      </w:r>
    </w:p>
    <w:p>
      <w:pPr>
        <w:pStyle w:val="2"/>
        <w:jc w:val="center"/>
      </w:pPr>
      <w:r>
        <w:rPr>
          <w:sz w:val="20"/>
        </w:rPr>
        <w:t xml:space="preserve">работ по элементам прямых затрат от уровня цен 1984 года</w:t>
      </w:r>
    </w:p>
    <w:p>
      <w:pPr>
        <w:pStyle w:val="2"/>
        <w:jc w:val="center"/>
      </w:pPr>
      <w:r>
        <w:rPr>
          <w:sz w:val="20"/>
        </w:rPr>
        <w:t xml:space="preserve">к уровню цен 2001 года</w:t>
      </w:r>
    </w:p>
    <w:p>
      <w:pPr>
        <w:pStyle w:val="0"/>
        <w:jc w:val="both"/>
      </w:pPr>
      <w:r>
        <w:rPr>
          <w:sz w:val="20"/>
        </w:rPr>
      </w:r>
    </w:p>
    <w:p>
      <w:pPr>
        <w:pStyle w:val="0"/>
        <w:jc w:val="right"/>
      </w:pPr>
      <w:r>
        <w:rPr>
          <w:sz w:val="20"/>
        </w:rPr>
        <w:t xml:space="preserve">Таблица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8"/>
        <w:gridCol w:w="1762"/>
        <w:gridCol w:w="2494"/>
        <w:gridCol w:w="1814"/>
      </w:tblGrid>
      <w:tr>
        <w:tc>
          <w:tcPr>
            <w:tcW w:w="2948" w:type="dxa"/>
            <w:vMerge w:val="restart"/>
          </w:tcPr>
          <w:p>
            <w:pPr>
              <w:pStyle w:val="0"/>
              <w:jc w:val="center"/>
            </w:pPr>
            <w:r>
              <w:rPr>
                <w:sz w:val="20"/>
              </w:rPr>
              <w:t xml:space="preserve">Наименование субъекта Российской Федерации</w:t>
            </w:r>
          </w:p>
        </w:tc>
        <w:tc>
          <w:tcPr>
            <w:gridSpan w:val="3"/>
            <w:tcW w:w="6070" w:type="dxa"/>
          </w:tcPr>
          <w:p>
            <w:pPr>
              <w:pStyle w:val="0"/>
              <w:jc w:val="center"/>
            </w:pPr>
            <w:r>
              <w:rPr>
                <w:sz w:val="20"/>
              </w:rPr>
              <w:t xml:space="preserve">Коэффициенты изменения стоимости ремонтно-реставрационных работ по элементам прямых затрат от уровня цен 1984 года к уровню цен 2001 года</w:t>
            </w:r>
          </w:p>
        </w:tc>
      </w:tr>
      <w:tr>
        <w:tc>
          <w:tcPr>
            <w:vMerge w:val="continue"/>
          </w:tcPr>
          <w:p/>
        </w:tc>
        <w:tc>
          <w:tcPr>
            <w:tcW w:w="1762" w:type="dxa"/>
          </w:tcPr>
          <w:p>
            <w:pPr>
              <w:pStyle w:val="0"/>
              <w:jc w:val="center"/>
            </w:pPr>
            <w:r>
              <w:rPr>
                <w:sz w:val="20"/>
              </w:rPr>
              <w:t xml:space="preserve">Оплата труда</w:t>
            </w:r>
          </w:p>
        </w:tc>
        <w:tc>
          <w:tcPr>
            <w:tcW w:w="2494" w:type="dxa"/>
          </w:tcPr>
          <w:p>
            <w:pPr>
              <w:pStyle w:val="0"/>
              <w:jc w:val="center"/>
            </w:pPr>
            <w:r>
              <w:rPr>
                <w:sz w:val="20"/>
              </w:rPr>
              <w:t xml:space="preserve">Эксплуатация машин и механизмов</w:t>
            </w:r>
          </w:p>
        </w:tc>
        <w:tc>
          <w:tcPr>
            <w:tcW w:w="1814" w:type="dxa"/>
          </w:tcPr>
          <w:p>
            <w:pPr>
              <w:pStyle w:val="0"/>
              <w:jc w:val="center"/>
            </w:pPr>
            <w:r>
              <w:rPr>
                <w:sz w:val="20"/>
              </w:rPr>
              <w:t xml:space="preserve">Материальные ресурсы</w:t>
            </w:r>
          </w:p>
        </w:tc>
      </w:tr>
      <w:tr>
        <w:tc>
          <w:tcPr>
            <w:tcW w:w="2948" w:type="dxa"/>
          </w:tcPr>
          <w:p>
            <w:pPr>
              <w:pStyle w:val="0"/>
              <w:jc w:val="center"/>
            </w:pPr>
            <w:r>
              <w:rPr>
                <w:sz w:val="20"/>
              </w:rPr>
              <w:t xml:space="preserve">1</w:t>
            </w:r>
          </w:p>
        </w:tc>
        <w:tc>
          <w:tcPr>
            <w:tcW w:w="1762" w:type="dxa"/>
          </w:tcPr>
          <w:p>
            <w:pPr>
              <w:pStyle w:val="0"/>
              <w:jc w:val="center"/>
            </w:pPr>
            <w:r>
              <w:rPr>
                <w:sz w:val="20"/>
              </w:rPr>
              <w:t xml:space="preserve">2</w:t>
            </w:r>
          </w:p>
        </w:tc>
        <w:tc>
          <w:tcPr>
            <w:tcW w:w="2494" w:type="dxa"/>
          </w:tcPr>
          <w:p>
            <w:pPr>
              <w:pStyle w:val="0"/>
              <w:jc w:val="center"/>
            </w:pPr>
            <w:r>
              <w:rPr>
                <w:sz w:val="20"/>
              </w:rPr>
              <w:t xml:space="preserve">3</w:t>
            </w:r>
          </w:p>
        </w:tc>
        <w:tc>
          <w:tcPr>
            <w:tcW w:w="1814" w:type="dxa"/>
          </w:tcPr>
          <w:p>
            <w:pPr>
              <w:pStyle w:val="0"/>
              <w:jc w:val="center"/>
            </w:pPr>
            <w:r>
              <w:rPr>
                <w:sz w:val="20"/>
              </w:rPr>
              <w:t xml:space="preserve">4</w:t>
            </w:r>
          </w:p>
        </w:tc>
      </w:tr>
      <w:tr>
        <w:tc>
          <w:tcPr>
            <w:tcW w:w="2948" w:type="dxa"/>
          </w:tcPr>
          <w:p>
            <w:pPr>
              <w:pStyle w:val="0"/>
              <w:jc w:val="center"/>
            </w:pPr>
            <w:r>
              <w:rPr>
                <w:sz w:val="20"/>
              </w:rPr>
              <w:t xml:space="preserve">Московская область</w:t>
            </w:r>
          </w:p>
        </w:tc>
        <w:tc>
          <w:tcPr>
            <w:tcW w:w="1762" w:type="dxa"/>
          </w:tcPr>
          <w:p>
            <w:pPr>
              <w:pStyle w:val="0"/>
              <w:jc w:val="center"/>
            </w:pPr>
            <w:r>
              <w:rPr>
                <w:sz w:val="20"/>
              </w:rPr>
              <w:t xml:space="preserve">15,39</w:t>
            </w:r>
          </w:p>
        </w:tc>
        <w:tc>
          <w:tcPr>
            <w:tcW w:w="2494" w:type="dxa"/>
          </w:tcPr>
          <w:p>
            <w:pPr>
              <w:pStyle w:val="0"/>
              <w:jc w:val="center"/>
            </w:pPr>
            <w:r>
              <w:rPr>
                <w:sz w:val="20"/>
              </w:rPr>
              <w:t xml:space="preserve">41,32</w:t>
            </w:r>
          </w:p>
        </w:tc>
        <w:tc>
          <w:tcPr>
            <w:tcW w:w="1814" w:type="dxa"/>
          </w:tcPr>
          <w:p>
            <w:pPr>
              <w:pStyle w:val="0"/>
              <w:jc w:val="center"/>
            </w:pPr>
            <w:r>
              <w:rPr>
                <w:sz w:val="20"/>
              </w:rPr>
              <w:t xml:space="preserve">77,64</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9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vAlign w:val="bottom"/>
            <w:tcBorders>
              <w:top w:val="nil"/>
              <w:left w:val="nil"/>
              <w:bottom w:val="nil"/>
              <w:right w:val="nil"/>
            </w:tcBorders>
          </w:tcPr>
          <w:bookmarkStart w:id="827" w:name="P827"/>
          <w:bookmarkEnd w:id="827"/>
          <w:p>
            <w:pPr>
              <w:pStyle w:val="0"/>
              <w:jc w:val="center"/>
            </w:pPr>
            <w:r>
              <w:rPr>
                <w:sz w:val="20"/>
              </w:rPr>
              <w:t xml:space="preserve">Конъюнктурный анализ</w:t>
            </w:r>
          </w:p>
        </w:tc>
      </w:tr>
      <w:tr>
        <w:tc>
          <w:tcPr>
            <w:tcW w:w="9071" w:type="dxa"/>
            <w:tcBorders>
              <w:top w:val="nil"/>
              <w:left w:val="nil"/>
              <w:bottom w:val="single" w:sz="4"/>
              <w:right w:val="nil"/>
            </w:tcBorders>
          </w:tcPr>
          <w:p>
            <w:pPr>
              <w:pStyle w:val="0"/>
            </w:pPr>
            <w:r>
              <w:rPr>
                <w:sz w:val="20"/>
              </w:rPr>
            </w:r>
          </w:p>
        </w:tc>
      </w:tr>
      <w:tr>
        <w:tblPrEx>
          <w:tblBorders>
            <w:insideH w:val="single" w:sz="4"/>
          </w:tblBorders>
        </w:tblPrEx>
        <w:tc>
          <w:tcPr>
            <w:tcW w:w="9071" w:type="dxa"/>
            <w:tcBorders>
              <w:top w:val="single" w:sz="4"/>
              <w:left w:val="nil"/>
              <w:bottom w:val="nil"/>
              <w:right w:val="nil"/>
            </w:tcBorders>
          </w:tcPr>
          <w:p>
            <w:pPr>
              <w:pStyle w:val="0"/>
              <w:jc w:val="center"/>
            </w:pPr>
            <w:r>
              <w:rPr>
                <w:sz w:val="20"/>
              </w:rPr>
              <w:t xml:space="preserve">(наименование объекта строительства)</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1"/>
        <w:gridCol w:w="624"/>
        <w:gridCol w:w="734"/>
        <w:gridCol w:w="888"/>
        <w:gridCol w:w="586"/>
        <w:gridCol w:w="773"/>
        <w:gridCol w:w="931"/>
        <w:gridCol w:w="768"/>
        <w:gridCol w:w="1094"/>
        <w:gridCol w:w="581"/>
        <w:gridCol w:w="576"/>
        <w:gridCol w:w="998"/>
        <w:gridCol w:w="658"/>
        <w:gridCol w:w="576"/>
        <w:gridCol w:w="1560"/>
        <w:gridCol w:w="571"/>
        <w:gridCol w:w="576"/>
        <w:gridCol w:w="653"/>
        <w:gridCol w:w="758"/>
        <w:gridCol w:w="595"/>
      </w:tblGrid>
      <w:tr>
        <w:tc>
          <w:tcPr>
            <w:tcW w:w="461" w:type="dxa"/>
            <w:vMerge w:val="restart"/>
          </w:tcPr>
          <w:p>
            <w:pPr>
              <w:pStyle w:val="0"/>
              <w:jc w:val="center"/>
            </w:pPr>
            <w:r>
              <w:rPr>
                <w:sz w:val="20"/>
              </w:rPr>
              <w:t xml:space="preserve">N п/п</w:t>
            </w:r>
          </w:p>
        </w:tc>
        <w:tc>
          <w:tcPr>
            <w:tcW w:w="624" w:type="dxa"/>
            <w:vMerge w:val="restart"/>
          </w:tcPr>
          <w:p>
            <w:pPr>
              <w:pStyle w:val="0"/>
              <w:jc w:val="center"/>
            </w:pPr>
            <w:r>
              <w:rPr>
                <w:sz w:val="20"/>
              </w:rPr>
              <w:t xml:space="preserve">Код строительного ресурса</w:t>
            </w:r>
          </w:p>
        </w:tc>
        <w:tc>
          <w:tcPr>
            <w:tcW w:w="734" w:type="dxa"/>
            <w:vMerge w:val="restart"/>
          </w:tcPr>
          <w:p>
            <w:pPr>
              <w:pStyle w:val="0"/>
              <w:jc w:val="center"/>
            </w:pPr>
            <w:r>
              <w:rPr>
                <w:sz w:val="20"/>
              </w:rPr>
              <w:t xml:space="preserve">Наименование строительного ресурса, затрат</w:t>
            </w:r>
          </w:p>
        </w:tc>
        <w:tc>
          <w:tcPr>
            <w:tcW w:w="888" w:type="dxa"/>
            <w:vMerge w:val="restart"/>
          </w:tcPr>
          <w:p>
            <w:pPr>
              <w:pStyle w:val="0"/>
              <w:jc w:val="center"/>
            </w:pPr>
            <w:r>
              <w:rPr>
                <w:sz w:val="20"/>
              </w:rPr>
              <w:t xml:space="preserve">Полное наименование строительного ресурса, затрат в обосновывающем документе</w:t>
            </w:r>
          </w:p>
        </w:tc>
        <w:tc>
          <w:tcPr>
            <w:tcW w:w="586" w:type="dxa"/>
            <w:vMerge w:val="restart"/>
          </w:tcPr>
          <w:p>
            <w:pPr>
              <w:pStyle w:val="0"/>
              <w:jc w:val="center"/>
            </w:pPr>
            <w:r>
              <w:rPr>
                <w:sz w:val="20"/>
              </w:rPr>
              <w:t xml:space="preserve">Ед. изм.</w:t>
            </w:r>
          </w:p>
        </w:tc>
        <w:tc>
          <w:tcPr>
            <w:tcW w:w="773" w:type="dxa"/>
            <w:vMerge w:val="restart"/>
          </w:tcPr>
          <w:p>
            <w:pPr>
              <w:pStyle w:val="0"/>
              <w:jc w:val="center"/>
            </w:pPr>
            <w:r>
              <w:rPr>
                <w:sz w:val="20"/>
              </w:rPr>
              <w:t xml:space="preserve">Ед. изм. строительного ресурса, затрат в обосновывающем документе</w:t>
            </w:r>
          </w:p>
        </w:tc>
        <w:tc>
          <w:tcPr>
            <w:tcW w:w="931" w:type="dxa"/>
            <w:vMerge w:val="restart"/>
          </w:tcPr>
          <w:p>
            <w:pPr>
              <w:pStyle w:val="0"/>
              <w:jc w:val="center"/>
            </w:pPr>
            <w:r>
              <w:rPr>
                <w:sz w:val="20"/>
              </w:rPr>
              <w:t xml:space="preserve">Текущая отпускная цена за ед. изм. в обосновывающем документе с НДС в руб.</w:t>
            </w:r>
          </w:p>
        </w:tc>
        <w:tc>
          <w:tcPr>
            <w:tcW w:w="768" w:type="dxa"/>
            <w:vMerge w:val="restart"/>
          </w:tcPr>
          <w:p>
            <w:pPr>
              <w:pStyle w:val="0"/>
              <w:jc w:val="center"/>
            </w:pPr>
            <w:r>
              <w:rPr>
                <w:sz w:val="20"/>
              </w:rPr>
              <w:t xml:space="preserve">Текущая отпускная цена за ед. изм. без НДС в руб. в соответствии с графой 5</w:t>
            </w:r>
          </w:p>
        </w:tc>
        <w:tc>
          <w:tcPr>
            <w:tcW w:w="1094" w:type="dxa"/>
            <w:vMerge w:val="restart"/>
          </w:tcPr>
          <w:p>
            <w:pPr>
              <w:pStyle w:val="0"/>
              <w:jc w:val="center"/>
            </w:pPr>
            <w:r>
              <w:rPr>
                <w:sz w:val="20"/>
              </w:rPr>
              <w:t xml:space="preserve">Стоимость перевозки без НДС в руб. за ед. изм.</w:t>
            </w:r>
          </w:p>
        </w:tc>
        <w:tc>
          <w:tcPr>
            <w:gridSpan w:val="2"/>
            <w:tcW w:w="1157" w:type="dxa"/>
          </w:tcPr>
          <w:p>
            <w:pPr>
              <w:pStyle w:val="0"/>
              <w:jc w:val="center"/>
            </w:pPr>
            <w:r>
              <w:rPr>
                <w:sz w:val="20"/>
              </w:rPr>
              <w:t xml:space="preserve">Заготовительно-складские расходы</w:t>
            </w:r>
          </w:p>
        </w:tc>
        <w:tc>
          <w:tcPr>
            <w:tcW w:w="998" w:type="dxa"/>
            <w:vMerge w:val="restart"/>
          </w:tcPr>
          <w:p>
            <w:pPr>
              <w:pStyle w:val="0"/>
              <w:jc w:val="center"/>
            </w:pPr>
            <w:r>
              <w:rPr>
                <w:sz w:val="20"/>
              </w:rPr>
              <w:t xml:space="preserve">Сметная цена без НДС в руб. за ед. изм.</w:t>
            </w:r>
          </w:p>
        </w:tc>
        <w:tc>
          <w:tcPr>
            <w:tcW w:w="658" w:type="dxa"/>
            <w:vMerge w:val="restart"/>
          </w:tcPr>
          <w:p>
            <w:pPr>
              <w:pStyle w:val="0"/>
              <w:jc w:val="center"/>
            </w:pPr>
            <w:r>
              <w:rPr>
                <w:sz w:val="20"/>
              </w:rPr>
              <w:t xml:space="preserve">Год</w:t>
            </w:r>
          </w:p>
        </w:tc>
        <w:tc>
          <w:tcPr>
            <w:tcW w:w="576" w:type="dxa"/>
            <w:vMerge w:val="restart"/>
          </w:tcPr>
          <w:p>
            <w:pPr>
              <w:pStyle w:val="0"/>
              <w:jc w:val="center"/>
            </w:pPr>
            <w:r>
              <w:rPr>
                <w:sz w:val="20"/>
              </w:rPr>
              <w:t xml:space="preserve">Квартал</w:t>
            </w:r>
          </w:p>
        </w:tc>
        <w:tc>
          <w:tcPr>
            <w:tcW w:w="1560" w:type="dxa"/>
            <w:vMerge w:val="restart"/>
          </w:tcPr>
          <w:p>
            <w:pPr>
              <w:pStyle w:val="0"/>
              <w:jc w:val="center"/>
            </w:pPr>
            <w:r>
              <w:rPr>
                <w:sz w:val="20"/>
              </w:rPr>
              <w:t xml:space="preserve">Наименование производителя/поставщика</w:t>
            </w:r>
          </w:p>
        </w:tc>
        <w:tc>
          <w:tcPr>
            <w:tcW w:w="571" w:type="dxa"/>
            <w:vMerge w:val="restart"/>
          </w:tcPr>
          <w:p>
            <w:pPr>
              <w:pStyle w:val="0"/>
              <w:jc w:val="center"/>
            </w:pPr>
            <w:r>
              <w:rPr>
                <w:sz w:val="20"/>
              </w:rPr>
              <w:t xml:space="preserve">КПП организации</w:t>
            </w:r>
          </w:p>
        </w:tc>
        <w:tc>
          <w:tcPr>
            <w:tcW w:w="576" w:type="dxa"/>
            <w:vMerge w:val="restart"/>
          </w:tcPr>
          <w:p>
            <w:pPr>
              <w:pStyle w:val="0"/>
              <w:jc w:val="center"/>
            </w:pPr>
            <w:r>
              <w:rPr>
                <w:sz w:val="20"/>
              </w:rPr>
              <w:t xml:space="preserve">ИНН организации</w:t>
            </w:r>
          </w:p>
        </w:tc>
        <w:tc>
          <w:tcPr>
            <w:tcW w:w="653" w:type="dxa"/>
            <w:vMerge w:val="restart"/>
          </w:tcPr>
          <w:p>
            <w:pPr>
              <w:pStyle w:val="0"/>
              <w:jc w:val="center"/>
            </w:pPr>
            <w:r>
              <w:rPr>
                <w:sz w:val="20"/>
              </w:rPr>
              <w:t xml:space="preserve">Гиперссылка на веб-сайт производителя/поставщика</w:t>
            </w:r>
          </w:p>
        </w:tc>
        <w:tc>
          <w:tcPr>
            <w:tcW w:w="758" w:type="dxa"/>
            <w:vMerge w:val="restart"/>
          </w:tcPr>
          <w:p>
            <w:pPr>
              <w:pStyle w:val="0"/>
              <w:jc w:val="center"/>
            </w:pPr>
            <w:r>
              <w:rPr>
                <w:sz w:val="20"/>
              </w:rPr>
              <w:t xml:space="preserve">Населенный пункт расположения склада производителя/поставщика</w:t>
            </w:r>
          </w:p>
        </w:tc>
        <w:tc>
          <w:tcPr>
            <w:tcW w:w="595" w:type="dxa"/>
            <w:vMerge w:val="restart"/>
          </w:tcPr>
          <w:p>
            <w:pPr>
              <w:pStyle w:val="0"/>
              <w:jc w:val="center"/>
            </w:pPr>
            <w:r>
              <w:rPr>
                <w:sz w:val="20"/>
              </w:rPr>
              <w:t xml:space="preserve">Статус организации (производитель (1)/поставщик (2)</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81" w:type="dxa"/>
          </w:tcPr>
          <w:p>
            <w:pPr>
              <w:pStyle w:val="0"/>
              <w:jc w:val="center"/>
            </w:pPr>
            <w:r>
              <w:rPr>
                <w:sz w:val="20"/>
              </w:rPr>
              <w:t xml:space="preserve">%</w:t>
            </w:r>
          </w:p>
        </w:tc>
        <w:tc>
          <w:tcPr>
            <w:tcW w:w="576" w:type="dxa"/>
          </w:tcPr>
          <w:p>
            <w:pPr>
              <w:pStyle w:val="0"/>
              <w:jc w:val="center"/>
            </w:pPr>
            <w:r>
              <w:rPr>
                <w:sz w:val="20"/>
              </w:rPr>
              <w:t xml:space="preserve">руб.</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461" w:type="dxa"/>
          </w:tcPr>
          <w:bookmarkStart w:id="852" w:name="P852"/>
          <w:bookmarkEnd w:id="852"/>
          <w:p>
            <w:pPr>
              <w:pStyle w:val="0"/>
              <w:jc w:val="center"/>
            </w:pPr>
            <w:r>
              <w:rPr>
                <w:sz w:val="20"/>
              </w:rPr>
              <w:t xml:space="preserve">1</w:t>
            </w:r>
          </w:p>
        </w:tc>
        <w:tc>
          <w:tcPr>
            <w:tcW w:w="624" w:type="dxa"/>
          </w:tcPr>
          <w:bookmarkStart w:id="853" w:name="P853"/>
          <w:bookmarkEnd w:id="853"/>
          <w:p>
            <w:pPr>
              <w:pStyle w:val="0"/>
              <w:jc w:val="center"/>
            </w:pPr>
            <w:r>
              <w:rPr>
                <w:sz w:val="20"/>
              </w:rPr>
              <w:t xml:space="preserve">2</w:t>
            </w:r>
          </w:p>
        </w:tc>
        <w:tc>
          <w:tcPr>
            <w:tcW w:w="734" w:type="dxa"/>
          </w:tcPr>
          <w:p>
            <w:pPr>
              <w:pStyle w:val="0"/>
              <w:jc w:val="center"/>
            </w:pPr>
            <w:r>
              <w:rPr>
                <w:sz w:val="20"/>
              </w:rPr>
              <w:t xml:space="preserve">3</w:t>
            </w:r>
          </w:p>
        </w:tc>
        <w:tc>
          <w:tcPr>
            <w:tcW w:w="888" w:type="dxa"/>
          </w:tcPr>
          <w:bookmarkStart w:id="855" w:name="P855"/>
          <w:bookmarkEnd w:id="855"/>
          <w:p>
            <w:pPr>
              <w:pStyle w:val="0"/>
              <w:jc w:val="center"/>
            </w:pPr>
            <w:r>
              <w:rPr>
                <w:sz w:val="20"/>
              </w:rPr>
              <w:t xml:space="preserve">4</w:t>
            </w:r>
          </w:p>
        </w:tc>
        <w:tc>
          <w:tcPr>
            <w:tcW w:w="586" w:type="dxa"/>
          </w:tcPr>
          <w:p>
            <w:pPr>
              <w:pStyle w:val="0"/>
              <w:jc w:val="center"/>
            </w:pPr>
            <w:r>
              <w:rPr>
                <w:sz w:val="20"/>
              </w:rPr>
              <w:t xml:space="preserve">5</w:t>
            </w:r>
          </w:p>
        </w:tc>
        <w:tc>
          <w:tcPr>
            <w:tcW w:w="773" w:type="dxa"/>
          </w:tcPr>
          <w:p>
            <w:pPr>
              <w:pStyle w:val="0"/>
              <w:jc w:val="center"/>
            </w:pPr>
            <w:r>
              <w:rPr>
                <w:sz w:val="20"/>
              </w:rPr>
              <w:t xml:space="preserve">6</w:t>
            </w:r>
          </w:p>
        </w:tc>
        <w:tc>
          <w:tcPr>
            <w:tcW w:w="931" w:type="dxa"/>
          </w:tcPr>
          <w:p>
            <w:pPr>
              <w:pStyle w:val="0"/>
              <w:jc w:val="center"/>
            </w:pPr>
            <w:r>
              <w:rPr>
                <w:sz w:val="20"/>
              </w:rPr>
              <w:t xml:space="preserve">7</w:t>
            </w:r>
          </w:p>
        </w:tc>
        <w:tc>
          <w:tcPr>
            <w:tcW w:w="768" w:type="dxa"/>
          </w:tcPr>
          <w:p>
            <w:pPr>
              <w:pStyle w:val="0"/>
              <w:jc w:val="center"/>
            </w:pPr>
            <w:r>
              <w:rPr>
                <w:sz w:val="20"/>
              </w:rPr>
              <w:t xml:space="preserve">8</w:t>
            </w:r>
          </w:p>
        </w:tc>
        <w:tc>
          <w:tcPr>
            <w:tcW w:w="1094" w:type="dxa"/>
          </w:tcPr>
          <w:bookmarkStart w:id="860" w:name="P860"/>
          <w:bookmarkEnd w:id="860"/>
          <w:p>
            <w:pPr>
              <w:pStyle w:val="0"/>
              <w:jc w:val="center"/>
            </w:pPr>
            <w:r>
              <w:rPr>
                <w:sz w:val="20"/>
              </w:rPr>
              <w:t xml:space="preserve">9</w:t>
            </w:r>
          </w:p>
        </w:tc>
        <w:tc>
          <w:tcPr>
            <w:tcW w:w="581" w:type="dxa"/>
          </w:tcPr>
          <w:p>
            <w:pPr>
              <w:pStyle w:val="0"/>
              <w:jc w:val="center"/>
            </w:pPr>
            <w:r>
              <w:rPr>
                <w:sz w:val="20"/>
              </w:rPr>
              <w:t xml:space="preserve">10</w:t>
            </w:r>
          </w:p>
        </w:tc>
        <w:tc>
          <w:tcPr>
            <w:tcW w:w="576" w:type="dxa"/>
          </w:tcPr>
          <w:bookmarkStart w:id="862" w:name="P862"/>
          <w:bookmarkEnd w:id="862"/>
          <w:p>
            <w:pPr>
              <w:pStyle w:val="0"/>
              <w:jc w:val="center"/>
            </w:pPr>
            <w:r>
              <w:rPr>
                <w:sz w:val="20"/>
              </w:rPr>
              <w:t xml:space="preserve">11</w:t>
            </w:r>
          </w:p>
        </w:tc>
        <w:tc>
          <w:tcPr>
            <w:tcW w:w="998" w:type="dxa"/>
          </w:tcPr>
          <w:p>
            <w:pPr>
              <w:pStyle w:val="0"/>
              <w:jc w:val="center"/>
            </w:pPr>
            <w:r>
              <w:rPr>
                <w:sz w:val="20"/>
              </w:rPr>
              <w:t xml:space="preserve">12</w:t>
            </w:r>
          </w:p>
        </w:tc>
        <w:tc>
          <w:tcPr>
            <w:tcW w:w="658" w:type="dxa"/>
          </w:tcPr>
          <w:p>
            <w:pPr>
              <w:pStyle w:val="0"/>
              <w:jc w:val="center"/>
            </w:pPr>
            <w:r>
              <w:rPr>
                <w:sz w:val="20"/>
              </w:rPr>
              <w:t xml:space="preserve">13</w:t>
            </w:r>
          </w:p>
        </w:tc>
        <w:tc>
          <w:tcPr>
            <w:tcW w:w="576" w:type="dxa"/>
          </w:tcPr>
          <w:p>
            <w:pPr>
              <w:pStyle w:val="0"/>
              <w:jc w:val="center"/>
            </w:pPr>
            <w:r>
              <w:rPr>
                <w:sz w:val="20"/>
              </w:rPr>
              <w:t xml:space="preserve">14</w:t>
            </w:r>
          </w:p>
        </w:tc>
        <w:tc>
          <w:tcPr>
            <w:tcW w:w="1560" w:type="dxa"/>
          </w:tcPr>
          <w:p>
            <w:pPr>
              <w:pStyle w:val="0"/>
              <w:jc w:val="center"/>
            </w:pPr>
            <w:r>
              <w:rPr>
                <w:sz w:val="20"/>
              </w:rPr>
              <w:t xml:space="preserve">15</w:t>
            </w:r>
          </w:p>
        </w:tc>
        <w:tc>
          <w:tcPr>
            <w:tcW w:w="571" w:type="dxa"/>
          </w:tcPr>
          <w:bookmarkStart w:id="867" w:name="P867"/>
          <w:bookmarkEnd w:id="867"/>
          <w:p>
            <w:pPr>
              <w:pStyle w:val="0"/>
              <w:jc w:val="center"/>
            </w:pPr>
            <w:r>
              <w:rPr>
                <w:sz w:val="20"/>
              </w:rPr>
              <w:t xml:space="preserve">16</w:t>
            </w:r>
          </w:p>
        </w:tc>
        <w:tc>
          <w:tcPr>
            <w:tcW w:w="576" w:type="dxa"/>
          </w:tcPr>
          <w:p>
            <w:pPr>
              <w:pStyle w:val="0"/>
              <w:jc w:val="center"/>
            </w:pPr>
            <w:r>
              <w:rPr>
                <w:sz w:val="20"/>
              </w:rPr>
              <w:t xml:space="preserve">17</w:t>
            </w:r>
          </w:p>
        </w:tc>
        <w:tc>
          <w:tcPr>
            <w:tcW w:w="653" w:type="dxa"/>
          </w:tcPr>
          <w:bookmarkStart w:id="869" w:name="P869"/>
          <w:bookmarkEnd w:id="869"/>
          <w:p>
            <w:pPr>
              <w:pStyle w:val="0"/>
              <w:jc w:val="center"/>
            </w:pPr>
            <w:r>
              <w:rPr>
                <w:sz w:val="20"/>
              </w:rPr>
              <w:t xml:space="preserve">18</w:t>
            </w:r>
          </w:p>
        </w:tc>
        <w:tc>
          <w:tcPr>
            <w:tcW w:w="758" w:type="dxa"/>
          </w:tcPr>
          <w:p>
            <w:pPr>
              <w:pStyle w:val="0"/>
              <w:jc w:val="center"/>
            </w:pPr>
            <w:r>
              <w:rPr>
                <w:sz w:val="20"/>
              </w:rPr>
              <w:t xml:space="preserve">19</w:t>
            </w:r>
          </w:p>
        </w:tc>
        <w:tc>
          <w:tcPr>
            <w:tcW w:w="595" w:type="dxa"/>
          </w:tcPr>
          <w:bookmarkStart w:id="871" w:name="P871"/>
          <w:bookmarkEnd w:id="871"/>
          <w:p>
            <w:pPr>
              <w:pStyle w:val="0"/>
              <w:jc w:val="center"/>
            </w:pPr>
            <w:r>
              <w:rPr>
                <w:sz w:val="20"/>
              </w:rPr>
              <w:t xml:space="preserve">20</w:t>
            </w:r>
          </w:p>
        </w:tc>
      </w:tr>
      <w:tr>
        <w:tc>
          <w:tcPr>
            <w:tcW w:w="461" w:type="dxa"/>
          </w:tcPr>
          <w:p>
            <w:pPr>
              <w:pStyle w:val="0"/>
            </w:pPr>
            <w:r>
              <w:rPr>
                <w:sz w:val="20"/>
              </w:rPr>
            </w:r>
          </w:p>
        </w:tc>
        <w:tc>
          <w:tcPr>
            <w:tcW w:w="624" w:type="dxa"/>
          </w:tcPr>
          <w:p>
            <w:pPr>
              <w:pStyle w:val="0"/>
            </w:pPr>
            <w:r>
              <w:rPr>
                <w:sz w:val="20"/>
              </w:rPr>
            </w:r>
          </w:p>
        </w:tc>
        <w:tc>
          <w:tcPr>
            <w:tcW w:w="734" w:type="dxa"/>
          </w:tcPr>
          <w:p>
            <w:pPr>
              <w:pStyle w:val="0"/>
            </w:pPr>
            <w:r>
              <w:rPr>
                <w:sz w:val="20"/>
              </w:rPr>
            </w:r>
          </w:p>
        </w:tc>
        <w:tc>
          <w:tcPr>
            <w:tcW w:w="888" w:type="dxa"/>
          </w:tcPr>
          <w:p>
            <w:pPr>
              <w:pStyle w:val="0"/>
            </w:pPr>
            <w:r>
              <w:rPr>
                <w:sz w:val="20"/>
              </w:rPr>
            </w:r>
          </w:p>
        </w:tc>
        <w:tc>
          <w:tcPr>
            <w:tcW w:w="586" w:type="dxa"/>
          </w:tcPr>
          <w:p>
            <w:pPr>
              <w:pStyle w:val="0"/>
            </w:pPr>
            <w:r>
              <w:rPr>
                <w:sz w:val="20"/>
              </w:rPr>
            </w:r>
          </w:p>
        </w:tc>
        <w:tc>
          <w:tcPr>
            <w:tcW w:w="773" w:type="dxa"/>
          </w:tcPr>
          <w:p>
            <w:pPr>
              <w:pStyle w:val="0"/>
            </w:pPr>
            <w:r>
              <w:rPr>
                <w:sz w:val="20"/>
              </w:rPr>
            </w:r>
          </w:p>
        </w:tc>
        <w:tc>
          <w:tcPr>
            <w:tcW w:w="931" w:type="dxa"/>
          </w:tcPr>
          <w:p>
            <w:pPr>
              <w:pStyle w:val="0"/>
            </w:pPr>
            <w:r>
              <w:rPr>
                <w:sz w:val="20"/>
              </w:rPr>
            </w:r>
          </w:p>
        </w:tc>
        <w:tc>
          <w:tcPr>
            <w:tcW w:w="768" w:type="dxa"/>
          </w:tcPr>
          <w:p>
            <w:pPr>
              <w:pStyle w:val="0"/>
            </w:pPr>
            <w:r>
              <w:rPr>
                <w:sz w:val="20"/>
              </w:rPr>
            </w:r>
          </w:p>
        </w:tc>
        <w:tc>
          <w:tcPr>
            <w:tcW w:w="1094" w:type="dxa"/>
          </w:tcPr>
          <w:p>
            <w:pPr>
              <w:pStyle w:val="0"/>
            </w:pPr>
            <w:r>
              <w:rPr>
                <w:sz w:val="20"/>
              </w:rPr>
            </w:r>
          </w:p>
        </w:tc>
        <w:tc>
          <w:tcPr>
            <w:tcW w:w="581" w:type="dxa"/>
          </w:tcPr>
          <w:p>
            <w:pPr>
              <w:pStyle w:val="0"/>
            </w:pPr>
            <w:r>
              <w:rPr>
                <w:sz w:val="20"/>
              </w:rPr>
            </w:r>
          </w:p>
        </w:tc>
        <w:tc>
          <w:tcPr>
            <w:tcW w:w="576" w:type="dxa"/>
          </w:tcPr>
          <w:p>
            <w:pPr>
              <w:pStyle w:val="0"/>
            </w:pPr>
            <w:r>
              <w:rPr>
                <w:sz w:val="20"/>
              </w:rPr>
            </w:r>
          </w:p>
        </w:tc>
        <w:tc>
          <w:tcPr>
            <w:tcW w:w="998" w:type="dxa"/>
          </w:tcPr>
          <w:p>
            <w:pPr>
              <w:pStyle w:val="0"/>
            </w:pPr>
            <w:r>
              <w:rPr>
                <w:sz w:val="20"/>
              </w:rPr>
            </w:r>
          </w:p>
        </w:tc>
        <w:tc>
          <w:tcPr>
            <w:tcW w:w="658" w:type="dxa"/>
          </w:tcPr>
          <w:p>
            <w:pPr>
              <w:pStyle w:val="0"/>
            </w:pPr>
            <w:r>
              <w:rPr>
                <w:sz w:val="20"/>
              </w:rPr>
            </w:r>
          </w:p>
        </w:tc>
        <w:tc>
          <w:tcPr>
            <w:tcW w:w="576" w:type="dxa"/>
          </w:tcPr>
          <w:p>
            <w:pPr>
              <w:pStyle w:val="0"/>
            </w:pPr>
            <w:r>
              <w:rPr>
                <w:sz w:val="20"/>
              </w:rPr>
            </w:r>
          </w:p>
        </w:tc>
        <w:tc>
          <w:tcPr>
            <w:tcW w:w="1560" w:type="dxa"/>
          </w:tcPr>
          <w:p>
            <w:pPr>
              <w:pStyle w:val="0"/>
            </w:pPr>
            <w:r>
              <w:rPr>
                <w:sz w:val="20"/>
              </w:rPr>
              <w:t xml:space="preserve">Поставщик 1</w:t>
            </w:r>
          </w:p>
        </w:tc>
        <w:tc>
          <w:tcPr>
            <w:tcW w:w="571" w:type="dxa"/>
          </w:tcPr>
          <w:p>
            <w:pPr>
              <w:pStyle w:val="0"/>
            </w:pPr>
            <w:r>
              <w:rPr>
                <w:sz w:val="20"/>
              </w:rPr>
            </w:r>
          </w:p>
        </w:tc>
        <w:tc>
          <w:tcPr>
            <w:tcW w:w="576" w:type="dxa"/>
          </w:tcPr>
          <w:p>
            <w:pPr>
              <w:pStyle w:val="0"/>
            </w:pPr>
            <w:r>
              <w:rPr>
                <w:sz w:val="20"/>
              </w:rPr>
            </w:r>
          </w:p>
        </w:tc>
        <w:tc>
          <w:tcPr>
            <w:tcW w:w="653" w:type="dxa"/>
          </w:tcPr>
          <w:p>
            <w:pPr>
              <w:pStyle w:val="0"/>
            </w:pPr>
            <w:r>
              <w:rPr>
                <w:sz w:val="20"/>
              </w:rPr>
            </w:r>
          </w:p>
        </w:tc>
        <w:tc>
          <w:tcPr>
            <w:tcW w:w="758" w:type="dxa"/>
          </w:tcPr>
          <w:p>
            <w:pPr>
              <w:pStyle w:val="0"/>
            </w:pPr>
            <w:r>
              <w:rPr>
                <w:sz w:val="20"/>
              </w:rPr>
            </w:r>
          </w:p>
        </w:tc>
        <w:tc>
          <w:tcPr>
            <w:tcW w:w="595" w:type="dxa"/>
          </w:tcPr>
          <w:p>
            <w:pPr>
              <w:pStyle w:val="0"/>
            </w:pPr>
            <w:r>
              <w:rPr>
                <w:sz w:val="20"/>
              </w:rPr>
            </w:r>
          </w:p>
        </w:tc>
      </w:tr>
      <w:tr>
        <w:tc>
          <w:tcPr>
            <w:tcW w:w="461" w:type="dxa"/>
          </w:tcPr>
          <w:p>
            <w:pPr>
              <w:pStyle w:val="0"/>
            </w:pPr>
            <w:r>
              <w:rPr>
                <w:sz w:val="20"/>
              </w:rPr>
            </w:r>
          </w:p>
        </w:tc>
        <w:tc>
          <w:tcPr>
            <w:tcW w:w="624" w:type="dxa"/>
          </w:tcPr>
          <w:p>
            <w:pPr>
              <w:pStyle w:val="0"/>
            </w:pPr>
            <w:r>
              <w:rPr>
                <w:sz w:val="20"/>
              </w:rPr>
            </w:r>
          </w:p>
        </w:tc>
        <w:tc>
          <w:tcPr>
            <w:tcW w:w="734" w:type="dxa"/>
          </w:tcPr>
          <w:p>
            <w:pPr>
              <w:pStyle w:val="0"/>
            </w:pPr>
            <w:r>
              <w:rPr>
                <w:sz w:val="20"/>
              </w:rPr>
            </w:r>
          </w:p>
        </w:tc>
        <w:tc>
          <w:tcPr>
            <w:tcW w:w="888" w:type="dxa"/>
          </w:tcPr>
          <w:p>
            <w:pPr>
              <w:pStyle w:val="0"/>
            </w:pPr>
            <w:r>
              <w:rPr>
                <w:sz w:val="20"/>
              </w:rPr>
            </w:r>
          </w:p>
        </w:tc>
        <w:tc>
          <w:tcPr>
            <w:tcW w:w="586" w:type="dxa"/>
          </w:tcPr>
          <w:p>
            <w:pPr>
              <w:pStyle w:val="0"/>
            </w:pPr>
            <w:r>
              <w:rPr>
                <w:sz w:val="20"/>
              </w:rPr>
            </w:r>
          </w:p>
        </w:tc>
        <w:tc>
          <w:tcPr>
            <w:tcW w:w="773" w:type="dxa"/>
          </w:tcPr>
          <w:p>
            <w:pPr>
              <w:pStyle w:val="0"/>
            </w:pPr>
            <w:r>
              <w:rPr>
                <w:sz w:val="20"/>
              </w:rPr>
            </w:r>
          </w:p>
        </w:tc>
        <w:tc>
          <w:tcPr>
            <w:tcW w:w="931" w:type="dxa"/>
          </w:tcPr>
          <w:p>
            <w:pPr>
              <w:pStyle w:val="0"/>
            </w:pPr>
            <w:r>
              <w:rPr>
                <w:sz w:val="20"/>
              </w:rPr>
            </w:r>
          </w:p>
        </w:tc>
        <w:tc>
          <w:tcPr>
            <w:tcW w:w="768" w:type="dxa"/>
          </w:tcPr>
          <w:p>
            <w:pPr>
              <w:pStyle w:val="0"/>
            </w:pPr>
            <w:r>
              <w:rPr>
                <w:sz w:val="20"/>
              </w:rPr>
            </w:r>
          </w:p>
        </w:tc>
        <w:tc>
          <w:tcPr>
            <w:tcW w:w="1094" w:type="dxa"/>
          </w:tcPr>
          <w:p>
            <w:pPr>
              <w:pStyle w:val="0"/>
            </w:pPr>
            <w:r>
              <w:rPr>
                <w:sz w:val="20"/>
              </w:rPr>
            </w:r>
          </w:p>
        </w:tc>
        <w:tc>
          <w:tcPr>
            <w:tcW w:w="581" w:type="dxa"/>
          </w:tcPr>
          <w:p>
            <w:pPr>
              <w:pStyle w:val="0"/>
            </w:pPr>
            <w:r>
              <w:rPr>
                <w:sz w:val="20"/>
              </w:rPr>
            </w:r>
          </w:p>
        </w:tc>
        <w:tc>
          <w:tcPr>
            <w:tcW w:w="576" w:type="dxa"/>
          </w:tcPr>
          <w:p>
            <w:pPr>
              <w:pStyle w:val="0"/>
            </w:pPr>
            <w:r>
              <w:rPr>
                <w:sz w:val="20"/>
              </w:rPr>
            </w:r>
          </w:p>
        </w:tc>
        <w:tc>
          <w:tcPr>
            <w:tcW w:w="998" w:type="dxa"/>
          </w:tcPr>
          <w:p>
            <w:pPr>
              <w:pStyle w:val="0"/>
            </w:pPr>
            <w:r>
              <w:rPr>
                <w:sz w:val="20"/>
              </w:rPr>
            </w:r>
          </w:p>
        </w:tc>
        <w:tc>
          <w:tcPr>
            <w:tcW w:w="658" w:type="dxa"/>
          </w:tcPr>
          <w:p>
            <w:pPr>
              <w:pStyle w:val="0"/>
            </w:pPr>
            <w:r>
              <w:rPr>
                <w:sz w:val="20"/>
              </w:rPr>
            </w:r>
          </w:p>
        </w:tc>
        <w:tc>
          <w:tcPr>
            <w:tcW w:w="576" w:type="dxa"/>
          </w:tcPr>
          <w:p>
            <w:pPr>
              <w:pStyle w:val="0"/>
            </w:pPr>
            <w:r>
              <w:rPr>
                <w:sz w:val="20"/>
              </w:rPr>
            </w:r>
          </w:p>
        </w:tc>
        <w:tc>
          <w:tcPr>
            <w:tcW w:w="1560" w:type="dxa"/>
          </w:tcPr>
          <w:p>
            <w:pPr>
              <w:pStyle w:val="0"/>
            </w:pPr>
            <w:r>
              <w:rPr>
                <w:sz w:val="20"/>
              </w:rPr>
              <w:t xml:space="preserve">Поставщик 2</w:t>
            </w:r>
          </w:p>
        </w:tc>
        <w:tc>
          <w:tcPr>
            <w:tcW w:w="571" w:type="dxa"/>
          </w:tcPr>
          <w:p>
            <w:pPr>
              <w:pStyle w:val="0"/>
            </w:pPr>
            <w:r>
              <w:rPr>
                <w:sz w:val="20"/>
              </w:rPr>
            </w:r>
          </w:p>
        </w:tc>
        <w:tc>
          <w:tcPr>
            <w:tcW w:w="576" w:type="dxa"/>
          </w:tcPr>
          <w:p>
            <w:pPr>
              <w:pStyle w:val="0"/>
            </w:pPr>
            <w:r>
              <w:rPr>
                <w:sz w:val="20"/>
              </w:rPr>
            </w:r>
          </w:p>
        </w:tc>
        <w:tc>
          <w:tcPr>
            <w:tcW w:w="653" w:type="dxa"/>
          </w:tcPr>
          <w:p>
            <w:pPr>
              <w:pStyle w:val="0"/>
            </w:pPr>
            <w:r>
              <w:rPr>
                <w:sz w:val="20"/>
              </w:rPr>
            </w:r>
          </w:p>
        </w:tc>
        <w:tc>
          <w:tcPr>
            <w:tcW w:w="758" w:type="dxa"/>
          </w:tcPr>
          <w:p>
            <w:pPr>
              <w:pStyle w:val="0"/>
            </w:pPr>
            <w:r>
              <w:rPr>
                <w:sz w:val="20"/>
              </w:rPr>
            </w:r>
          </w:p>
        </w:tc>
        <w:tc>
          <w:tcPr>
            <w:tcW w:w="595" w:type="dxa"/>
          </w:tcPr>
          <w:p>
            <w:pPr>
              <w:pStyle w:val="0"/>
            </w:pPr>
            <w:r>
              <w:rPr>
                <w:sz w:val="20"/>
              </w:rPr>
            </w:r>
          </w:p>
        </w:tc>
      </w:tr>
      <w:tr>
        <w:tc>
          <w:tcPr>
            <w:tcW w:w="461" w:type="dxa"/>
          </w:tcPr>
          <w:p>
            <w:pPr>
              <w:pStyle w:val="0"/>
            </w:pPr>
            <w:r>
              <w:rPr>
                <w:sz w:val="20"/>
              </w:rPr>
            </w:r>
          </w:p>
        </w:tc>
        <w:tc>
          <w:tcPr>
            <w:tcW w:w="624" w:type="dxa"/>
          </w:tcPr>
          <w:p>
            <w:pPr>
              <w:pStyle w:val="0"/>
            </w:pPr>
            <w:r>
              <w:rPr>
                <w:sz w:val="20"/>
              </w:rPr>
            </w:r>
          </w:p>
        </w:tc>
        <w:tc>
          <w:tcPr>
            <w:tcW w:w="734" w:type="dxa"/>
          </w:tcPr>
          <w:p>
            <w:pPr>
              <w:pStyle w:val="0"/>
            </w:pPr>
            <w:r>
              <w:rPr>
                <w:sz w:val="20"/>
              </w:rPr>
            </w:r>
          </w:p>
        </w:tc>
        <w:tc>
          <w:tcPr>
            <w:tcW w:w="888" w:type="dxa"/>
          </w:tcPr>
          <w:p>
            <w:pPr>
              <w:pStyle w:val="0"/>
            </w:pPr>
            <w:r>
              <w:rPr>
                <w:sz w:val="20"/>
              </w:rPr>
            </w:r>
          </w:p>
        </w:tc>
        <w:tc>
          <w:tcPr>
            <w:tcW w:w="586" w:type="dxa"/>
          </w:tcPr>
          <w:p>
            <w:pPr>
              <w:pStyle w:val="0"/>
            </w:pPr>
            <w:r>
              <w:rPr>
                <w:sz w:val="20"/>
              </w:rPr>
            </w:r>
          </w:p>
        </w:tc>
        <w:tc>
          <w:tcPr>
            <w:tcW w:w="773" w:type="dxa"/>
          </w:tcPr>
          <w:p>
            <w:pPr>
              <w:pStyle w:val="0"/>
            </w:pPr>
            <w:r>
              <w:rPr>
                <w:sz w:val="20"/>
              </w:rPr>
            </w:r>
          </w:p>
        </w:tc>
        <w:tc>
          <w:tcPr>
            <w:tcW w:w="931" w:type="dxa"/>
          </w:tcPr>
          <w:p>
            <w:pPr>
              <w:pStyle w:val="0"/>
            </w:pPr>
            <w:r>
              <w:rPr>
                <w:sz w:val="20"/>
              </w:rPr>
            </w:r>
          </w:p>
        </w:tc>
        <w:tc>
          <w:tcPr>
            <w:tcW w:w="768" w:type="dxa"/>
          </w:tcPr>
          <w:p>
            <w:pPr>
              <w:pStyle w:val="0"/>
            </w:pPr>
            <w:r>
              <w:rPr>
                <w:sz w:val="20"/>
              </w:rPr>
            </w:r>
          </w:p>
        </w:tc>
        <w:tc>
          <w:tcPr>
            <w:tcW w:w="1094" w:type="dxa"/>
          </w:tcPr>
          <w:p>
            <w:pPr>
              <w:pStyle w:val="0"/>
            </w:pPr>
            <w:r>
              <w:rPr>
                <w:sz w:val="20"/>
              </w:rPr>
            </w:r>
          </w:p>
        </w:tc>
        <w:tc>
          <w:tcPr>
            <w:tcW w:w="581" w:type="dxa"/>
          </w:tcPr>
          <w:p>
            <w:pPr>
              <w:pStyle w:val="0"/>
            </w:pPr>
            <w:r>
              <w:rPr>
                <w:sz w:val="20"/>
              </w:rPr>
            </w:r>
          </w:p>
        </w:tc>
        <w:tc>
          <w:tcPr>
            <w:tcW w:w="576" w:type="dxa"/>
          </w:tcPr>
          <w:p>
            <w:pPr>
              <w:pStyle w:val="0"/>
            </w:pPr>
            <w:r>
              <w:rPr>
                <w:sz w:val="20"/>
              </w:rPr>
            </w:r>
          </w:p>
        </w:tc>
        <w:tc>
          <w:tcPr>
            <w:tcW w:w="998" w:type="dxa"/>
          </w:tcPr>
          <w:p>
            <w:pPr>
              <w:pStyle w:val="0"/>
            </w:pPr>
            <w:r>
              <w:rPr>
                <w:sz w:val="20"/>
              </w:rPr>
            </w:r>
          </w:p>
        </w:tc>
        <w:tc>
          <w:tcPr>
            <w:tcW w:w="658" w:type="dxa"/>
          </w:tcPr>
          <w:p>
            <w:pPr>
              <w:pStyle w:val="0"/>
            </w:pPr>
            <w:r>
              <w:rPr>
                <w:sz w:val="20"/>
              </w:rPr>
            </w:r>
          </w:p>
        </w:tc>
        <w:tc>
          <w:tcPr>
            <w:tcW w:w="576" w:type="dxa"/>
          </w:tcPr>
          <w:p>
            <w:pPr>
              <w:pStyle w:val="0"/>
            </w:pPr>
            <w:r>
              <w:rPr>
                <w:sz w:val="20"/>
              </w:rPr>
            </w:r>
          </w:p>
        </w:tc>
        <w:tc>
          <w:tcPr>
            <w:tcW w:w="1560" w:type="dxa"/>
          </w:tcPr>
          <w:p>
            <w:pPr>
              <w:pStyle w:val="0"/>
            </w:pPr>
            <w:r>
              <w:rPr>
                <w:sz w:val="20"/>
              </w:rPr>
              <w:t xml:space="preserve">Поставщик 3</w:t>
            </w:r>
          </w:p>
        </w:tc>
        <w:tc>
          <w:tcPr>
            <w:tcW w:w="571" w:type="dxa"/>
          </w:tcPr>
          <w:p>
            <w:pPr>
              <w:pStyle w:val="0"/>
            </w:pPr>
            <w:r>
              <w:rPr>
                <w:sz w:val="20"/>
              </w:rPr>
            </w:r>
          </w:p>
        </w:tc>
        <w:tc>
          <w:tcPr>
            <w:tcW w:w="576" w:type="dxa"/>
          </w:tcPr>
          <w:p>
            <w:pPr>
              <w:pStyle w:val="0"/>
            </w:pPr>
            <w:r>
              <w:rPr>
                <w:sz w:val="20"/>
              </w:rPr>
            </w:r>
          </w:p>
        </w:tc>
        <w:tc>
          <w:tcPr>
            <w:tcW w:w="653" w:type="dxa"/>
          </w:tcPr>
          <w:p>
            <w:pPr>
              <w:pStyle w:val="0"/>
            </w:pPr>
            <w:r>
              <w:rPr>
                <w:sz w:val="20"/>
              </w:rPr>
            </w:r>
          </w:p>
        </w:tc>
        <w:tc>
          <w:tcPr>
            <w:tcW w:w="758" w:type="dxa"/>
          </w:tcPr>
          <w:p>
            <w:pPr>
              <w:pStyle w:val="0"/>
            </w:pPr>
            <w:r>
              <w:rPr>
                <w:sz w:val="20"/>
              </w:rPr>
            </w:r>
          </w:p>
        </w:tc>
        <w:tc>
          <w:tcPr>
            <w:tcW w:w="595" w:type="dxa"/>
          </w:tcPr>
          <w:p>
            <w:pPr>
              <w:pStyle w:val="0"/>
            </w:pPr>
            <w:r>
              <w:rPr>
                <w:sz w:val="20"/>
              </w:rPr>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1304"/>
        <w:gridCol w:w="7767"/>
      </w:tblGrid>
      <w:tr>
        <w:tc>
          <w:tcPr>
            <w:tcW w:w="1304" w:type="dxa"/>
            <w:vAlign w:val="bottom"/>
            <w:tcBorders>
              <w:top w:val="nil"/>
              <w:left w:val="nil"/>
              <w:bottom w:val="nil"/>
              <w:right w:val="nil"/>
            </w:tcBorders>
          </w:tcPr>
          <w:p>
            <w:pPr>
              <w:pStyle w:val="0"/>
            </w:pPr>
            <w:r>
              <w:rPr>
                <w:sz w:val="20"/>
              </w:rPr>
              <w:t xml:space="preserve">Составил</w:t>
            </w:r>
          </w:p>
        </w:tc>
        <w:tc>
          <w:tcPr>
            <w:tcW w:w="7767" w:type="dxa"/>
            <w:tcBorders>
              <w:top w:val="nil"/>
              <w:left w:val="nil"/>
              <w:bottom w:val="single" w:sz="4"/>
              <w:right w:val="nil"/>
            </w:tcBorders>
          </w:tcPr>
          <w:p>
            <w:pPr>
              <w:pStyle w:val="0"/>
            </w:pPr>
            <w:r>
              <w:rPr>
                <w:sz w:val="20"/>
              </w:rPr>
            </w:r>
          </w:p>
        </w:tc>
      </w:tr>
      <w:tr>
        <w:tc>
          <w:tcPr>
            <w:tcW w:w="1304" w:type="dxa"/>
            <w:tcBorders>
              <w:top w:val="nil"/>
              <w:left w:val="nil"/>
              <w:bottom w:val="nil"/>
              <w:right w:val="nil"/>
            </w:tcBorders>
          </w:tcPr>
          <w:p>
            <w:pPr>
              <w:pStyle w:val="0"/>
            </w:pPr>
            <w:r>
              <w:rPr>
                <w:sz w:val="20"/>
              </w:rPr>
            </w:r>
          </w:p>
        </w:tc>
        <w:tc>
          <w:tcPr>
            <w:tcW w:w="7767" w:type="dxa"/>
            <w:tcBorders>
              <w:top w:val="single" w:sz="4"/>
              <w:left w:val="nil"/>
              <w:bottom w:val="nil"/>
              <w:right w:val="nil"/>
            </w:tcBorders>
          </w:tcPr>
          <w:p>
            <w:pPr>
              <w:pStyle w:val="0"/>
              <w:jc w:val="right"/>
            </w:pPr>
            <w:r>
              <w:rPr>
                <w:sz w:val="20"/>
              </w:rPr>
              <w:t xml:space="preserve">[должность, подпись (инициалы, фамилия)]</w:t>
            </w:r>
          </w:p>
        </w:tc>
      </w:tr>
      <w:tr>
        <w:tc>
          <w:tcPr>
            <w:tcW w:w="1304" w:type="dxa"/>
            <w:vAlign w:val="bottom"/>
            <w:tcBorders>
              <w:top w:val="nil"/>
              <w:left w:val="nil"/>
              <w:bottom w:val="nil"/>
              <w:right w:val="nil"/>
            </w:tcBorders>
          </w:tcPr>
          <w:p>
            <w:pPr>
              <w:pStyle w:val="0"/>
            </w:pPr>
            <w:r>
              <w:rPr>
                <w:sz w:val="20"/>
              </w:rPr>
              <w:t xml:space="preserve">Проверил</w:t>
            </w:r>
          </w:p>
        </w:tc>
        <w:tc>
          <w:tcPr>
            <w:tcW w:w="7767" w:type="dxa"/>
            <w:tcBorders>
              <w:top w:val="nil"/>
              <w:left w:val="nil"/>
              <w:bottom w:val="single" w:sz="4"/>
              <w:right w:val="nil"/>
            </w:tcBorders>
          </w:tcPr>
          <w:p>
            <w:pPr>
              <w:pStyle w:val="0"/>
            </w:pPr>
            <w:r>
              <w:rPr>
                <w:sz w:val="20"/>
              </w:rPr>
            </w:r>
          </w:p>
        </w:tc>
      </w:tr>
      <w:tr>
        <w:tc>
          <w:tcPr>
            <w:tcW w:w="1304" w:type="dxa"/>
            <w:tcBorders>
              <w:top w:val="nil"/>
              <w:left w:val="nil"/>
              <w:bottom w:val="nil"/>
              <w:right w:val="nil"/>
            </w:tcBorders>
          </w:tcPr>
          <w:p>
            <w:pPr>
              <w:pStyle w:val="0"/>
            </w:pPr>
            <w:r>
              <w:rPr>
                <w:sz w:val="20"/>
              </w:rPr>
            </w:r>
          </w:p>
        </w:tc>
        <w:tc>
          <w:tcPr>
            <w:tcW w:w="7767" w:type="dxa"/>
            <w:vAlign w:val="bottom"/>
            <w:tcBorders>
              <w:top w:val="single" w:sz="4"/>
              <w:left w:val="nil"/>
              <w:bottom w:val="nil"/>
              <w:right w:val="nil"/>
            </w:tcBorders>
          </w:tcPr>
          <w:p>
            <w:pPr>
              <w:pStyle w:val="0"/>
              <w:jc w:val="right"/>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Примечание.</w:t>
      </w:r>
    </w:p>
    <w:p>
      <w:pPr>
        <w:pStyle w:val="0"/>
        <w:spacing w:before="200" w:line-rule="auto"/>
        <w:ind w:firstLine="540"/>
        <w:jc w:val="both"/>
      </w:pPr>
      <w:r>
        <w:rPr>
          <w:sz w:val="20"/>
        </w:rPr>
        <w:t xml:space="preserve">1. В </w:t>
      </w:r>
      <w:hyperlink w:history="0" w:anchor="P852" w:tooltip="1">
        <w:r>
          <w:rPr>
            <w:sz w:val="20"/>
            <w:color w:val="0000ff"/>
          </w:rPr>
          <w:t xml:space="preserve">графе 1</w:t>
        </w:r>
      </w:hyperlink>
      <w:r>
        <w:rPr>
          <w:sz w:val="20"/>
        </w:rPr>
        <w:t xml:space="preserve"> указывается номер, состоящих из двух групп цифр, разделенных точкой, первая группа цифр которого соответствует номеру ресурса по порядку, вторая - порядковому номеру обосновывающего документа, например, 1.1.</w:t>
      </w:r>
    </w:p>
    <w:p>
      <w:pPr>
        <w:pStyle w:val="0"/>
        <w:spacing w:before="200" w:line-rule="auto"/>
        <w:ind w:firstLine="540"/>
        <w:jc w:val="both"/>
      </w:pPr>
      <w:r>
        <w:rPr>
          <w:sz w:val="20"/>
        </w:rPr>
        <w:t xml:space="preserve">2. В </w:t>
      </w:r>
      <w:hyperlink w:history="0" w:anchor="P853" w:tooltip="2">
        <w:r>
          <w:rPr>
            <w:sz w:val="20"/>
            <w:color w:val="0000ff"/>
          </w:rPr>
          <w:t xml:space="preserve">графе 2</w:t>
        </w:r>
      </w:hyperlink>
      <w:r>
        <w:rPr>
          <w:sz w:val="20"/>
        </w:rPr>
        <w:t xml:space="preserve"> для каждой позиции материальных ресурсов и оборудования указывается код строительного ресурса в соответствии с </w:t>
      </w:r>
      <w:hyperlink w:history="0" w:anchor="P147" w:tooltip="23. Материальным ресурсам и оборудованию, отпускная цена которых в текущем уровне цен определена в соответствии с положениями пунктов 13 - 21 Методики, присваивается код, состоящий из буквенного обозначения &quot;ТЦ&quot; и пяти групп цифр: первая группа цифр соответствует коду группы Классификатора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
        <w:r>
          <w:rPr>
            <w:sz w:val="20"/>
            <w:color w:val="0000ff"/>
          </w:rPr>
          <w:t xml:space="preserve">пунктами 23</w:t>
        </w:r>
      </w:hyperlink>
      <w:r>
        <w:rPr>
          <w:sz w:val="20"/>
        </w:rPr>
        <w:t xml:space="preserve"> и </w:t>
      </w:r>
      <w:hyperlink w:history="0" w:anchor="P149" w:tooltip="24. Вместо кода группы допускается указывать код раздела (части, книги) с указанием нулей в недостающих группах цифр, например, 64.4.00.00. Для материальных ресурсов и оборудования, не подлежащих включению в КСР, вместо кода группы указывается следующая комбинация цифр: 101 - для технологического оборудования, 102 - для материальных ресурсов индивидуального изготовления, 103 - для инженерного оборудования индивидуального изготовления, 104 - для производственного и хозяйственного инвентаря, в том числе ме...">
        <w:r>
          <w:rPr>
            <w:sz w:val="20"/>
            <w:color w:val="0000ff"/>
          </w:rPr>
          <w:t xml:space="preserve">24</w:t>
        </w:r>
      </w:hyperlink>
      <w:r>
        <w:rPr>
          <w:sz w:val="20"/>
        </w:rPr>
        <w:t xml:space="preserve"> Методики.</w:t>
      </w:r>
    </w:p>
    <w:p>
      <w:pPr>
        <w:pStyle w:val="0"/>
        <w:spacing w:before="200" w:line-rule="auto"/>
        <w:ind w:firstLine="540"/>
        <w:jc w:val="both"/>
      </w:pPr>
      <w:r>
        <w:rPr>
          <w:sz w:val="20"/>
        </w:rPr>
        <w:t xml:space="preserve">3. Анализируются сопоставимые элементы стоимости материальных ресурсов (отпускные цены, сметные с учетом транспортных затрат), затрат.</w:t>
      </w:r>
    </w:p>
    <w:p>
      <w:pPr>
        <w:pStyle w:val="0"/>
        <w:spacing w:before="200" w:line-rule="auto"/>
        <w:ind w:firstLine="540"/>
        <w:jc w:val="both"/>
      </w:pPr>
      <w:r>
        <w:rPr>
          <w:sz w:val="20"/>
        </w:rPr>
        <w:t xml:space="preserve">4. В случае, если текущая отпускная цена за ед. изм. в обосновывающем документе указана с учетом доставки до приобъектного склада, то </w:t>
      </w:r>
      <w:hyperlink w:history="0" w:anchor="P860" w:tooltip="9">
        <w:r>
          <w:rPr>
            <w:sz w:val="20"/>
            <w:color w:val="0000ff"/>
          </w:rPr>
          <w:t xml:space="preserve">графа 9</w:t>
        </w:r>
      </w:hyperlink>
      <w:r>
        <w:rPr>
          <w:sz w:val="20"/>
        </w:rPr>
        <w:t xml:space="preserve"> не заполняется.</w:t>
      </w:r>
    </w:p>
    <w:p>
      <w:pPr>
        <w:pStyle w:val="0"/>
        <w:spacing w:before="200" w:line-rule="auto"/>
        <w:ind w:firstLine="540"/>
        <w:jc w:val="both"/>
      </w:pPr>
      <w:r>
        <w:rPr>
          <w:sz w:val="20"/>
        </w:rPr>
        <w:t xml:space="preserve">5. Данные </w:t>
      </w:r>
      <w:hyperlink w:history="0" w:anchor="P853" w:tooltip="2">
        <w:r>
          <w:rPr>
            <w:sz w:val="20"/>
            <w:color w:val="0000ff"/>
          </w:rPr>
          <w:t xml:space="preserve">граф 2</w:t>
        </w:r>
      </w:hyperlink>
      <w:r>
        <w:rPr>
          <w:sz w:val="20"/>
        </w:rPr>
        <w:t xml:space="preserve">, </w:t>
      </w:r>
      <w:hyperlink w:history="0" w:anchor="P855" w:tooltip="4">
        <w:r>
          <w:rPr>
            <w:sz w:val="20"/>
            <w:color w:val="0000ff"/>
          </w:rPr>
          <w:t xml:space="preserve">4</w:t>
        </w:r>
      </w:hyperlink>
      <w:r>
        <w:rPr>
          <w:sz w:val="20"/>
        </w:rPr>
        <w:t xml:space="preserve">, </w:t>
      </w:r>
      <w:hyperlink w:history="0" w:anchor="P860" w:tooltip="9">
        <w:r>
          <w:rPr>
            <w:sz w:val="20"/>
            <w:color w:val="0000ff"/>
          </w:rPr>
          <w:t xml:space="preserve">9</w:t>
        </w:r>
      </w:hyperlink>
      <w:r>
        <w:rPr>
          <w:sz w:val="20"/>
        </w:rPr>
        <w:t xml:space="preserve"> - </w:t>
      </w:r>
      <w:hyperlink w:history="0" w:anchor="P862" w:tooltip="11">
        <w:r>
          <w:rPr>
            <w:sz w:val="20"/>
            <w:color w:val="0000ff"/>
          </w:rPr>
          <w:t xml:space="preserve">11</w:t>
        </w:r>
      </w:hyperlink>
      <w:r>
        <w:rPr>
          <w:sz w:val="20"/>
        </w:rPr>
        <w:t xml:space="preserve">, </w:t>
      </w:r>
      <w:hyperlink w:history="0" w:anchor="P871" w:tooltip="20">
        <w:r>
          <w:rPr>
            <w:sz w:val="20"/>
            <w:color w:val="0000ff"/>
          </w:rPr>
          <w:t xml:space="preserve">20</w:t>
        </w:r>
      </w:hyperlink>
      <w:r>
        <w:rPr>
          <w:sz w:val="20"/>
        </w:rPr>
        <w:t xml:space="preserve"> для прочих затрат заполняются при их наличии.</w:t>
      </w:r>
    </w:p>
    <w:p>
      <w:pPr>
        <w:pStyle w:val="0"/>
        <w:spacing w:before="200" w:line-rule="auto"/>
        <w:ind w:firstLine="540"/>
        <w:jc w:val="both"/>
      </w:pPr>
      <w:r>
        <w:rPr>
          <w:sz w:val="20"/>
        </w:rPr>
        <w:t xml:space="preserve">6. При отсутствии в обосновывающих стоимость материальных ресурсов, оборудования, работ и услуг документах производителей и (или) поставщиков сведений по </w:t>
      </w:r>
      <w:hyperlink w:history="0" w:anchor="P867" w:tooltip="16">
        <w:r>
          <w:rPr>
            <w:sz w:val="20"/>
            <w:color w:val="0000ff"/>
          </w:rPr>
          <w:t xml:space="preserve">графам 16</w:t>
        </w:r>
      </w:hyperlink>
      <w:r>
        <w:rPr>
          <w:sz w:val="20"/>
        </w:rPr>
        <w:t xml:space="preserve"> - </w:t>
      </w:r>
      <w:hyperlink w:history="0" w:anchor="P871" w:tooltip="20">
        <w:r>
          <w:rPr>
            <w:sz w:val="20"/>
            <w:color w:val="0000ff"/>
          </w:rPr>
          <w:t xml:space="preserve">20</w:t>
        </w:r>
      </w:hyperlink>
      <w:r>
        <w:rPr>
          <w:sz w:val="20"/>
        </w:rPr>
        <w:t xml:space="preserve"> соответствующие графы формы конъюнктурного анализа заполняются на основании информации из открытых и (или) официальных источников.</w:t>
      </w:r>
    </w:p>
    <w:p>
      <w:pPr>
        <w:pStyle w:val="0"/>
        <w:spacing w:before="200" w:line-rule="auto"/>
        <w:ind w:firstLine="540"/>
        <w:jc w:val="both"/>
      </w:pPr>
      <w:r>
        <w:rPr>
          <w:sz w:val="20"/>
        </w:rPr>
        <w:t xml:space="preserve">7. При отсутствии у производителя (поставщика) веб-сайта </w:t>
      </w:r>
      <w:hyperlink w:history="0" w:anchor="P869" w:tooltip="18">
        <w:r>
          <w:rPr>
            <w:sz w:val="20"/>
            <w:color w:val="0000ff"/>
          </w:rPr>
          <w:t xml:space="preserve">графа 18</w:t>
        </w:r>
      </w:hyperlink>
      <w:r>
        <w:rPr>
          <w:sz w:val="20"/>
        </w:rPr>
        <w:t xml:space="preserve"> не заполняется.</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00"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974" w:name="P974"/>
    <w:bookmarkEnd w:id="974"/>
    <w:p>
      <w:pPr>
        <w:pStyle w:val="0"/>
        <w:jc w:val="center"/>
      </w:pPr>
      <w:r>
        <w:rPr>
          <w:sz w:val="20"/>
        </w:rPr>
        <w:t xml:space="preserve">ФОРМЫ</w:t>
      </w:r>
    </w:p>
    <w:p>
      <w:pPr>
        <w:pStyle w:val="0"/>
        <w:jc w:val="center"/>
      </w:pPr>
      <w:r>
        <w:rPr>
          <w:sz w:val="20"/>
        </w:rPr>
        <w:t xml:space="preserve">ЛОКАЛЬНОГО СМЕТНОГО РАСЧЕТА (СМЕТЫ) ДЛЯ БАЗИСНО-ИНДЕКСНОГО</w:t>
      </w:r>
    </w:p>
    <w:p>
      <w:pPr>
        <w:pStyle w:val="0"/>
        <w:jc w:val="center"/>
      </w:pPr>
      <w:r>
        <w:rPr>
          <w:sz w:val="20"/>
        </w:rPr>
        <w:t xml:space="preserve">МЕТОДА ПРИ ОПРЕДЕЛЕНИИ СМЕТНОЙ СТОИМОСТИ СТРОИТЕЛЬСТВА</w:t>
      </w:r>
    </w:p>
    <w:p>
      <w:pPr>
        <w:pStyle w:val="0"/>
        <w:jc w:val="center"/>
      </w:pPr>
      <w:r>
        <w:rPr>
          <w:sz w:val="20"/>
        </w:rPr>
        <w:t xml:space="preserve">ЗА ИСКЛЮЧЕНИЕМ РАБОТ ПО СОХРАНЕНИЮ ОБЪЕКТОВ КУЛЬТУРНОГО</w:t>
      </w:r>
    </w:p>
    <w:p>
      <w:pPr>
        <w:pStyle w:val="0"/>
        <w:jc w:val="center"/>
      </w:pPr>
      <w:r>
        <w:rPr>
          <w:sz w:val="20"/>
        </w:rPr>
        <w:t xml:space="preserve">НАСЛЕДИЯ (ПАМЯТНИКОВ ИСТОРИИ И КУЛЬТУРЫ) НАРОДОВ</w:t>
      </w:r>
    </w:p>
    <w:p>
      <w:pPr>
        <w:pStyle w:val="0"/>
        <w:jc w:val="center"/>
      </w:pPr>
      <w:r>
        <w:rPr>
          <w:sz w:val="20"/>
        </w:rPr>
        <w:t xml:space="preserve">РОССИЙСКОЙ ФЕДЕРАЦИИ НА ТЕРРИТОРИИ РОССИЙСКОЙ ФЕДЕРАЦИИ</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vAlign w:val="bottom"/>
            <w:tcBorders>
              <w:top w:val="nil"/>
              <w:left w:val="nil"/>
              <w:bottom w:val="nil"/>
              <w:right w:val="nil"/>
            </w:tcBorders>
          </w:tcPr>
          <w:p>
            <w:pPr>
              <w:pStyle w:val="0"/>
              <w:outlineLvl w:val="2"/>
              <w:jc w:val="center"/>
            </w:pPr>
            <w:r>
              <w:rPr>
                <w:sz w:val="20"/>
              </w:rPr>
              <w:t xml:space="preserve">Форма N 1 локального сметного расчета (сметы) для базисно-индексного метода с применением индекса к СМР</w:t>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5197"/>
        <w:gridCol w:w="3874"/>
      </w:tblGrid>
      <w:tr>
        <w:tblPrEx>
          <w:tblBorders>
            <w:insideH w:val="nil"/>
          </w:tblBorders>
        </w:tblPrEx>
        <w:tc>
          <w:tcPr>
            <w:tcW w:w="5197" w:type="dxa"/>
            <w:vAlign w:val="bottom"/>
            <w:tcBorders>
              <w:top w:val="nil"/>
              <w:left w:val="nil"/>
              <w:bottom w:val="nil"/>
              <w:right w:val="nil"/>
            </w:tcBorders>
          </w:tcPr>
          <w:p>
            <w:pPr>
              <w:pStyle w:val="0"/>
            </w:pPr>
            <w:r>
              <w:rPr>
                <w:sz w:val="20"/>
              </w:rPr>
              <w:t xml:space="preserve">Наименование программного продукта</w:t>
            </w:r>
          </w:p>
        </w:tc>
        <w:tc>
          <w:tcPr>
            <w:tcW w:w="3874" w:type="dxa"/>
            <w:tcBorders>
              <w:top w:val="nil"/>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редакции сметных нормативов</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jc w:val="both"/>
            </w:pPr>
            <w:r>
              <w:rPr>
                <w:sz w:val="20"/>
              </w:rPr>
              <w:t xml:space="preserve">Реквизиты приказов об утверждении дополнений и изменений к сметным нормативам</w:t>
            </w:r>
          </w:p>
        </w:tc>
        <w:tc>
          <w:tcPr>
            <w:tcW w:w="3874" w:type="dxa"/>
            <w:tcBorders>
              <w:left w:val="nil"/>
              <w:right w:val="nil"/>
            </w:tcBorders>
          </w:tcPr>
          <w:p>
            <w:pPr>
              <w:pStyle w:val="0"/>
            </w:pPr>
            <w:r>
              <w:rPr>
                <w:sz w:val="20"/>
              </w:rPr>
            </w:r>
          </w:p>
        </w:tc>
      </w:tr>
      <w:tr>
        <w:tc>
          <w:tcPr>
            <w:tcW w:w="5197" w:type="dxa"/>
            <w:tcBorders>
              <w:top w:val="nil"/>
              <w:left w:val="nil"/>
              <w:bottom w:val="nil"/>
              <w:right w:val="nil"/>
            </w:tcBorders>
            <w:vMerge w:val="restart"/>
          </w:tcPr>
          <w:p>
            <w:pPr>
              <w:pStyle w:val="0"/>
              <w:jc w:val="both"/>
            </w:pPr>
            <w:r>
              <w:rPr>
                <w:sz w:val="20"/>
              </w:rPr>
              <w:t xml:space="preserve">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с </w:t>
            </w:r>
            <w:hyperlink w:history="0" r:id="rId201"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пунктом 85</w:t>
              </w:r>
            </w:hyperlink>
            <w:r>
              <w:rPr>
                <w:sz w:val="20"/>
              </w:rPr>
              <w:t xml:space="preserve">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N 326/пр </w:t>
            </w:r>
            <w:hyperlink w:history="0" w:anchor="P2302" w:tooltip="&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
              <w:r>
                <w:rPr>
                  <w:sz w:val="20"/>
                  <w:color w:val="0000ff"/>
                </w:rPr>
                <w:t xml:space="preserve">&lt;1&gt;</w:t>
              </w:r>
            </w:hyperlink>
          </w:p>
        </w:tc>
        <w:tc>
          <w:tcPr>
            <w:tcW w:w="3874" w:type="dxa"/>
            <w:tcBorders>
              <w:left w:val="nil"/>
              <w:right w:val="nil"/>
            </w:tcBorders>
          </w:tcPr>
          <w:p>
            <w:pPr>
              <w:pStyle w:val="0"/>
            </w:pPr>
            <w:r>
              <w:rPr>
                <w:sz w:val="20"/>
              </w:rPr>
            </w:r>
          </w:p>
        </w:tc>
      </w:tr>
      <w:tr>
        <w:tc>
          <w:tcPr>
            <w:tcBorders>
              <w:top w:val="nil"/>
              <w:left w:val="nil"/>
              <w:bottom w:val="nil"/>
              <w:right w:val="nil"/>
            </w:tcBorders>
            <w:vMerge w:val="continue"/>
          </w:tcPr>
          <w:p/>
        </w:tc>
        <w:tc>
          <w:tcPr>
            <w:tcW w:w="3874" w:type="dxa"/>
            <w:tcBorders>
              <w:left w:val="nil"/>
              <w:right w:val="nil"/>
            </w:tcBorders>
          </w:tcPr>
          <w:p>
            <w:pPr>
              <w:pStyle w:val="0"/>
            </w:pPr>
            <w:r>
              <w:rPr>
                <w:sz w:val="20"/>
              </w:rPr>
            </w:r>
          </w:p>
        </w:tc>
      </w:tr>
      <w:tr>
        <w:tc>
          <w:tcPr>
            <w:tcBorders>
              <w:top w:val="nil"/>
              <w:left w:val="nil"/>
              <w:bottom w:val="nil"/>
              <w:right w:val="nil"/>
            </w:tcBorders>
            <w:vMerge w:val="continue"/>
          </w:tcP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jc w:val="both"/>
            </w:pPr>
            <w:r>
              <w:rPr>
                <w:sz w:val="20"/>
              </w:rPr>
              <w:t xml:space="preserve">Нормативный правовой акт об утверждении оплаты труда, утверждаемый в соответствии с </w:t>
            </w:r>
            <w:hyperlink w:history="0" r:id="rId202"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пунктом 22(1)</w:t>
              </w:r>
            </w:hyperlink>
            <w:r>
              <w:rPr>
                <w:sz w:val="20"/>
              </w:rPr>
              <w:t xml:space="preserve"> Правилами мониторинга цен, утвержденными постановлением Правительства Российской Федерации от 23 декабря 2016 г. N 1452</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субъекта Российской Федерации</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зоны субъекта Российской Федерации</w:t>
            </w:r>
          </w:p>
        </w:tc>
        <w:tc>
          <w:tcPr>
            <w:tcW w:w="3874" w:type="dxa"/>
            <w:tcBorders>
              <w:left w:val="nil"/>
              <w:right w:val="nil"/>
            </w:tcBorders>
          </w:tcPr>
          <w:p>
            <w:pPr>
              <w:pStyle w:val="0"/>
            </w:pPr>
            <w:r>
              <w:rPr>
                <w:sz w:val="20"/>
              </w:rPr>
            </w:r>
          </w:p>
        </w:tc>
      </w:tr>
      <w:tr>
        <w:tblPrEx>
          <w:tblBorders>
            <w:insideH w:val="nil"/>
          </w:tblBorders>
        </w:tblPrEx>
        <w:tc>
          <w:tcPr>
            <w:gridSpan w:val="2"/>
            <w:tcW w:w="9071" w:type="dxa"/>
            <w:tcBorders>
              <w:top w:val="nil"/>
              <w:left w:val="nil"/>
              <w:right w:val="nil"/>
            </w:tcBorders>
          </w:tcPr>
          <w:p>
            <w:pPr>
              <w:pStyle w:val="0"/>
            </w:pPr>
            <w:r>
              <w:rPr>
                <w:sz w:val="20"/>
              </w:rPr>
            </w:r>
          </w:p>
        </w:tc>
      </w:tr>
      <w:tr>
        <w:tblPrEx>
          <w:tblBorders>
            <w:insideH w:val="nil"/>
          </w:tblBorders>
        </w:tblPrEx>
        <w:tc>
          <w:tcPr>
            <w:gridSpan w:val="2"/>
            <w:tcW w:w="9071" w:type="dxa"/>
            <w:vAlign w:val="bottom"/>
            <w:tcBorders>
              <w:left w:val="nil"/>
              <w:bottom w:val="nil"/>
              <w:right w:val="nil"/>
            </w:tcBorders>
          </w:tcPr>
          <w:p>
            <w:pPr>
              <w:pStyle w:val="0"/>
              <w:jc w:val="center"/>
            </w:pPr>
            <w:r>
              <w:rPr>
                <w:sz w:val="20"/>
              </w:rPr>
              <w:t xml:space="preserve">(наименование стройки)</w:t>
            </w:r>
          </w:p>
        </w:tc>
      </w:tr>
      <w:tr>
        <w:tblPrEx>
          <w:tblBorders>
            <w:insideH w:val="nil"/>
          </w:tblBorders>
        </w:tblPrEx>
        <w:tc>
          <w:tcPr>
            <w:gridSpan w:val="2"/>
            <w:tcW w:w="9071" w:type="dxa"/>
            <w:tcBorders>
              <w:top w:val="nil"/>
              <w:left w:val="nil"/>
              <w:right w:val="nil"/>
            </w:tcBorders>
          </w:tcPr>
          <w:p>
            <w:pPr>
              <w:pStyle w:val="0"/>
            </w:pPr>
            <w:r>
              <w:rPr>
                <w:sz w:val="20"/>
              </w:rPr>
            </w:r>
          </w:p>
        </w:tc>
      </w:tr>
      <w:tr>
        <w:tc>
          <w:tcPr>
            <w:gridSpan w:val="2"/>
            <w:tcW w:w="9071" w:type="dxa"/>
            <w:vAlign w:val="bottom"/>
            <w:tcBorders>
              <w:left w:val="nil"/>
              <w:bottom w:val="nil"/>
              <w:right w:val="nil"/>
            </w:tcBorders>
          </w:tcPr>
          <w:p>
            <w:pPr>
              <w:pStyle w:val="0"/>
              <w:jc w:val="center"/>
            </w:pPr>
            <w:r>
              <w:rPr>
                <w:sz w:val="20"/>
              </w:rPr>
              <w:t xml:space="preserve">(наименование объекта капитального строительства)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0"/>
              </w:rPr>
              <w:t xml:space="preserve">ЛОКАЛЬНЫЙ СМЕТНЫЙ РАСЧЕТ (СМЕТА) N __________</w:t>
            </w:r>
          </w:p>
        </w:tc>
      </w:tr>
      <w:tr>
        <w:tc>
          <w:tcPr>
            <w:tcW w:w="9071" w:type="dxa"/>
            <w:tcBorders>
              <w:top w:val="nil"/>
              <w:left w:val="nil"/>
              <w:bottom w:val="single" w:sz="4"/>
              <w:right w:val="nil"/>
            </w:tcBorders>
          </w:tcPr>
          <w:p>
            <w:pPr>
              <w:pStyle w:val="0"/>
            </w:pPr>
            <w:r>
              <w:rPr>
                <w:sz w:val="20"/>
              </w:rPr>
            </w:r>
          </w:p>
        </w:tc>
      </w:tr>
      <w:tr>
        <w:tblPrEx>
          <w:tblBorders>
            <w:insideH w:val="single" w:sz="4"/>
          </w:tblBorders>
        </w:tblPrEx>
        <w:tc>
          <w:tcPr>
            <w:tcW w:w="9071" w:type="dxa"/>
            <w:tcBorders>
              <w:top w:val="single" w:sz="4"/>
              <w:left w:val="nil"/>
              <w:bottom w:val="nil"/>
              <w:right w:val="nil"/>
            </w:tcBorders>
          </w:tcPr>
          <w:p>
            <w:pPr>
              <w:pStyle w:val="0"/>
              <w:jc w:val="center"/>
            </w:pPr>
            <w:r>
              <w:rPr>
                <w:sz w:val="20"/>
              </w:rPr>
              <w:t xml:space="preserve">(наименование работ и затрат)</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378"/>
        <w:gridCol w:w="5083"/>
        <w:gridCol w:w="2618"/>
      </w:tblGrid>
      <w:tr>
        <w:tc>
          <w:tcPr>
            <w:tcW w:w="1378" w:type="dxa"/>
            <w:tcBorders>
              <w:top w:val="nil"/>
              <w:left w:val="nil"/>
              <w:bottom w:val="nil"/>
              <w:right w:val="nil"/>
            </w:tcBorders>
          </w:tcPr>
          <w:p>
            <w:pPr>
              <w:pStyle w:val="0"/>
            </w:pPr>
            <w:r>
              <w:rPr>
                <w:sz w:val="20"/>
              </w:rPr>
              <w:t xml:space="preserve">Составлен</w:t>
            </w:r>
          </w:p>
        </w:tc>
        <w:tc>
          <w:tcPr>
            <w:tcW w:w="5083" w:type="dxa"/>
            <w:tcBorders>
              <w:top w:val="nil"/>
              <w:left w:val="nil"/>
              <w:bottom w:val="single" w:sz="4"/>
              <w:right w:val="nil"/>
            </w:tcBorders>
          </w:tcPr>
          <w:p>
            <w:pPr>
              <w:pStyle w:val="0"/>
              <w:jc w:val="center"/>
            </w:pPr>
            <w:r>
              <w:rPr>
                <w:sz w:val="20"/>
              </w:rPr>
              <w:t xml:space="preserve">базисно-индексным</w:t>
            </w:r>
          </w:p>
        </w:tc>
        <w:tc>
          <w:tcPr>
            <w:tcW w:w="2618" w:type="dxa"/>
            <w:tcBorders>
              <w:top w:val="nil"/>
              <w:left w:val="nil"/>
              <w:bottom w:val="nil"/>
              <w:right w:val="nil"/>
            </w:tcBorders>
          </w:tcPr>
          <w:p>
            <w:pPr>
              <w:pStyle w:val="0"/>
            </w:pPr>
            <w:r>
              <w:rPr>
                <w:sz w:val="20"/>
              </w:rPr>
              <w:t xml:space="preserve">методом</w:t>
            </w:r>
          </w:p>
        </w:tc>
      </w:tr>
      <w:tr>
        <w:tc>
          <w:tcPr>
            <w:tcW w:w="1378" w:type="dxa"/>
            <w:tcBorders>
              <w:top w:val="nil"/>
              <w:left w:val="nil"/>
              <w:bottom w:val="nil"/>
              <w:right w:val="nil"/>
            </w:tcBorders>
          </w:tcPr>
          <w:p>
            <w:pPr>
              <w:pStyle w:val="0"/>
            </w:pPr>
            <w:r>
              <w:rPr>
                <w:sz w:val="20"/>
              </w:rPr>
              <w:t xml:space="preserve">Основание</w:t>
            </w:r>
          </w:p>
        </w:tc>
        <w:tc>
          <w:tcPr>
            <w:gridSpan w:val="2"/>
            <w:tcW w:w="7701" w:type="dxa"/>
            <w:tcBorders>
              <w:top w:val="nil"/>
              <w:left w:val="nil"/>
              <w:bottom w:val="single" w:sz="4"/>
              <w:right w:val="nil"/>
            </w:tcBorders>
          </w:tcPr>
          <w:p>
            <w:pPr>
              <w:pStyle w:val="0"/>
            </w:pPr>
            <w:r>
              <w:rPr>
                <w:sz w:val="20"/>
              </w:rPr>
            </w:r>
          </w:p>
        </w:tc>
      </w:tr>
      <w:tr>
        <w:tc>
          <w:tcPr>
            <w:tcW w:w="1378" w:type="dxa"/>
            <w:tcBorders>
              <w:top w:val="nil"/>
              <w:left w:val="nil"/>
              <w:bottom w:val="nil"/>
              <w:right w:val="nil"/>
            </w:tcBorders>
          </w:tcPr>
          <w:p>
            <w:pPr>
              <w:pStyle w:val="0"/>
            </w:pPr>
            <w:r>
              <w:rPr>
                <w:sz w:val="20"/>
              </w:rPr>
            </w:r>
          </w:p>
        </w:tc>
        <w:tc>
          <w:tcPr>
            <w:gridSpan w:val="2"/>
            <w:tcW w:w="7701" w:type="dxa"/>
            <w:tcBorders>
              <w:top w:val="single" w:sz="4"/>
              <w:left w:val="nil"/>
              <w:bottom w:val="nil"/>
              <w:right w:val="nil"/>
            </w:tcBorders>
          </w:tcPr>
          <w:p>
            <w:pPr>
              <w:pStyle w:val="0"/>
              <w:jc w:val="center"/>
            </w:pPr>
            <w:r>
              <w:rPr>
                <w:sz w:val="20"/>
              </w:rPr>
              <w:t xml:space="preserve">(проектная и (или) иная техническая документация)</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2361"/>
        <w:gridCol w:w="340"/>
        <w:gridCol w:w="340"/>
        <w:gridCol w:w="1984"/>
        <w:gridCol w:w="1162"/>
        <w:gridCol w:w="737"/>
        <w:gridCol w:w="4082"/>
        <w:gridCol w:w="340"/>
        <w:gridCol w:w="794"/>
        <w:gridCol w:w="340"/>
        <w:gridCol w:w="1077"/>
      </w:tblGrid>
      <w:tr>
        <w:tc>
          <w:tcPr>
            <w:gridSpan w:val="3"/>
            <w:tcW w:w="3041" w:type="dxa"/>
            <w:vAlign w:val="bottom"/>
            <w:tcBorders>
              <w:top w:val="nil"/>
              <w:left w:val="nil"/>
              <w:bottom w:val="nil"/>
              <w:right w:val="nil"/>
            </w:tcBorders>
          </w:tcPr>
          <w:p>
            <w:pPr>
              <w:pStyle w:val="0"/>
            </w:pPr>
            <w:r>
              <w:rPr>
                <w:sz w:val="20"/>
              </w:rPr>
              <w:t xml:space="preserve">Составлен(а) в текущем (базисном) уровне цен</w:t>
            </w:r>
          </w:p>
        </w:tc>
        <w:tc>
          <w:tcPr>
            <w:tcW w:w="1984" w:type="dxa"/>
            <w:vAlign w:val="bottom"/>
            <w:tcBorders>
              <w:top w:val="nil"/>
              <w:left w:val="nil"/>
              <w:bottom w:val="nil"/>
              <w:right w:val="nil"/>
            </w:tcBorders>
          </w:tcPr>
          <w:p>
            <w:pPr>
              <w:pStyle w:val="0"/>
            </w:pPr>
            <w:r>
              <w:rPr>
                <w:sz w:val="20"/>
              </w:rPr>
              <w:t xml:space="preserve">_________ (___)</w:t>
            </w:r>
          </w:p>
        </w:tc>
        <w:tc>
          <w:tcPr>
            <w:tcW w:w="1162" w:type="dxa"/>
            <w:vAlign w:val="bottom"/>
            <w:tcBorders>
              <w:top w:val="nil"/>
              <w:left w:val="nil"/>
              <w:bottom w:val="nil"/>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79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tcW w:w="2361" w:type="dxa"/>
            <w:vAlign w:val="bottom"/>
            <w:tcBorders>
              <w:top w:val="nil"/>
              <w:left w:val="nil"/>
              <w:bottom w:val="nil"/>
              <w:right w:val="nil"/>
            </w:tcBorders>
          </w:tcPr>
          <w:p>
            <w:pPr>
              <w:pStyle w:val="0"/>
            </w:pPr>
            <w:r>
              <w:rPr>
                <w:sz w:val="20"/>
              </w:rPr>
              <w:t xml:space="preserve">Сметная стоимость</w:t>
            </w:r>
          </w:p>
        </w:tc>
        <w:tc>
          <w:tcPr>
            <w:gridSpan w:val="3"/>
            <w:tcW w:w="2664" w:type="dxa"/>
            <w:tcBorders>
              <w:top w:val="nil"/>
              <w:left w:val="nil"/>
              <w:bottom w:val="nil"/>
              <w:right w:val="nil"/>
            </w:tcBorders>
          </w:tcPr>
          <w:p>
            <w:pPr>
              <w:pStyle w:val="0"/>
              <w:jc w:val="both"/>
            </w:pPr>
            <w:r>
              <w:rPr>
                <w:sz w:val="20"/>
              </w:rPr>
              <w:t xml:space="preserve">__________ (________)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pPr>
            <w:r>
              <w:rPr>
                <w:sz w:val="20"/>
              </w:rPr>
              <w:t xml:space="preserve">Средства на оплату труда рабочих</w:t>
            </w:r>
          </w:p>
        </w:tc>
        <w:tc>
          <w:tcPr>
            <w:gridSpan w:val="3"/>
            <w:tcW w:w="1474" w:type="dxa"/>
            <w:tcBorders>
              <w:top w:val="nil"/>
              <w:left w:val="nil"/>
              <w:bottom w:val="nil"/>
              <w:right w:val="nil"/>
            </w:tcBorders>
          </w:tcPr>
          <w:p>
            <w:pPr>
              <w:pStyle w:val="0"/>
              <w:jc w:val="center"/>
            </w:pPr>
            <w:r>
              <w:rPr>
                <w:sz w:val="20"/>
              </w:rPr>
              <w:t xml:space="preserve">______ (___)</w:t>
            </w:r>
          </w:p>
        </w:tc>
        <w:tc>
          <w:tcPr>
            <w:tcW w:w="1077" w:type="dxa"/>
            <w:vAlign w:val="bottom"/>
            <w:tcBorders>
              <w:top w:val="nil"/>
              <w:left w:val="nil"/>
              <w:bottom w:val="nil"/>
              <w:right w:val="nil"/>
            </w:tcBorders>
          </w:tcPr>
          <w:p>
            <w:pPr>
              <w:pStyle w:val="0"/>
            </w:pPr>
            <w:r>
              <w:rPr>
                <w:sz w:val="20"/>
              </w:rPr>
              <w:t xml:space="preserve">тыс. руб.</w:t>
            </w:r>
          </w:p>
        </w:tc>
      </w:tr>
      <w:tr>
        <w:tc>
          <w:tcPr>
            <w:gridSpan w:val="4"/>
            <w:tcW w:w="5025" w:type="dxa"/>
            <w:vAlign w:val="bottom"/>
            <w:tcBorders>
              <w:top w:val="nil"/>
              <w:left w:val="nil"/>
              <w:bottom w:val="nil"/>
              <w:right w:val="nil"/>
            </w:tcBorders>
          </w:tcPr>
          <w:p>
            <w:pPr>
              <w:pStyle w:val="0"/>
              <w:ind w:left="566"/>
            </w:pPr>
            <w:r>
              <w:rPr>
                <w:sz w:val="20"/>
              </w:rPr>
              <w:t xml:space="preserve">в том числе:</w:t>
            </w:r>
          </w:p>
        </w:tc>
        <w:tc>
          <w:tcPr>
            <w:tcW w:w="1162" w:type="dxa"/>
            <w:vAlign w:val="bottom"/>
            <w:tcBorders>
              <w:top w:val="nil"/>
              <w:left w:val="nil"/>
              <w:bottom w:val="nil"/>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pPr>
            <w:r>
              <w:rPr>
                <w:sz w:val="20"/>
              </w:rPr>
            </w:r>
          </w:p>
        </w:tc>
        <w:tc>
          <w:tcPr>
            <w:gridSpan w:val="3"/>
            <w:tcW w:w="1474" w:type="dxa"/>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gridSpan w:val="2"/>
            <w:tcW w:w="2701" w:type="dxa"/>
            <w:vAlign w:val="bottom"/>
            <w:tcBorders>
              <w:top w:val="nil"/>
              <w:left w:val="nil"/>
              <w:bottom w:val="nil"/>
              <w:right w:val="nil"/>
            </w:tcBorders>
          </w:tcPr>
          <w:p>
            <w:pPr>
              <w:pStyle w:val="0"/>
              <w:ind w:left="566"/>
            </w:pPr>
            <w:r>
              <w:rPr>
                <w:sz w:val="20"/>
              </w:rPr>
              <w:t xml:space="preserve">строительных работ</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vAlign w:val="bottom"/>
            <w:tcBorders>
              <w:top w:val="nil"/>
              <w:left w:val="nil"/>
              <w:bottom w:val="nil"/>
              <w:right w:val="nil"/>
            </w:tcBorders>
          </w:tcPr>
          <w:p>
            <w:pPr>
              <w:pStyle w:val="0"/>
            </w:pPr>
            <w:r>
              <w:rPr>
                <w:sz w:val="20"/>
              </w:rPr>
              <w:t xml:space="preserve">Нормативные затраты труда рабочих</w:t>
            </w:r>
          </w:p>
        </w:tc>
        <w:tc>
          <w:tcPr>
            <w:gridSpan w:val="2"/>
            <w:tcW w:w="1134"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чел.-ч.</w:t>
            </w:r>
          </w:p>
        </w:tc>
      </w:tr>
      <w:tr>
        <w:tc>
          <w:tcPr>
            <w:gridSpan w:val="2"/>
            <w:tcW w:w="2701" w:type="dxa"/>
            <w:tcBorders>
              <w:top w:val="nil"/>
              <w:left w:val="nil"/>
              <w:bottom w:val="nil"/>
              <w:right w:val="nil"/>
            </w:tcBorders>
          </w:tcPr>
          <w:p>
            <w:pPr>
              <w:pStyle w:val="0"/>
            </w:pPr>
            <w:r>
              <w:rPr>
                <w:sz w:val="20"/>
              </w:rPr>
            </w:r>
          </w:p>
        </w:tc>
        <w:tc>
          <w:tcPr>
            <w:gridSpan w:val="2"/>
            <w:tcW w:w="2324" w:type="dxa"/>
            <w:tcBorders>
              <w:top w:val="nil"/>
              <w:left w:val="nil"/>
              <w:bottom w:val="nil"/>
              <w:right w:val="nil"/>
            </w:tcBorders>
          </w:tcPr>
          <w:p>
            <w:pPr>
              <w:pStyle w:val="0"/>
            </w:pPr>
            <w:r>
              <w:rPr>
                <w:sz w:val="20"/>
              </w:rPr>
            </w:r>
          </w:p>
        </w:tc>
        <w:tc>
          <w:tcPr>
            <w:tcW w:w="1162" w:type="dxa"/>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vMerge w:val="restart"/>
          </w:tcPr>
          <w:p>
            <w:pPr>
              <w:pStyle w:val="0"/>
            </w:pPr>
            <w:r>
              <w:rPr>
                <w:sz w:val="20"/>
              </w:rPr>
              <w:t xml:space="preserve">Нормативные затраты труда</w:t>
            </w:r>
          </w:p>
          <w:p>
            <w:pPr>
              <w:pStyle w:val="0"/>
            </w:pPr>
            <w:r>
              <w:rPr>
                <w:sz w:val="20"/>
              </w:rPr>
              <w:t xml:space="preserve">машинистов</w:t>
            </w:r>
          </w:p>
        </w:tc>
        <w:tc>
          <w:tcPr>
            <w:gridSpan w:val="2"/>
            <w:tcW w:w="1134" w:type="dxa"/>
            <w:tcBorders>
              <w:top w:val="single" w:sz="4"/>
              <w:left w:val="nil"/>
              <w:bottom w:val="single" w:sz="4"/>
              <w:right w:val="nil"/>
            </w:tcBorders>
            <w:vMerge w:val="restart"/>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1077" w:type="dxa"/>
            <w:vAlign w:val="bottom"/>
            <w:tcBorders>
              <w:top w:val="nil"/>
              <w:left w:val="nil"/>
              <w:bottom w:val="nil"/>
              <w:right w:val="nil"/>
            </w:tcBorders>
            <w:vMerge w:val="restart"/>
          </w:tcPr>
          <w:p>
            <w:pPr>
              <w:pStyle w:val="0"/>
            </w:pPr>
            <w:r>
              <w:rPr>
                <w:sz w:val="20"/>
              </w:rPr>
              <w:t xml:space="preserve">чел.-ч.</w:t>
            </w:r>
          </w:p>
        </w:tc>
      </w:tr>
      <w:tr>
        <w:tc>
          <w:tcPr>
            <w:gridSpan w:val="2"/>
            <w:tcW w:w="2701" w:type="dxa"/>
            <w:vAlign w:val="bottom"/>
            <w:tcBorders>
              <w:top w:val="nil"/>
              <w:left w:val="nil"/>
              <w:bottom w:val="nil"/>
              <w:right w:val="nil"/>
            </w:tcBorders>
          </w:tcPr>
          <w:p>
            <w:pPr>
              <w:pStyle w:val="0"/>
              <w:ind w:left="566"/>
            </w:pPr>
            <w:r>
              <w:rPr>
                <w:sz w:val="20"/>
              </w:rPr>
              <w:t xml:space="preserve">монтажных работ</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gridSpan w:val="2"/>
            <w:tcBorders>
              <w:top w:val="single" w:sz="4"/>
              <w:left w:val="nil"/>
              <w:bottom w:val="single" w:sz="4"/>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2"/>
            <w:tcW w:w="2701" w:type="dxa"/>
            <w:vAlign w:val="bottom"/>
            <w:tcBorders>
              <w:top w:val="nil"/>
              <w:left w:val="nil"/>
              <w:bottom w:val="nil"/>
              <w:right w:val="nil"/>
            </w:tcBorders>
          </w:tcPr>
          <w:p>
            <w:pPr>
              <w:pStyle w:val="0"/>
              <w:ind w:left="566"/>
            </w:pPr>
            <w:r>
              <w:rPr>
                <w:sz w:val="20"/>
              </w:rPr>
              <w:t xml:space="preserve">оборудования</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vMerge w:val="restart"/>
          </w:tcPr>
          <w:p>
            <w:pPr>
              <w:pStyle w:val="0"/>
            </w:pPr>
            <w:r>
              <w:rPr>
                <w:sz w:val="20"/>
              </w:rPr>
            </w:r>
          </w:p>
        </w:tc>
        <w:tc>
          <w:tcPr>
            <w:tcW w:w="4082" w:type="dxa"/>
            <w:vAlign w:val="bottom"/>
            <w:tcBorders>
              <w:top w:val="nil"/>
              <w:left w:val="nil"/>
              <w:bottom w:val="nil"/>
              <w:right w:val="nil"/>
            </w:tcBorders>
            <w:vMerge w:val="restart"/>
          </w:tcPr>
          <w:p>
            <w:pPr>
              <w:pStyle w:val="0"/>
            </w:pPr>
            <w:r>
              <w:rPr>
                <w:sz w:val="20"/>
              </w:rPr>
            </w:r>
          </w:p>
        </w:tc>
        <w:tc>
          <w:tcPr>
            <w:gridSpan w:val="4"/>
            <w:tcW w:w="2551" w:type="dxa"/>
            <w:vAlign w:val="bottom"/>
            <w:tcBorders>
              <w:top w:val="nil"/>
              <w:left w:val="nil"/>
              <w:bottom w:val="nil"/>
              <w:right w:val="nil"/>
            </w:tcBorders>
            <w:vMerge w:val="restart"/>
          </w:tcPr>
          <w:p>
            <w:pPr>
              <w:pStyle w:val="0"/>
            </w:pPr>
            <w:r>
              <w:rPr>
                <w:sz w:val="20"/>
              </w:rPr>
            </w:r>
          </w:p>
        </w:tc>
      </w:tr>
      <w:tr>
        <w:tc>
          <w:tcPr>
            <w:gridSpan w:val="2"/>
            <w:tcW w:w="2701" w:type="dxa"/>
            <w:tcBorders>
              <w:top w:val="nil"/>
              <w:left w:val="nil"/>
              <w:bottom w:val="nil"/>
              <w:right w:val="nil"/>
            </w:tcBorders>
          </w:tcPr>
          <w:p>
            <w:pPr>
              <w:pStyle w:val="0"/>
              <w:ind w:left="566"/>
            </w:pPr>
            <w:r>
              <w:rPr>
                <w:sz w:val="20"/>
              </w:rPr>
              <w:t xml:space="preserve">прочих затрат</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jc w:val="center"/>
            </w:pPr>
            <w:r>
              <w:rPr>
                <w:sz w:val="20"/>
              </w:rPr>
              <w:t xml:space="preserve">тыс. руб.</w:t>
            </w:r>
          </w:p>
        </w:tc>
        <w:tc>
          <w:tcPr>
            <w:tcBorders>
              <w:top w:val="nil"/>
              <w:left w:val="nil"/>
              <w:bottom w:val="nil"/>
              <w:right w:val="nil"/>
            </w:tcBorders>
            <w:vMerge w:val="continue"/>
          </w:tcPr>
          <w:p/>
        </w:tc>
        <w:tc>
          <w:tcPr>
            <w:tcBorders>
              <w:top w:val="nil"/>
              <w:left w:val="nil"/>
              <w:bottom w:val="nil"/>
              <w:right w:val="nil"/>
            </w:tcBorders>
            <w:vMerge w:val="continue"/>
          </w:tcPr>
          <w:p/>
        </w:tc>
        <w:tc>
          <w:tcPr>
            <w:gridSpan w:val="4"/>
            <w:tcBorders>
              <w:top w:val="nil"/>
              <w:left w:val="nil"/>
              <w:bottom w:val="nil"/>
              <w:right w:val="nil"/>
            </w:tcBorders>
            <w:vMerge w:val="continue"/>
          </w:tcP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1020"/>
        <w:gridCol w:w="1121"/>
        <w:gridCol w:w="340"/>
        <w:gridCol w:w="3118"/>
        <w:gridCol w:w="1247"/>
        <w:gridCol w:w="680"/>
        <w:gridCol w:w="1247"/>
        <w:gridCol w:w="994"/>
        <w:gridCol w:w="680"/>
        <w:gridCol w:w="1128"/>
        <w:gridCol w:w="680"/>
        <w:gridCol w:w="821"/>
        <w:gridCol w:w="964"/>
      </w:tblGrid>
      <w:tr>
        <w:tblPrEx>
          <w:tblBorders>
            <w:left w:val="single" w:sz="4"/>
            <w:right w:val="single" w:sz="4"/>
            <w:insideV w:val="single" w:sz="4"/>
            <w:insideH w:val="single" w:sz="4"/>
          </w:tblBorders>
        </w:tblPrEx>
        <w:tc>
          <w:tcPr>
            <w:tcW w:w="1020" w:type="dxa"/>
            <w:tcBorders>
              <w:top w:val="single" w:sz="4"/>
              <w:bottom w:val="single" w:sz="4"/>
            </w:tcBorders>
            <w:vMerge w:val="restart"/>
          </w:tcPr>
          <w:p>
            <w:pPr>
              <w:pStyle w:val="0"/>
              <w:jc w:val="center"/>
            </w:pPr>
            <w:r>
              <w:rPr>
                <w:sz w:val="20"/>
              </w:rPr>
              <w:t xml:space="preserve">N п/п</w:t>
            </w:r>
          </w:p>
        </w:tc>
        <w:tc>
          <w:tcPr>
            <w:gridSpan w:val="2"/>
            <w:tcW w:w="1461" w:type="dxa"/>
            <w:tcBorders>
              <w:top w:val="single" w:sz="4"/>
              <w:bottom w:val="single" w:sz="4"/>
            </w:tcBorders>
            <w:vMerge w:val="restart"/>
          </w:tcPr>
          <w:p>
            <w:pPr>
              <w:pStyle w:val="0"/>
              <w:jc w:val="center"/>
            </w:pPr>
            <w:r>
              <w:rPr>
                <w:sz w:val="20"/>
              </w:rPr>
              <w:t xml:space="preserve">Обоснование</w:t>
            </w:r>
          </w:p>
        </w:tc>
        <w:tc>
          <w:tcPr>
            <w:tcW w:w="3118" w:type="dxa"/>
            <w:tcBorders>
              <w:top w:val="single" w:sz="4"/>
              <w:bottom w:val="single" w:sz="4"/>
            </w:tcBorders>
            <w:vMerge w:val="restart"/>
          </w:tcPr>
          <w:p>
            <w:pPr>
              <w:pStyle w:val="0"/>
              <w:jc w:val="center"/>
            </w:pPr>
            <w:r>
              <w:rPr>
                <w:sz w:val="20"/>
              </w:rPr>
              <w:t xml:space="preserve">Наименование работ и затрат</w:t>
            </w:r>
          </w:p>
        </w:tc>
        <w:tc>
          <w:tcPr>
            <w:tcW w:w="1247" w:type="dxa"/>
            <w:tcBorders>
              <w:top w:val="single" w:sz="4"/>
              <w:bottom w:val="single" w:sz="4"/>
            </w:tcBorders>
            <w:vMerge w:val="restart"/>
          </w:tcPr>
          <w:p>
            <w:pPr>
              <w:pStyle w:val="0"/>
              <w:jc w:val="center"/>
            </w:pPr>
            <w:r>
              <w:rPr>
                <w:sz w:val="20"/>
              </w:rPr>
              <w:t xml:space="preserve">Единица измерения</w:t>
            </w:r>
          </w:p>
        </w:tc>
        <w:tc>
          <w:tcPr>
            <w:gridSpan w:val="3"/>
            <w:tcW w:w="2921" w:type="dxa"/>
            <w:tcBorders>
              <w:top w:val="single" w:sz="4"/>
              <w:bottom w:val="single" w:sz="4"/>
            </w:tcBorders>
          </w:tcPr>
          <w:p>
            <w:pPr>
              <w:pStyle w:val="0"/>
              <w:jc w:val="center"/>
            </w:pPr>
            <w:r>
              <w:rPr>
                <w:sz w:val="20"/>
              </w:rPr>
              <w:t xml:space="preserve">Количество</w:t>
            </w:r>
          </w:p>
        </w:tc>
        <w:tc>
          <w:tcPr>
            <w:gridSpan w:val="3"/>
            <w:tcW w:w="2488" w:type="dxa"/>
            <w:tcBorders>
              <w:top w:val="single" w:sz="4"/>
              <w:bottom w:val="single" w:sz="4"/>
            </w:tcBorders>
          </w:tcPr>
          <w:p>
            <w:pPr>
              <w:pStyle w:val="0"/>
              <w:jc w:val="center"/>
            </w:pPr>
            <w:r>
              <w:rPr>
                <w:sz w:val="20"/>
              </w:rPr>
              <w:t xml:space="preserve">Сметная стоимость в базисном уровне цен (в текущем уровне цен </w:t>
            </w:r>
            <w:hyperlink w:history="0" w:anchor="P1090" w:tooltip="8">
              <w:r>
                <w:rPr>
                  <w:sz w:val="20"/>
                  <w:color w:val="0000ff"/>
                </w:rPr>
                <w:t xml:space="preserve">(гр. 8)</w:t>
              </w:r>
            </w:hyperlink>
            <w:r>
              <w:rPr>
                <w:sz w:val="20"/>
              </w:rPr>
              <w:t xml:space="preserve"> для ресурсов, отсутствующих в ФРСН), руб.</w:t>
            </w:r>
          </w:p>
        </w:tc>
        <w:tc>
          <w:tcPr>
            <w:tcW w:w="821" w:type="dxa"/>
            <w:tcBorders>
              <w:top w:val="single" w:sz="4"/>
              <w:bottom w:val="single" w:sz="4"/>
            </w:tcBorders>
            <w:vMerge w:val="restart"/>
          </w:tcPr>
          <w:p>
            <w:pPr>
              <w:pStyle w:val="0"/>
              <w:jc w:val="center"/>
            </w:pPr>
            <w:r>
              <w:rPr>
                <w:sz w:val="20"/>
              </w:rPr>
              <w:t xml:space="preserve">Индексы</w:t>
            </w:r>
          </w:p>
        </w:tc>
        <w:tc>
          <w:tcPr>
            <w:tcW w:w="964" w:type="dxa"/>
            <w:tcBorders>
              <w:top w:val="single" w:sz="4"/>
              <w:bottom w:val="single" w:sz="4"/>
            </w:tcBorders>
            <w:vMerge w:val="restart"/>
          </w:tcPr>
          <w:p>
            <w:pPr>
              <w:pStyle w:val="0"/>
              <w:jc w:val="center"/>
            </w:pPr>
            <w:r>
              <w:rPr>
                <w:sz w:val="20"/>
              </w:rPr>
              <w:t xml:space="preserve">Сметная стоимость в текущем уровне цен, руб.</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gridSpan w:val="2"/>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680" w:type="dxa"/>
            <w:tcBorders>
              <w:top w:val="single" w:sz="4"/>
              <w:bottom w:val="single" w:sz="4"/>
            </w:tcBorders>
          </w:tcPr>
          <w:p>
            <w:pPr>
              <w:pStyle w:val="0"/>
              <w:jc w:val="center"/>
            </w:pPr>
            <w:r>
              <w:rPr>
                <w:sz w:val="20"/>
              </w:rPr>
              <w:t xml:space="preserve">на единицу измерения</w:t>
            </w:r>
          </w:p>
        </w:tc>
        <w:tc>
          <w:tcPr>
            <w:tcW w:w="1247" w:type="dxa"/>
            <w:tcBorders>
              <w:top w:val="single" w:sz="4"/>
              <w:bottom w:val="single" w:sz="4"/>
            </w:tcBorders>
          </w:tcPr>
          <w:p>
            <w:pPr>
              <w:pStyle w:val="0"/>
              <w:jc w:val="center"/>
            </w:pPr>
            <w:r>
              <w:rPr>
                <w:sz w:val="20"/>
              </w:rPr>
              <w:t xml:space="preserve">коэффициенты</w:t>
            </w:r>
          </w:p>
        </w:tc>
        <w:tc>
          <w:tcPr>
            <w:tcW w:w="994" w:type="dxa"/>
            <w:tcBorders>
              <w:top w:val="single" w:sz="4"/>
              <w:bottom w:val="single" w:sz="4"/>
            </w:tcBorders>
          </w:tcPr>
          <w:p>
            <w:pPr>
              <w:pStyle w:val="0"/>
              <w:jc w:val="center"/>
            </w:pPr>
            <w:r>
              <w:rPr>
                <w:sz w:val="20"/>
              </w:rPr>
              <w:t xml:space="preserve">всего с учетом коэффициентов</w:t>
            </w:r>
          </w:p>
        </w:tc>
        <w:tc>
          <w:tcPr>
            <w:tcW w:w="680" w:type="dxa"/>
            <w:tcBorders>
              <w:top w:val="single" w:sz="4"/>
              <w:bottom w:val="single" w:sz="4"/>
            </w:tcBorders>
          </w:tcPr>
          <w:p>
            <w:pPr>
              <w:pStyle w:val="0"/>
              <w:jc w:val="center"/>
            </w:pPr>
            <w:r>
              <w:rPr>
                <w:sz w:val="20"/>
              </w:rPr>
              <w:t xml:space="preserve">на единицу измерения</w:t>
            </w:r>
          </w:p>
        </w:tc>
        <w:tc>
          <w:tcPr>
            <w:tcW w:w="1128" w:type="dxa"/>
            <w:tcBorders>
              <w:top w:val="single" w:sz="4"/>
              <w:bottom w:val="single" w:sz="4"/>
            </w:tcBorders>
          </w:tcPr>
          <w:p>
            <w:pPr>
              <w:pStyle w:val="0"/>
              <w:jc w:val="center"/>
            </w:pPr>
            <w:r>
              <w:rPr>
                <w:sz w:val="20"/>
              </w:rPr>
              <w:t xml:space="preserve">коэффициенты</w:t>
            </w:r>
          </w:p>
        </w:tc>
        <w:tc>
          <w:tcPr>
            <w:tcW w:w="680" w:type="dxa"/>
            <w:tcBorders>
              <w:top w:val="single" w:sz="4"/>
              <w:bottom w:val="single" w:sz="4"/>
            </w:tcBorders>
          </w:tcPr>
          <w:p>
            <w:pPr>
              <w:pStyle w:val="0"/>
              <w:jc w:val="center"/>
            </w:pPr>
            <w:r>
              <w:rPr>
                <w:sz w:val="20"/>
              </w:rPr>
              <w:t xml:space="preserve">всего</w:t>
            </w:r>
          </w:p>
        </w:tc>
        <w:tc>
          <w:tcPr>
            <w:tcBorders>
              <w:top w:val="single" w:sz="4"/>
              <w:bottom w:val="single" w:sz="4"/>
            </w:tcBorders>
            <w:vMerge w:val="continue"/>
          </w:tcPr>
          <w:p/>
        </w:tc>
        <w:tc>
          <w:tcPr>
            <w:tcBorders>
              <w:top w:val="single" w:sz="4"/>
              <w:bottom w:val="single" w:sz="4"/>
            </w:tcBorders>
            <w:vMerge w:val="continue"/>
          </w:tcPr>
          <w:p/>
        </w:tc>
      </w:tr>
      <w:tr>
        <w:tblPrEx>
          <w:tblBorders>
            <w:left w:val="single" w:sz="4"/>
            <w:right w:val="single" w:sz="4"/>
            <w:insideV w:val="single" w:sz="4"/>
            <w:insideH w:val="single" w:sz="4"/>
          </w:tblBorders>
        </w:tblPrEx>
        <w:tc>
          <w:tcPr>
            <w:tcW w:w="1020" w:type="dxa"/>
            <w:tcBorders>
              <w:top w:val="single" w:sz="4"/>
              <w:bottom w:val="single" w:sz="4"/>
            </w:tcBorders>
          </w:tcPr>
          <w:p>
            <w:pPr>
              <w:pStyle w:val="0"/>
              <w:jc w:val="center"/>
            </w:pPr>
            <w:r>
              <w:rPr>
                <w:sz w:val="20"/>
              </w:rPr>
              <w:t xml:space="preserve">1</w:t>
            </w:r>
          </w:p>
        </w:tc>
        <w:tc>
          <w:tcPr>
            <w:gridSpan w:val="2"/>
            <w:tcW w:w="1461" w:type="dxa"/>
            <w:tcBorders>
              <w:top w:val="single" w:sz="4"/>
              <w:bottom w:val="single" w:sz="4"/>
            </w:tcBorders>
          </w:tcPr>
          <w:p>
            <w:pPr>
              <w:pStyle w:val="0"/>
              <w:jc w:val="center"/>
            </w:pPr>
            <w:r>
              <w:rPr>
                <w:sz w:val="20"/>
              </w:rPr>
              <w:t xml:space="preserve">2</w:t>
            </w:r>
          </w:p>
        </w:tc>
        <w:tc>
          <w:tcPr>
            <w:tcW w:w="3118" w:type="dxa"/>
            <w:tcBorders>
              <w:top w:val="single" w:sz="4"/>
              <w:bottom w:val="single" w:sz="4"/>
            </w:tcBorders>
          </w:tcPr>
          <w:p>
            <w:pPr>
              <w:pStyle w:val="0"/>
              <w:jc w:val="center"/>
            </w:pPr>
            <w:r>
              <w:rPr>
                <w:sz w:val="20"/>
              </w:rPr>
              <w:t xml:space="preserve">3</w:t>
            </w:r>
          </w:p>
        </w:tc>
        <w:tc>
          <w:tcPr>
            <w:tcW w:w="1247" w:type="dxa"/>
            <w:tcBorders>
              <w:top w:val="single" w:sz="4"/>
              <w:bottom w:val="single" w:sz="4"/>
            </w:tcBorders>
          </w:tcPr>
          <w:p>
            <w:pPr>
              <w:pStyle w:val="0"/>
              <w:jc w:val="center"/>
            </w:pPr>
            <w:r>
              <w:rPr>
                <w:sz w:val="20"/>
              </w:rPr>
              <w:t xml:space="preserve">4</w:t>
            </w:r>
          </w:p>
        </w:tc>
        <w:tc>
          <w:tcPr>
            <w:tcW w:w="680" w:type="dxa"/>
            <w:tcBorders>
              <w:top w:val="single" w:sz="4"/>
              <w:bottom w:val="single" w:sz="4"/>
            </w:tcBorders>
          </w:tcPr>
          <w:p>
            <w:pPr>
              <w:pStyle w:val="0"/>
              <w:jc w:val="center"/>
            </w:pPr>
            <w:r>
              <w:rPr>
                <w:sz w:val="20"/>
              </w:rPr>
              <w:t xml:space="preserve">5</w:t>
            </w:r>
          </w:p>
        </w:tc>
        <w:tc>
          <w:tcPr>
            <w:tcW w:w="1247" w:type="dxa"/>
            <w:tcBorders>
              <w:top w:val="single" w:sz="4"/>
              <w:bottom w:val="single" w:sz="4"/>
            </w:tcBorders>
          </w:tcPr>
          <w:p>
            <w:pPr>
              <w:pStyle w:val="0"/>
              <w:jc w:val="center"/>
            </w:pPr>
            <w:r>
              <w:rPr>
                <w:sz w:val="20"/>
              </w:rPr>
              <w:t xml:space="preserve">6</w:t>
            </w:r>
          </w:p>
        </w:tc>
        <w:tc>
          <w:tcPr>
            <w:tcW w:w="994" w:type="dxa"/>
            <w:tcBorders>
              <w:top w:val="single" w:sz="4"/>
              <w:bottom w:val="single" w:sz="4"/>
            </w:tcBorders>
          </w:tcPr>
          <w:p>
            <w:pPr>
              <w:pStyle w:val="0"/>
              <w:jc w:val="center"/>
            </w:pPr>
            <w:r>
              <w:rPr>
                <w:sz w:val="20"/>
              </w:rPr>
              <w:t xml:space="preserve">7</w:t>
            </w:r>
          </w:p>
        </w:tc>
        <w:tc>
          <w:tcPr>
            <w:tcW w:w="680" w:type="dxa"/>
            <w:tcBorders>
              <w:top w:val="single" w:sz="4"/>
              <w:bottom w:val="single" w:sz="4"/>
            </w:tcBorders>
          </w:tcPr>
          <w:bookmarkStart w:id="1090" w:name="P1090"/>
          <w:bookmarkEnd w:id="1090"/>
          <w:p>
            <w:pPr>
              <w:pStyle w:val="0"/>
              <w:jc w:val="center"/>
            </w:pPr>
            <w:r>
              <w:rPr>
                <w:sz w:val="20"/>
              </w:rPr>
              <w:t xml:space="preserve">8</w:t>
            </w:r>
          </w:p>
        </w:tc>
        <w:tc>
          <w:tcPr>
            <w:tcW w:w="1128" w:type="dxa"/>
            <w:tcBorders>
              <w:top w:val="single" w:sz="4"/>
              <w:bottom w:val="single" w:sz="4"/>
            </w:tcBorders>
          </w:tcPr>
          <w:p>
            <w:pPr>
              <w:pStyle w:val="0"/>
              <w:jc w:val="center"/>
            </w:pPr>
            <w:r>
              <w:rPr>
                <w:sz w:val="20"/>
              </w:rPr>
              <w:t xml:space="preserve">9</w:t>
            </w:r>
          </w:p>
        </w:tc>
        <w:tc>
          <w:tcPr>
            <w:tcW w:w="680" w:type="dxa"/>
            <w:tcBorders>
              <w:top w:val="single" w:sz="4"/>
              <w:bottom w:val="single" w:sz="4"/>
            </w:tcBorders>
          </w:tcPr>
          <w:p>
            <w:pPr>
              <w:pStyle w:val="0"/>
              <w:jc w:val="center"/>
            </w:pPr>
            <w:r>
              <w:rPr>
                <w:sz w:val="20"/>
              </w:rPr>
              <w:t xml:space="preserve">10</w:t>
            </w:r>
          </w:p>
        </w:tc>
        <w:tc>
          <w:tcPr>
            <w:tcW w:w="821" w:type="dxa"/>
            <w:tcBorders>
              <w:top w:val="single" w:sz="4"/>
              <w:bottom w:val="single" w:sz="4"/>
            </w:tcBorders>
          </w:tcPr>
          <w:p>
            <w:pPr>
              <w:pStyle w:val="0"/>
              <w:jc w:val="center"/>
            </w:pPr>
            <w:r>
              <w:rPr>
                <w:sz w:val="20"/>
              </w:rPr>
              <w:t xml:space="preserve">11</w:t>
            </w:r>
          </w:p>
        </w:tc>
        <w:tc>
          <w:tcPr>
            <w:tcW w:w="964" w:type="dxa"/>
            <w:tcBorders>
              <w:top w:val="single" w:sz="4"/>
              <w:bottom w:val="single" w:sz="4"/>
            </w:tcBorders>
          </w:tcPr>
          <w:p>
            <w:pPr>
              <w:pStyle w:val="0"/>
              <w:jc w:val="center"/>
            </w:pPr>
            <w:r>
              <w:rPr>
                <w:sz w:val="20"/>
              </w:rPr>
              <w:t xml:space="preserve">12</w:t>
            </w:r>
          </w:p>
        </w:tc>
      </w:tr>
      <w:tr>
        <w:tblPrEx>
          <w:tblBorders>
            <w:left w:val="single" w:sz="4"/>
            <w:right w:val="single" w:sz="4"/>
            <w:insideH w:val="single" w:sz="4"/>
          </w:tblBorders>
        </w:tblPrEx>
        <w:tc>
          <w:tcPr>
            <w:gridSpan w:val="13"/>
            <w:tcW w:w="14040" w:type="dxa"/>
            <w:tcBorders>
              <w:top w:val="single" w:sz="4"/>
              <w:left w:val="single" w:sz="4"/>
              <w:bottom w:val="single" w:sz="4"/>
              <w:right w:val="single" w:sz="4"/>
            </w:tcBorders>
          </w:tcPr>
          <w:p>
            <w:pPr>
              <w:pStyle w:val="0"/>
            </w:pPr>
            <w:r>
              <w:rPr>
                <w:sz w:val="20"/>
              </w:rPr>
              <w:t xml:space="preserve">Раздел X. &lt;Наименование раздела&gt;</w:t>
            </w:r>
          </w:p>
        </w:tc>
      </w:tr>
      <w:tr>
        <w:tc>
          <w:tcPr>
            <w:tcW w:w="1020" w:type="dxa"/>
            <w:tcBorders>
              <w:top w:val="single" w:sz="4"/>
              <w:left w:val="nil"/>
              <w:bottom w:val="nil"/>
              <w:right w:val="nil"/>
            </w:tcBorders>
          </w:tcPr>
          <w:p>
            <w:pPr>
              <w:pStyle w:val="0"/>
              <w:jc w:val="center"/>
            </w:pPr>
            <w:r>
              <w:rPr>
                <w:sz w:val="20"/>
              </w:rPr>
              <w:t xml:space="preserve">&lt;пункт&gt;</w:t>
            </w:r>
          </w:p>
        </w:tc>
        <w:tc>
          <w:tcPr>
            <w:gridSpan w:val="2"/>
            <w:tcW w:w="1461" w:type="dxa"/>
            <w:tcBorders>
              <w:top w:val="single" w:sz="4"/>
              <w:left w:val="nil"/>
              <w:bottom w:val="nil"/>
              <w:right w:val="nil"/>
            </w:tcBorders>
          </w:tcPr>
          <w:p>
            <w:pPr>
              <w:pStyle w:val="0"/>
              <w:jc w:val="center"/>
            </w:pPr>
            <w:r>
              <w:rPr>
                <w:sz w:val="20"/>
              </w:rPr>
              <w:t xml:space="preserve">&lt;шифр расценки&gt;</w:t>
            </w:r>
          </w:p>
        </w:tc>
        <w:tc>
          <w:tcPr>
            <w:tcW w:w="3118" w:type="dxa"/>
            <w:tcBorders>
              <w:top w:val="single" w:sz="4"/>
              <w:left w:val="nil"/>
              <w:bottom w:val="nil"/>
              <w:right w:val="nil"/>
            </w:tcBorders>
          </w:tcPr>
          <w:p>
            <w:pPr>
              <w:pStyle w:val="0"/>
            </w:pPr>
            <w:r>
              <w:rPr>
                <w:sz w:val="20"/>
              </w:rPr>
              <w:t xml:space="preserve">&lt;Наименование расценки&gt;</w:t>
            </w:r>
          </w:p>
        </w:tc>
        <w:tc>
          <w:tcPr>
            <w:tcW w:w="1247" w:type="dxa"/>
            <w:tcBorders>
              <w:top w:val="single" w:sz="4"/>
              <w:left w:val="nil"/>
              <w:bottom w:val="nil"/>
              <w:right w:val="nil"/>
            </w:tcBorders>
          </w:tcPr>
          <w:p>
            <w:pPr>
              <w:pStyle w:val="0"/>
              <w:jc w:val="center"/>
            </w:pPr>
            <w:r>
              <w:rPr>
                <w:sz w:val="20"/>
              </w:rPr>
              <w:t xml:space="preserve">&lt;единица измерения расценки&gt;</w:t>
            </w:r>
          </w:p>
        </w:tc>
        <w:tc>
          <w:tcPr>
            <w:tcW w:w="680" w:type="dxa"/>
            <w:tcBorders>
              <w:top w:val="single" w:sz="4"/>
              <w:left w:val="nil"/>
              <w:bottom w:val="nil"/>
              <w:right w:val="nil"/>
            </w:tcBorders>
          </w:tcPr>
          <w:p>
            <w:pPr>
              <w:pStyle w:val="0"/>
              <w:jc w:val="center"/>
            </w:pPr>
            <w:r>
              <w:rPr>
                <w:sz w:val="20"/>
              </w:rPr>
              <w:t xml:space="preserve">&lt;X&gt;</w:t>
            </w:r>
          </w:p>
        </w:tc>
        <w:tc>
          <w:tcPr>
            <w:tcW w:w="1247" w:type="dxa"/>
            <w:tcBorders>
              <w:top w:val="single" w:sz="4"/>
              <w:left w:val="nil"/>
              <w:bottom w:val="nil"/>
              <w:right w:val="nil"/>
            </w:tcBorders>
          </w:tcPr>
          <w:p>
            <w:pPr>
              <w:pStyle w:val="0"/>
              <w:jc w:val="center"/>
            </w:pPr>
            <w:r>
              <w:rPr>
                <w:sz w:val="20"/>
              </w:rPr>
              <w:t xml:space="preserve">&lt;результирующий коэффициент&gt;</w:t>
            </w:r>
          </w:p>
        </w:tc>
        <w:tc>
          <w:tcPr>
            <w:tcW w:w="994" w:type="dxa"/>
            <w:tcBorders>
              <w:top w:val="single" w:sz="4"/>
              <w:left w:val="nil"/>
              <w:bottom w:val="nil"/>
              <w:right w:val="nil"/>
            </w:tcBorders>
          </w:tcPr>
          <w:p>
            <w:pPr>
              <w:pStyle w:val="0"/>
              <w:jc w:val="center"/>
            </w:pPr>
            <w:r>
              <w:rPr>
                <w:sz w:val="20"/>
              </w:rPr>
              <w:t xml:space="preserve">&lt;X&gt;</w:t>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right"/>
            </w:pPr>
            <w:r>
              <w:rPr>
                <w:sz w:val="20"/>
              </w:rPr>
              <w:t xml:space="preserve">1</w:t>
            </w:r>
          </w:p>
        </w:tc>
        <w:tc>
          <w:tcPr>
            <w:tcW w:w="3118" w:type="dxa"/>
            <w:tcBorders>
              <w:top w:val="nil"/>
              <w:left w:val="nil"/>
              <w:bottom w:val="nil"/>
              <w:right w:val="nil"/>
            </w:tcBorders>
          </w:tcPr>
          <w:p>
            <w:pPr>
              <w:pStyle w:val="0"/>
            </w:pPr>
            <w:r>
              <w:rPr>
                <w:sz w:val="20"/>
              </w:rPr>
              <w:t xml:space="preserve">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121" w:type="dxa"/>
            <w:tcBorders>
              <w:top w:val="nil"/>
              <w:left w:val="nil"/>
              <w:bottom w:val="nil"/>
              <w:right w:val="nil"/>
            </w:tcBorders>
          </w:tcPr>
          <w:p>
            <w:pPr>
              <w:pStyle w:val="0"/>
              <w:jc w:val="right"/>
            </w:pPr>
            <w:r>
              <w:rPr>
                <w:sz w:val="20"/>
              </w:rPr>
              <w:t xml:space="preserve">2</w:t>
            </w:r>
          </w:p>
        </w:tc>
        <w:tc>
          <w:tcPr>
            <w:tcW w:w="340"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ЭМ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right"/>
            </w:pPr>
            <w:r>
              <w:rPr>
                <w:sz w:val="20"/>
              </w:rPr>
              <w:t xml:space="preserve">3</w:t>
            </w:r>
          </w:p>
        </w:tc>
        <w:tc>
          <w:tcPr>
            <w:tcW w:w="3118" w:type="dxa"/>
            <w:tcBorders>
              <w:top w:val="nil"/>
              <w:left w:val="nil"/>
              <w:bottom w:val="nil"/>
              <w:right w:val="nil"/>
            </w:tcBorders>
          </w:tcPr>
          <w:p>
            <w:pPr>
              <w:pStyle w:val="0"/>
            </w:pPr>
            <w:r>
              <w:rPr>
                <w:sz w:val="20"/>
              </w:rPr>
              <w:t xml:space="preserve">в т.ч. ОТм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right"/>
            </w:pPr>
            <w:r>
              <w:rPr>
                <w:sz w:val="20"/>
              </w:rPr>
              <w:t xml:space="preserve">4</w:t>
            </w:r>
          </w:p>
        </w:tc>
        <w:tc>
          <w:tcPr>
            <w:tcW w:w="3118" w:type="dxa"/>
            <w:tcBorders>
              <w:top w:val="nil"/>
              <w:left w:val="nil"/>
              <w:bottom w:val="nil"/>
              <w:right w:val="nil"/>
            </w:tcBorders>
          </w:tcPr>
          <w:p>
            <w:pPr>
              <w:pStyle w:val="0"/>
            </w:pPr>
            <w:r>
              <w:rPr>
                <w:sz w:val="20"/>
              </w:rPr>
              <w:t xml:space="preserve">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&lt;код группы неучтенного ресурса&gt;</w:t>
            </w:r>
          </w:p>
        </w:tc>
        <w:tc>
          <w:tcPr>
            <w:tcW w:w="3118" w:type="dxa"/>
            <w:tcBorders>
              <w:top w:val="nil"/>
              <w:left w:val="nil"/>
              <w:bottom w:val="nil"/>
              <w:right w:val="nil"/>
            </w:tcBorders>
          </w:tcPr>
          <w:p>
            <w:pPr>
              <w:pStyle w:val="0"/>
            </w:pPr>
            <w:r>
              <w:rPr>
                <w:sz w:val="20"/>
              </w:rPr>
              <w:t xml:space="preserve">&lt;Наименование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ЗТ</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tcW w:w="3118" w:type="dxa"/>
            <w:tcBorders>
              <w:top w:val="nil"/>
              <w:left w:val="nil"/>
              <w:bottom w:val="single" w:sz="4"/>
              <w:right w:val="nil"/>
            </w:tcBorders>
          </w:tcPr>
          <w:p>
            <w:pPr>
              <w:pStyle w:val="0"/>
            </w:pPr>
            <w:r>
              <w:rPr>
                <w:sz w:val="20"/>
              </w:rPr>
              <w:t xml:space="preserve">ЗТм</w:t>
            </w:r>
          </w:p>
        </w:tc>
        <w:tc>
          <w:tcPr>
            <w:tcW w:w="1247" w:type="dxa"/>
            <w:tcBorders>
              <w:top w:val="nil"/>
              <w:left w:val="nil"/>
              <w:bottom w:val="single" w:sz="4"/>
              <w:right w:val="nil"/>
            </w:tcBorders>
          </w:tcPr>
          <w:p>
            <w:pPr>
              <w:pStyle w:val="0"/>
              <w:jc w:val="center"/>
            </w:pPr>
            <w:r>
              <w:rPr>
                <w:sz w:val="20"/>
              </w:rPr>
              <w:t xml:space="preserve">чел.-ч</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Итого по расценке</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jc w:val="center"/>
            </w:pPr>
            <w:r>
              <w:rPr>
                <w:sz w:val="20"/>
              </w:rPr>
              <w:t xml:space="preserve">&lt;подпункт&gt;</w:t>
            </w:r>
          </w:p>
        </w:tc>
        <w:tc>
          <w:tcPr>
            <w:gridSpan w:val="2"/>
            <w:tcW w:w="1461" w:type="dxa"/>
            <w:tcBorders>
              <w:top w:val="nil"/>
              <w:left w:val="nil"/>
              <w:bottom w:val="nil"/>
              <w:right w:val="nil"/>
            </w:tcBorders>
          </w:tcPr>
          <w:p>
            <w:pPr>
              <w:pStyle w:val="0"/>
              <w:jc w:val="center"/>
            </w:pPr>
            <w:r>
              <w:rPr>
                <w:sz w:val="20"/>
              </w:rPr>
              <w:t xml:space="preserve">&lt;код неучтенного ресурса&gt;</w:t>
            </w:r>
          </w:p>
        </w:tc>
        <w:tc>
          <w:tcPr>
            <w:tcW w:w="3118" w:type="dxa"/>
            <w:tcBorders>
              <w:top w:val="nil"/>
              <w:left w:val="nil"/>
              <w:bottom w:val="nil"/>
              <w:right w:val="nil"/>
            </w:tcBorders>
          </w:tcPr>
          <w:p>
            <w:pPr>
              <w:pStyle w:val="0"/>
            </w:pPr>
            <w:r>
              <w:rPr>
                <w:sz w:val="20"/>
              </w:rPr>
              <w:t xml:space="preserve">&lt;Наименование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jc w:val="center"/>
            </w:pPr>
            <w:r>
              <w:rPr>
                <w:sz w:val="20"/>
              </w:rPr>
              <w:t xml:space="preserve">&lt;подпункт&gt;</w:t>
            </w:r>
          </w:p>
        </w:tc>
        <w:tc>
          <w:tcPr>
            <w:gridSpan w:val="2"/>
            <w:tcW w:w="1461" w:type="dxa"/>
            <w:tcBorders>
              <w:top w:val="nil"/>
              <w:left w:val="nil"/>
              <w:bottom w:val="nil"/>
              <w:right w:val="nil"/>
            </w:tcBorders>
          </w:tcPr>
          <w:p>
            <w:pPr>
              <w:pStyle w:val="0"/>
            </w:pPr>
            <w:r>
              <w:rPr>
                <w:sz w:val="20"/>
              </w:rPr>
              <w:t xml:space="preserve">&lt;код неучтенного ресурса_обоснование перевозки&gt;</w:t>
            </w:r>
          </w:p>
        </w:tc>
        <w:tc>
          <w:tcPr>
            <w:tcW w:w="3118" w:type="dxa"/>
            <w:tcBorders>
              <w:top w:val="nil"/>
              <w:left w:val="nil"/>
              <w:bottom w:val="nil"/>
              <w:right w:val="nil"/>
            </w:tcBorders>
          </w:tcPr>
          <w:p>
            <w:pPr>
              <w:pStyle w:val="0"/>
            </w:pPr>
            <w:r>
              <w:rPr>
                <w:sz w:val="20"/>
              </w:rPr>
              <w:t xml:space="preserve">Затраты на перевозку на расстояние в соответствии с проектной и (или) иной технической документацией (дополнительные затраты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tc>
        <w:tc>
          <w:tcPr>
            <w:tcW w:w="1247" w:type="dxa"/>
            <w:tcBorders>
              <w:top w:val="nil"/>
              <w:left w:val="nil"/>
              <w:bottom w:val="nil"/>
              <w:right w:val="nil"/>
            </w:tcBorders>
          </w:tcPr>
          <w:p>
            <w:pPr>
              <w:pStyle w:val="0"/>
              <w:jc w:val="center"/>
            </w:pPr>
            <w:r>
              <w:rPr>
                <w:sz w:val="20"/>
              </w:rPr>
              <w:t xml:space="preserve">&lt;единица измерения&gt;</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gridSpan w:val="2"/>
            <w:tcW w:w="1461" w:type="dxa"/>
            <w:tcBorders>
              <w:top w:val="nil"/>
              <w:left w:val="nil"/>
              <w:bottom w:val="nil"/>
              <w:right w:val="nil"/>
            </w:tcBorders>
          </w:tcPr>
          <w:p>
            <w:pPr>
              <w:pStyle w:val="0"/>
            </w:pPr>
            <w:r>
              <w:rPr>
                <w:sz w:val="20"/>
              </w:rPr>
              <w:t xml:space="preserve">&lt;код неучтенного ресурса_обоснование перевозки&gt;</w:t>
            </w:r>
          </w:p>
        </w:tc>
        <w:tc>
          <w:tcPr>
            <w:tcW w:w="3118" w:type="dxa"/>
            <w:tcBorders>
              <w:top w:val="nil"/>
              <w:left w:val="nil"/>
              <w:bottom w:val="nil"/>
              <w:right w:val="nil"/>
            </w:tcBorders>
          </w:tcPr>
          <w:p>
            <w:pPr>
              <w:pStyle w:val="0"/>
            </w:pPr>
            <w:r>
              <w:rPr>
                <w:sz w:val="20"/>
              </w:rPr>
              <w:t xml:space="preserve">Исключение затрат на перевозку на расстояние, учтенное сметными ценами (дополнительные затраты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tc>
        <w:tc>
          <w:tcPr>
            <w:tcW w:w="1247" w:type="dxa"/>
            <w:tcBorders>
              <w:top w:val="nil"/>
              <w:left w:val="nil"/>
              <w:bottom w:val="nil"/>
              <w:right w:val="nil"/>
            </w:tcBorders>
          </w:tcPr>
          <w:p>
            <w:pPr>
              <w:pStyle w:val="0"/>
              <w:jc w:val="center"/>
            </w:pPr>
            <w:r>
              <w:rPr>
                <w:sz w:val="20"/>
              </w:rPr>
              <w:t xml:space="preserve">&lt;единица измерения&gt;</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gridSpan w:val="2"/>
            <w:tcW w:w="1461" w:type="dxa"/>
            <w:tcBorders>
              <w:top w:val="nil"/>
              <w:left w:val="nil"/>
              <w:bottom w:val="nil"/>
              <w:right w:val="nil"/>
            </w:tcBorders>
          </w:tcPr>
          <w:p>
            <w:pPr>
              <w:pStyle w:val="0"/>
            </w:pPr>
            <w:r>
              <w:rPr>
                <w:sz w:val="20"/>
              </w:rPr>
              <w:t xml:space="preserve">&lt;код машины или механизма&gt;</w:t>
            </w:r>
          </w:p>
        </w:tc>
        <w:tc>
          <w:tcPr>
            <w:tcW w:w="3118" w:type="dxa"/>
            <w:tcBorders>
              <w:top w:val="nil"/>
              <w:left w:val="nil"/>
              <w:bottom w:val="nil"/>
              <w:right w:val="nil"/>
            </w:tcBorders>
          </w:tcPr>
          <w:p>
            <w:pPr>
              <w:pStyle w:val="0"/>
            </w:pPr>
            <w:r>
              <w:rPr>
                <w:sz w:val="20"/>
              </w:rPr>
              <w:t xml:space="preserve">&lt;Наименование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т.ч. оплата труда машинистов</w:t>
            </w:r>
          </w:p>
        </w:tc>
        <w:tc>
          <w:tcPr>
            <w:tcW w:w="1247" w:type="dxa"/>
            <w:tcBorders>
              <w:top w:val="nil"/>
              <w:left w:val="nil"/>
              <w:bottom w:val="nil"/>
              <w:right w:val="nil"/>
            </w:tcBorders>
          </w:tcPr>
          <w:p>
            <w:pPr>
              <w:pStyle w:val="0"/>
              <w:jc w:val="center"/>
            </w:pPr>
            <w:r>
              <w:rPr>
                <w:sz w:val="20"/>
              </w:rPr>
              <w:t xml:space="preserve">руб.</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pPr>
            <w:r>
              <w:rPr>
                <w:sz w:val="20"/>
              </w:rPr>
              <w:t xml:space="preserve">НР &lt;вид работ&gt;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jc w:val="center"/>
            </w:pPr>
            <w:r>
              <w:rPr>
                <w:sz w:val="20"/>
              </w:rPr>
              <w:t xml:space="preserve">&lt;норматив НР&gt;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pPr>
            <w:r>
              <w:rPr>
                <w:sz w:val="20"/>
              </w:rPr>
            </w:r>
          </w:p>
        </w:tc>
        <w:tc>
          <w:tcPr>
            <w:gridSpan w:val="2"/>
            <w:tcW w:w="1461"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СП &lt;вид работ&gt;</w:t>
            </w:r>
          </w:p>
        </w:tc>
        <w:tc>
          <w:tcPr>
            <w:tcW w:w="1247" w:type="dxa"/>
            <w:tcBorders>
              <w:top w:val="nil"/>
              <w:left w:val="nil"/>
              <w:bottom w:val="single" w:sz="4"/>
              <w:right w:val="nil"/>
            </w:tcBorders>
          </w:tcPr>
          <w:p>
            <w:pPr>
              <w:pStyle w:val="0"/>
              <w:jc w:val="center"/>
            </w:pPr>
            <w:r>
              <w:rPr>
                <w:sz w:val="20"/>
              </w:rPr>
              <w:t xml:space="preserve">%</w:t>
            </w:r>
          </w:p>
        </w:tc>
        <w:tc>
          <w:tcPr>
            <w:tcW w:w="680" w:type="dxa"/>
            <w:tcBorders>
              <w:top w:val="nil"/>
              <w:left w:val="nil"/>
              <w:bottom w:val="single" w:sz="4"/>
              <w:right w:val="nil"/>
            </w:tcBorders>
          </w:tcPr>
          <w:p>
            <w:pPr>
              <w:pStyle w:val="0"/>
              <w:jc w:val="center"/>
            </w:pPr>
            <w:r>
              <w:rPr>
                <w:sz w:val="20"/>
              </w:rPr>
              <w:t xml:space="preserve">&lt;норматив СП&gt;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single" w:sz="4"/>
              <w:left w:val="nil"/>
              <w:bottom w:val="nil"/>
              <w:right w:val="nil"/>
            </w:tcBorders>
          </w:tcPr>
          <w:p>
            <w:pPr>
              <w:pStyle w:val="0"/>
            </w:pPr>
            <w:r>
              <w:rPr>
                <w:sz w:val="20"/>
              </w:rPr>
            </w:r>
          </w:p>
        </w:tc>
        <w:tc>
          <w:tcPr>
            <w:gridSpan w:val="2"/>
            <w:tcW w:w="1461"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jc w:val="center"/>
            </w:pPr>
            <w:r>
              <w:rPr>
                <w:sz w:val="20"/>
              </w:rPr>
              <w:t xml:space="preserve">&lt;пункт&gt;</w:t>
            </w:r>
          </w:p>
        </w:tc>
        <w:tc>
          <w:tcPr>
            <w:gridSpan w:val="2"/>
            <w:tcW w:w="1461" w:type="dxa"/>
            <w:tcBorders>
              <w:top w:val="nil"/>
              <w:left w:val="nil"/>
              <w:bottom w:val="single" w:sz="4"/>
              <w:right w:val="nil"/>
            </w:tcBorders>
          </w:tcPr>
          <w:p>
            <w:pPr>
              <w:pStyle w:val="0"/>
              <w:jc w:val="center"/>
            </w:pPr>
            <w:r>
              <w:rPr>
                <w:sz w:val="20"/>
              </w:rPr>
              <w:t xml:space="preserve">&lt;код ресурса&gt;</w:t>
            </w:r>
          </w:p>
        </w:tc>
        <w:tc>
          <w:tcPr>
            <w:tcW w:w="3118" w:type="dxa"/>
            <w:tcBorders>
              <w:top w:val="nil"/>
              <w:left w:val="nil"/>
              <w:bottom w:val="single" w:sz="4"/>
              <w:right w:val="nil"/>
            </w:tcBorders>
          </w:tcPr>
          <w:p>
            <w:pPr>
              <w:pStyle w:val="0"/>
            </w:pPr>
            <w:r>
              <w:rPr>
                <w:sz w:val="20"/>
              </w:rPr>
              <w:t xml:space="preserve">&lt;Наименование неучтенного ресурса&gt;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single" w:sz="4"/>
              <w:left w:val="nil"/>
              <w:bottom w:val="nil"/>
              <w:right w:val="nil"/>
            </w:tcBorders>
          </w:tcPr>
          <w:p>
            <w:pPr>
              <w:pStyle w:val="0"/>
            </w:pPr>
            <w:r>
              <w:rPr>
                <w:sz w:val="20"/>
              </w:rPr>
            </w:r>
          </w:p>
        </w:tc>
        <w:tc>
          <w:tcPr>
            <w:gridSpan w:val="2"/>
            <w:tcW w:w="1461"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jc w:val="center"/>
            </w:pPr>
            <w:r>
              <w:rPr>
                <w:sz w:val="20"/>
              </w:rPr>
              <w:t xml:space="preserve">&lt;пункт&gt;</w:t>
            </w:r>
          </w:p>
        </w:tc>
        <w:tc>
          <w:tcPr>
            <w:gridSpan w:val="2"/>
            <w:tcW w:w="1461"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&lt;Наименование неучтенного ресурса, отсутствующего в ФРСН&gt;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gridSpan w:val="2"/>
            <w:tcW w:w="1461"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gridSpan w:val="2"/>
            <w:tcW w:w="1461"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&lt;Перевозка&gt;</w:t>
            </w:r>
          </w:p>
        </w:tc>
        <w:tc>
          <w:tcPr>
            <w:tcW w:w="1247" w:type="dxa"/>
            <w:tcBorders>
              <w:top w:val="nil"/>
              <w:left w:val="nil"/>
              <w:bottom w:val="single" w:sz="4"/>
              <w:right w:val="nil"/>
            </w:tcBorders>
          </w:tcPr>
          <w:p>
            <w:pPr>
              <w:pStyle w:val="0"/>
              <w:jc w:val="center"/>
            </w:pPr>
            <w:r>
              <w:rPr>
                <w:sz w:val="20"/>
              </w:rPr>
              <w:t xml:space="preserve">&lt;единица измерения &gt;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gridSpan w:val="2"/>
            <w:tcW w:w="1461"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gridSpan w:val="2"/>
            <w:tcW w:w="1461"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&lt;Прочие затраты&gt; </w:t>
            </w:r>
            <w:hyperlink w:history="0" w:anchor="P2303"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1247" w:type="dxa"/>
            <w:tcBorders>
              <w:top w:val="nil"/>
              <w:left w:val="nil"/>
              <w:bottom w:val="single" w:sz="4"/>
              <w:right w:val="nil"/>
            </w:tcBorders>
          </w:tcPr>
          <w:p>
            <w:pPr>
              <w:pStyle w:val="0"/>
              <w:jc w:val="center"/>
            </w:pPr>
            <w:r>
              <w:rPr>
                <w:sz w:val="20"/>
              </w:rPr>
              <w:t xml:space="preserve">&lt;единица измерения&gt;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gridSpan w:val="2"/>
            <w:tcW w:w="1461" w:type="dxa"/>
            <w:tcBorders>
              <w:top w:val="single" w:sz="4"/>
              <w:left w:val="nil"/>
              <w:bottom w:val="nil"/>
              <w:right w:val="nil"/>
            </w:tcBorders>
          </w:tcPr>
          <w:p>
            <w:pPr>
              <w:pStyle w:val="0"/>
            </w:pPr>
            <w:r>
              <w:rPr>
                <w:sz w:val="20"/>
              </w:rPr>
            </w:r>
          </w:p>
        </w:tc>
        <w:tc>
          <w:tcPr>
            <w:gridSpan w:val="7"/>
            <w:tcW w:w="9094" w:type="dxa"/>
            <w:tcBorders>
              <w:top w:val="single" w:sz="4"/>
              <w:left w:val="nil"/>
              <w:bottom w:val="nil"/>
              <w:right w:val="nil"/>
            </w:tcBorders>
          </w:tcPr>
          <w:p>
            <w:pPr>
              <w:pStyle w:val="0"/>
            </w:pPr>
            <w:r>
              <w:rPr>
                <w:sz w:val="20"/>
              </w:rPr>
              <w:t xml:space="preserve">Всего по позиции</w:t>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прямые затраты по Разделу X</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доплаты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pPr>
            <w:r>
              <w:rPr>
                <w:sz w:val="20"/>
              </w:rPr>
              <w:t xml:space="preserve">Итого ФОТ</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оборудование</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оборудование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оборудования</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прочие затраты </w:t>
            </w:r>
            <w:hyperlink w:history="0" w:anchor="P2303"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по разделу Раздел X</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отсутствующие в ФРСН</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pPr>
            <w:r>
              <w:rPr>
                <w:sz w:val="20"/>
              </w:rPr>
            </w:r>
          </w:p>
        </w:tc>
        <w:tc>
          <w:tcPr>
            <w:gridSpan w:val="2"/>
            <w:tcW w:w="1461" w:type="dxa"/>
            <w:tcBorders>
              <w:top w:val="nil"/>
              <w:left w:val="nil"/>
              <w:bottom w:val="single" w:sz="4"/>
              <w:right w:val="nil"/>
            </w:tcBorders>
          </w:tcPr>
          <w:p>
            <w:pPr>
              <w:pStyle w:val="0"/>
            </w:pPr>
            <w:r>
              <w:rPr>
                <w:sz w:val="20"/>
              </w:rPr>
            </w:r>
          </w:p>
        </w:tc>
        <w:tc>
          <w:tcPr>
            <w:gridSpan w:val="7"/>
            <w:tcW w:w="9094" w:type="dxa"/>
            <w:tcBorders>
              <w:top w:val="nil"/>
              <w:left w:val="nil"/>
              <w:bottom w:val="single" w:sz="4"/>
              <w:right w:val="nil"/>
            </w:tcBorders>
          </w:tcPr>
          <w:p>
            <w:pPr>
              <w:pStyle w:val="0"/>
              <w:ind w:left="283"/>
            </w:pPr>
            <w:r>
              <w:rPr>
                <w:sz w:val="20"/>
              </w:rPr>
              <w:t xml:space="preserve">оборудование, отсутствующие в ФРСН</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gridSpan w:val="2"/>
            <w:tcW w:w="1461" w:type="dxa"/>
            <w:tcBorders>
              <w:top w:val="single" w:sz="4"/>
              <w:left w:val="nil"/>
              <w:bottom w:val="nil"/>
              <w:right w:val="nil"/>
            </w:tcBorders>
          </w:tcPr>
          <w:p>
            <w:pPr>
              <w:pStyle w:val="0"/>
            </w:pPr>
            <w:r>
              <w:rPr>
                <w:sz w:val="20"/>
              </w:rPr>
            </w:r>
          </w:p>
        </w:tc>
        <w:tc>
          <w:tcPr>
            <w:gridSpan w:val="7"/>
            <w:tcW w:w="9094" w:type="dxa"/>
            <w:tcBorders>
              <w:top w:val="single" w:sz="4"/>
              <w:left w:val="nil"/>
              <w:bottom w:val="nil"/>
              <w:right w:val="nil"/>
            </w:tcBorders>
          </w:tcPr>
          <w:p>
            <w:pPr>
              <w:pStyle w:val="0"/>
            </w:pPr>
            <w:r>
              <w:rPr>
                <w:sz w:val="20"/>
              </w:rPr>
              <w:t xml:space="preserve">ИТОГИ ПО СМЕТЕ</w:t>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строительные работы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строительные работы без учета перевозки, в том числе дополнительной</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прямые затраты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доплаты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монтажные работы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монтажные работы без учета перевозки, в том числе дополнительной</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прямые затраты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доплаты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оборудование</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оборудование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дополнительная перевозка оборудования</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прочие затраты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прочие затраты </w:t>
            </w:r>
            <w:hyperlink w:history="0" w:anchor="P2303"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прочие работы </w:t>
            </w:r>
            <w:hyperlink w:history="0" w:anchor="P2304" w:tooltip="&lt;3&gt; Под прочими работами понимаются затраты, учитываемые в соответствии с пунктами 122 - 128 Методики.">
              <w:r>
                <w:rPr>
                  <w:sz w:val="20"/>
                  <w:color w:val="0000ff"/>
                </w:rPr>
                <w:t xml:space="preserve">&lt;3&gt;</w:t>
              </w:r>
            </w:hyperlink>
            <w:r>
              <w:rPr>
                <w:sz w:val="20"/>
              </w:rPr>
              <w:t xml:space="preserve"> без учета перевозки, в том числе дополнительной</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прямые затраты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566"/>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566"/>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849"/>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849"/>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849"/>
            </w:pPr>
            <w:r>
              <w:rPr>
                <w:sz w:val="20"/>
              </w:rPr>
              <w:t xml:space="preserve">доплаты к оплате труда машинистов</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566"/>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566"/>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566"/>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по смете</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Всего прямые затраты</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оборудование</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прочие затраты </w:t>
            </w:r>
            <w:hyperlink w:history="0" w:anchor="P2302" w:tooltip="&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
              <w:r>
                <w:rPr>
                  <w:sz w:val="20"/>
                  <w:color w:val="0000ff"/>
                </w:rPr>
                <w:t xml:space="preserve">&lt;1&gt;</w:t>
              </w:r>
            </w:hyperlink>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Справочно</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отсутствующие в ФРСН</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оборудование, отсутствующие в ФРСН</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4"/>
            <w:tcW w:w="6292" w:type="dxa"/>
            <w:tcBorders>
              <w:top w:val="nil"/>
              <w:left w:val="nil"/>
              <w:bottom w:val="nil"/>
              <w:right w:val="nil"/>
            </w:tcBorders>
          </w:tcPr>
          <w:p>
            <w:pPr>
              <w:pStyle w:val="0"/>
              <w:ind w:left="283"/>
            </w:pPr>
            <w:r>
              <w:rPr>
                <w:sz w:val="20"/>
              </w:rPr>
              <w:t xml:space="preserve">затраты труда рабочих</w:t>
            </w:r>
          </w:p>
        </w:tc>
        <w:tc>
          <w:tcPr>
            <w:tcW w:w="994" w:type="dxa"/>
            <w:tcBorders>
              <w:top w:val="nil"/>
              <w:left w:val="nil"/>
              <w:bottom w:val="nil"/>
              <w:right w:val="nil"/>
            </w:tcBorders>
          </w:tcPr>
          <w:p>
            <w:pPr>
              <w:pStyle w:val="0"/>
              <w:jc w:val="center"/>
            </w:pPr>
            <w:r>
              <w:rPr>
                <w:sz w:val="20"/>
              </w:rPr>
              <w:t xml:space="preserve">&lt;X&gt;</w:t>
            </w:r>
          </w:p>
        </w:tc>
        <w:tc>
          <w:tcPr>
            <w:gridSpan w:val="2"/>
            <w:tcW w:w="180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4"/>
            <w:tcW w:w="6292" w:type="dxa"/>
            <w:tcBorders>
              <w:top w:val="nil"/>
              <w:left w:val="nil"/>
              <w:bottom w:val="nil"/>
              <w:right w:val="nil"/>
            </w:tcBorders>
          </w:tcPr>
          <w:p>
            <w:pPr>
              <w:pStyle w:val="0"/>
              <w:ind w:left="283"/>
            </w:pPr>
            <w:r>
              <w:rPr>
                <w:sz w:val="20"/>
              </w:rPr>
              <w:t xml:space="preserve">затраты труда машинистов</w:t>
            </w:r>
          </w:p>
        </w:tc>
        <w:tc>
          <w:tcPr>
            <w:tcW w:w="994" w:type="dxa"/>
            <w:tcBorders>
              <w:top w:val="nil"/>
              <w:left w:val="nil"/>
              <w:bottom w:val="nil"/>
              <w:right w:val="nil"/>
            </w:tcBorders>
          </w:tcPr>
          <w:p>
            <w:pPr>
              <w:pStyle w:val="0"/>
              <w:jc w:val="center"/>
            </w:pPr>
            <w:r>
              <w:rPr>
                <w:sz w:val="20"/>
              </w:rPr>
              <w:t xml:space="preserve">&lt;X&gt;</w:t>
            </w:r>
          </w:p>
        </w:tc>
        <w:tc>
          <w:tcPr>
            <w:gridSpan w:val="2"/>
            <w:tcW w:w="180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4"/>
            <w:tcW w:w="6292"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gridSpan w:val="2"/>
            <w:tcW w:w="180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ПНР "вхолостую"</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&lt;обоснование&gt;</w:t>
            </w:r>
          </w:p>
        </w:tc>
        <w:tc>
          <w:tcPr>
            <w:tcW w:w="3118" w:type="dxa"/>
            <w:vAlign w:val="bottom"/>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t xml:space="preserve">ПНР "под нагрузкой"</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vAlign w:val="center"/>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t xml:space="preserve">в том числе</w:t>
            </w:r>
          </w:p>
        </w:tc>
        <w:tc>
          <w:tcPr>
            <w:tcW w:w="1247" w:type="dxa"/>
            <w:vAlign w:val="center"/>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vAlign w:val="center"/>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vAlign w:val="center"/>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vAlign w:val="center"/>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gridSpan w:val="2"/>
            <w:tcW w:w="1461"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1304"/>
        <w:gridCol w:w="7767"/>
      </w:tblGrid>
      <w:tr>
        <w:tc>
          <w:tcPr>
            <w:tcW w:w="1304" w:type="dxa"/>
            <w:vAlign w:val="bottom"/>
            <w:tcBorders>
              <w:top w:val="nil"/>
              <w:left w:val="nil"/>
              <w:bottom w:val="nil"/>
              <w:right w:val="nil"/>
            </w:tcBorders>
          </w:tcPr>
          <w:p>
            <w:pPr>
              <w:pStyle w:val="0"/>
            </w:pPr>
            <w:r>
              <w:rPr>
                <w:sz w:val="20"/>
              </w:rPr>
              <w:t xml:space="preserve">Составил</w:t>
            </w:r>
          </w:p>
        </w:tc>
        <w:tc>
          <w:tcPr>
            <w:tcW w:w="7767" w:type="dxa"/>
            <w:tcBorders>
              <w:top w:val="nil"/>
              <w:left w:val="nil"/>
              <w:bottom w:val="single" w:sz="4"/>
              <w:right w:val="nil"/>
            </w:tcBorders>
          </w:tcPr>
          <w:p>
            <w:pPr>
              <w:pStyle w:val="0"/>
            </w:pPr>
            <w:r>
              <w:rPr>
                <w:sz w:val="20"/>
              </w:rPr>
            </w:r>
          </w:p>
        </w:tc>
      </w:tr>
      <w:tr>
        <w:tc>
          <w:tcPr>
            <w:tcW w:w="1304" w:type="dxa"/>
            <w:tcBorders>
              <w:top w:val="nil"/>
              <w:left w:val="nil"/>
              <w:bottom w:val="nil"/>
              <w:right w:val="nil"/>
            </w:tcBorders>
          </w:tcPr>
          <w:p>
            <w:pPr>
              <w:pStyle w:val="0"/>
            </w:pPr>
            <w:r>
              <w:rPr>
                <w:sz w:val="20"/>
              </w:rPr>
            </w:r>
          </w:p>
        </w:tc>
        <w:tc>
          <w:tcPr>
            <w:tcW w:w="7767" w:type="dxa"/>
            <w:tcBorders>
              <w:top w:val="single" w:sz="4"/>
              <w:left w:val="nil"/>
              <w:bottom w:val="nil"/>
              <w:right w:val="nil"/>
            </w:tcBorders>
          </w:tcPr>
          <w:p>
            <w:pPr>
              <w:pStyle w:val="0"/>
              <w:jc w:val="right"/>
            </w:pPr>
            <w:r>
              <w:rPr>
                <w:sz w:val="20"/>
              </w:rPr>
              <w:t xml:space="preserve">[должность, подпись (инициалы, фамилия)]</w:t>
            </w:r>
          </w:p>
        </w:tc>
      </w:tr>
      <w:tr>
        <w:tc>
          <w:tcPr>
            <w:tcW w:w="1304" w:type="dxa"/>
            <w:vAlign w:val="bottom"/>
            <w:tcBorders>
              <w:top w:val="nil"/>
              <w:left w:val="nil"/>
              <w:bottom w:val="nil"/>
              <w:right w:val="nil"/>
            </w:tcBorders>
          </w:tcPr>
          <w:p>
            <w:pPr>
              <w:pStyle w:val="0"/>
            </w:pPr>
            <w:r>
              <w:rPr>
                <w:sz w:val="20"/>
              </w:rPr>
              <w:t xml:space="preserve">Проверил</w:t>
            </w:r>
          </w:p>
        </w:tc>
        <w:tc>
          <w:tcPr>
            <w:tcW w:w="7767" w:type="dxa"/>
            <w:tcBorders>
              <w:top w:val="nil"/>
              <w:left w:val="nil"/>
              <w:bottom w:val="single" w:sz="4"/>
              <w:right w:val="nil"/>
            </w:tcBorders>
          </w:tcPr>
          <w:p>
            <w:pPr>
              <w:pStyle w:val="0"/>
            </w:pPr>
            <w:r>
              <w:rPr>
                <w:sz w:val="20"/>
              </w:rPr>
            </w:r>
          </w:p>
        </w:tc>
      </w:tr>
      <w:tr>
        <w:tc>
          <w:tcPr>
            <w:tcW w:w="1304" w:type="dxa"/>
            <w:tcBorders>
              <w:top w:val="nil"/>
              <w:left w:val="nil"/>
              <w:bottom w:val="nil"/>
              <w:right w:val="nil"/>
            </w:tcBorders>
          </w:tcPr>
          <w:p>
            <w:pPr>
              <w:pStyle w:val="0"/>
            </w:pPr>
            <w:r>
              <w:rPr>
                <w:sz w:val="20"/>
              </w:rPr>
            </w:r>
          </w:p>
        </w:tc>
        <w:tc>
          <w:tcPr>
            <w:tcW w:w="7767" w:type="dxa"/>
            <w:vAlign w:val="bottom"/>
            <w:tcBorders>
              <w:top w:val="single" w:sz="4"/>
              <w:left w:val="nil"/>
              <w:bottom w:val="nil"/>
              <w:right w:val="nil"/>
            </w:tcBorders>
          </w:tcPr>
          <w:p>
            <w:pPr>
              <w:pStyle w:val="0"/>
              <w:jc w:val="right"/>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w:t>
      </w:r>
    </w:p>
    <w:bookmarkStart w:id="2302" w:name="P2302"/>
    <w:bookmarkEnd w:id="2302"/>
    <w:p>
      <w:pPr>
        <w:pStyle w:val="0"/>
        <w:spacing w:before="200" w:line-rule="auto"/>
        <w:ind w:firstLine="540"/>
        <w:jc w:val="both"/>
      </w:pPr>
      <w:r>
        <w:rPr>
          <w:sz w:val="20"/>
        </w:rPr>
        <w:t xml:space="preserve">&lt;1&gt;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w:t>
      </w:r>
    </w:p>
    <w:bookmarkStart w:id="2303" w:name="P2303"/>
    <w:bookmarkEnd w:id="2303"/>
    <w:p>
      <w:pPr>
        <w:pStyle w:val="0"/>
        <w:spacing w:before="200" w:line-rule="auto"/>
        <w:ind w:firstLine="540"/>
        <w:jc w:val="both"/>
      </w:pPr>
      <w:r>
        <w:rPr>
          <w:sz w:val="20"/>
        </w:rPr>
        <w:t xml:space="preserve">&lt;2&gt; Под прочими затратами понимаются затраты, учитываемые в соответствии с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пунктом 184</w:t>
        </w:r>
      </w:hyperlink>
      <w:r>
        <w:rPr>
          <w:sz w:val="20"/>
        </w:rPr>
        <w:t xml:space="preserve"> Методики.</w:t>
      </w:r>
    </w:p>
    <w:bookmarkStart w:id="2304" w:name="P2304"/>
    <w:bookmarkEnd w:id="2304"/>
    <w:p>
      <w:pPr>
        <w:pStyle w:val="0"/>
        <w:spacing w:before="200" w:line-rule="auto"/>
        <w:ind w:firstLine="540"/>
        <w:jc w:val="both"/>
      </w:pPr>
      <w:r>
        <w:rPr>
          <w:sz w:val="20"/>
        </w:rPr>
        <w:t xml:space="preserve">&lt;3&gt; Под прочими работами понимаются затраты, учитываемые в соответствии с </w:t>
      </w:r>
      <w:hyperlink w:history="0" w:anchor="P525" w:tooltip="122. Сметная стоимость пусконаладочных работ определяется на основании программы и графика выполнения пусконаладочных работ.">
        <w:r>
          <w:rPr>
            <w:sz w:val="20"/>
            <w:color w:val="0000ff"/>
          </w:rPr>
          <w:t xml:space="preserve">пунктами 122</w:t>
        </w:r>
      </w:hyperlink>
      <w:r>
        <w:rPr>
          <w:sz w:val="20"/>
        </w:rPr>
        <w:t xml:space="preserve"> - </w:t>
      </w:r>
      <w:hyperlink w:history="0" w:anchor="P540" w:tooltip="128. При определении сметной стоимости строительства особо опасных, технически сложных и уникальных объектов капитального строительства необходимость учета в главе 9 (графы 7 и 8) сводного сметного расчета затрат &quot;под нагрузкой&quot;, определенных сметными расчетами, разработанными по рекомендуемым образцам, приведенным в Приложениях N 2 - 6 к Методике, устанавливается заказчиком по согласованию с главным распорядителем средств соответствующего бюджета (за исключением случаев, когда заказчиком является главны...">
        <w:r>
          <w:rPr>
            <w:sz w:val="20"/>
            <w:color w:val="0000ff"/>
          </w:rPr>
          <w:t xml:space="preserve">128</w:t>
        </w:r>
      </w:hyperlink>
      <w:r>
        <w:rPr>
          <w:sz w:val="20"/>
        </w:rPr>
        <w:t xml:space="preserve"> Методики.</w:t>
      </w:r>
    </w:p>
    <w:p>
      <w:pPr>
        <w:pStyle w:val="0"/>
        <w:jc w:val="both"/>
      </w:pPr>
      <w:r>
        <w:rPr>
          <w:sz w:val="20"/>
        </w:rPr>
      </w:r>
    </w:p>
    <w:p>
      <w:pPr>
        <w:pStyle w:val="0"/>
        <w:jc w:val="both"/>
      </w:pPr>
      <w:r>
        <w:rPr>
          <w:sz w:val="20"/>
        </w:rPr>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vAlign w:val="bottom"/>
            <w:tcBorders>
              <w:top w:val="nil"/>
              <w:left w:val="nil"/>
              <w:bottom w:val="nil"/>
              <w:right w:val="nil"/>
            </w:tcBorders>
          </w:tcPr>
          <w:p>
            <w:pPr>
              <w:pStyle w:val="0"/>
              <w:outlineLvl w:val="2"/>
              <w:jc w:val="center"/>
            </w:pPr>
            <w:r>
              <w:rPr>
                <w:sz w:val="20"/>
              </w:rPr>
              <w:t xml:space="preserve">Форма N 2 локального сметного расчета (сметы) для базисно-индексного метода с применением индексов к элементам прямых затрат</w:t>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5197"/>
        <w:gridCol w:w="3874"/>
      </w:tblGrid>
      <w:tr>
        <w:tblPrEx>
          <w:tblBorders>
            <w:insideH w:val="nil"/>
          </w:tblBorders>
        </w:tblPrEx>
        <w:tc>
          <w:tcPr>
            <w:tcW w:w="5197" w:type="dxa"/>
            <w:vAlign w:val="bottom"/>
            <w:tcBorders>
              <w:top w:val="nil"/>
              <w:left w:val="nil"/>
              <w:bottom w:val="nil"/>
              <w:right w:val="nil"/>
            </w:tcBorders>
          </w:tcPr>
          <w:p>
            <w:pPr>
              <w:pStyle w:val="0"/>
            </w:pPr>
            <w:r>
              <w:rPr>
                <w:sz w:val="20"/>
              </w:rPr>
              <w:t xml:space="preserve">Наименование программного продукта</w:t>
            </w:r>
          </w:p>
        </w:tc>
        <w:tc>
          <w:tcPr>
            <w:tcW w:w="3874" w:type="dxa"/>
            <w:tcBorders>
              <w:top w:val="nil"/>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редакции сметных нормативов</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jc w:val="both"/>
            </w:pPr>
            <w:r>
              <w:rPr>
                <w:sz w:val="20"/>
              </w:rPr>
              <w:t xml:space="preserve">Реквизиты приказа Минстроя России об утверждении дополнений и изменений к сметным нормативам</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jc w:val="both"/>
            </w:pPr>
            <w:r>
              <w:rPr>
                <w:sz w:val="20"/>
              </w:rPr>
              <w:t xml:space="preserve">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с </w:t>
            </w:r>
            <w:hyperlink w:history="0" r:id="rId203"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пунктом 85</w:t>
              </w:r>
            </w:hyperlink>
            <w:r>
              <w:rPr>
                <w:sz w:val="20"/>
              </w:rPr>
              <w:t xml:space="preserve">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N 326/пр </w:t>
            </w:r>
            <w:hyperlink w:history="0" w:anchor="P3643" w:tooltip="&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
              <w:r>
                <w:rPr>
                  <w:sz w:val="20"/>
                  <w:color w:val="0000ff"/>
                </w:rPr>
                <w:t xml:space="preserve">&lt;1&gt;</w:t>
              </w:r>
            </w:hyperlink>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jc w:val="both"/>
            </w:pPr>
            <w:r>
              <w:rPr>
                <w:sz w:val="20"/>
              </w:rPr>
              <w:t xml:space="preserve">Реквизиты нормативного правового акта об утверждении оплаты труда, утверждаемый в соответствии с </w:t>
            </w:r>
            <w:hyperlink w:history="0" r:id="rId204"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пунктом 22(1)</w:t>
              </w:r>
            </w:hyperlink>
            <w:r>
              <w:rPr>
                <w:sz w:val="20"/>
              </w:rPr>
              <w:t xml:space="preserve"> Правилами мониторинга цен, утвержденными постановлением Правительства Российской Федерации от 23 декабря 2016 г. N 1452</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субъекта Российской Федерации</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зоны субъекта Российской Федерации</w:t>
            </w:r>
          </w:p>
        </w:tc>
        <w:tc>
          <w:tcPr>
            <w:tcW w:w="3874" w:type="dxa"/>
            <w:tcBorders>
              <w:left w:val="nil"/>
              <w:right w:val="nil"/>
            </w:tcBorders>
          </w:tcPr>
          <w:p>
            <w:pPr>
              <w:pStyle w:val="0"/>
            </w:pPr>
            <w:r>
              <w:rPr>
                <w:sz w:val="20"/>
              </w:rPr>
            </w:r>
          </w:p>
        </w:tc>
      </w:tr>
      <w:tr>
        <w:tblPrEx>
          <w:tblBorders>
            <w:insideH w:val="nil"/>
          </w:tblBorders>
        </w:tblPrEx>
        <w:tc>
          <w:tcPr>
            <w:gridSpan w:val="2"/>
            <w:tcW w:w="9071" w:type="dxa"/>
            <w:tcBorders>
              <w:top w:val="nil"/>
              <w:left w:val="nil"/>
              <w:right w:val="nil"/>
            </w:tcBorders>
          </w:tcPr>
          <w:p>
            <w:pPr>
              <w:pStyle w:val="0"/>
            </w:pPr>
            <w:r>
              <w:rPr>
                <w:sz w:val="20"/>
              </w:rPr>
            </w:r>
          </w:p>
        </w:tc>
      </w:tr>
      <w:tr>
        <w:tblPrEx>
          <w:tblBorders>
            <w:insideH w:val="nil"/>
          </w:tblBorders>
        </w:tblPrEx>
        <w:tc>
          <w:tcPr>
            <w:gridSpan w:val="2"/>
            <w:tcW w:w="9071" w:type="dxa"/>
            <w:vAlign w:val="bottom"/>
            <w:tcBorders>
              <w:left w:val="nil"/>
              <w:bottom w:val="nil"/>
              <w:right w:val="nil"/>
            </w:tcBorders>
          </w:tcPr>
          <w:p>
            <w:pPr>
              <w:pStyle w:val="0"/>
              <w:jc w:val="center"/>
            </w:pPr>
            <w:r>
              <w:rPr>
                <w:sz w:val="20"/>
              </w:rPr>
              <w:t xml:space="preserve">(наименование стройки)</w:t>
            </w:r>
          </w:p>
        </w:tc>
      </w:tr>
      <w:tr>
        <w:tblPrEx>
          <w:tblBorders>
            <w:insideH w:val="nil"/>
          </w:tblBorders>
        </w:tblPrEx>
        <w:tc>
          <w:tcPr>
            <w:gridSpan w:val="2"/>
            <w:tcW w:w="9071" w:type="dxa"/>
            <w:tcBorders>
              <w:top w:val="nil"/>
              <w:left w:val="nil"/>
              <w:right w:val="nil"/>
            </w:tcBorders>
          </w:tcPr>
          <w:p>
            <w:pPr>
              <w:pStyle w:val="0"/>
            </w:pPr>
            <w:r>
              <w:rPr>
                <w:sz w:val="20"/>
              </w:rPr>
            </w:r>
          </w:p>
        </w:tc>
      </w:tr>
      <w:tr>
        <w:tc>
          <w:tcPr>
            <w:gridSpan w:val="2"/>
            <w:tcW w:w="9071" w:type="dxa"/>
            <w:vAlign w:val="bottom"/>
            <w:tcBorders>
              <w:left w:val="nil"/>
              <w:bottom w:val="nil"/>
              <w:right w:val="nil"/>
            </w:tcBorders>
          </w:tcPr>
          <w:p>
            <w:pPr>
              <w:pStyle w:val="0"/>
              <w:jc w:val="center"/>
            </w:pPr>
            <w:r>
              <w:rPr>
                <w:sz w:val="20"/>
              </w:rPr>
              <w:t xml:space="preserve">(наименование объекта капитального строительства)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0"/>
              </w:rPr>
              <w:t xml:space="preserve">ЛОКАЛЬНЫЙ СМЕТНЫЙ РАСЧЕТ (СМЕТА) N __________</w:t>
            </w:r>
          </w:p>
        </w:tc>
      </w:tr>
      <w:tr>
        <w:tc>
          <w:tcPr>
            <w:tcW w:w="9071" w:type="dxa"/>
            <w:tcBorders>
              <w:top w:val="nil"/>
              <w:left w:val="nil"/>
              <w:bottom w:val="single" w:sz="4"/>
              <w:right w:val="nil"/>
            </w:tcBorders>
          </w:tcPr>
          <w:p>
            <w:pPr>
              <w:pStyle w:val="0"/>
            </w:pPr>
            <w:r>
              <w:rPr>
                <w:sz w:val="20"/>
              </w:rPr>
            </w:r>
          </w:p>
        </w:tc>
      </w:tr>
      <w:tr>
        <w:tblPrEx>
          <w:tblBorders>
            <w:insideH w:val="single" w:sz="4"/>
          </w:tblBorders>
        </w:tblPrEx>
        <w:tc>
          <w:tcPr>
            <w:tcW w:w="9071" w:type="dxa"/>
            <w:tcBorders>
              <w:top w:val="single" w:sz="4"/>
              <w:left w:val="nil"/>
              <w:bottom w:val="nil"/>
              <w:right w:val="nil"/>
            </w:tcBorders>
          </w:tcPr>
          <w:p>
            <w:pPr>
              <w:pStyle w:val="0"/>
              <w:jc w:val="center"/>
            </w:pPr>
            <w:r>
              <w:rPr>
                <w:sz w:val="20"/>
              </w:rPr>
              <w:t xml:space="preserve">(наименование работ и затрат)</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378"/>
        <w:gridCol w:w="5083"/>
        <w:gridCol w:w="2618"/>
      </w:tblGrid>
      <w:tr>
        <w:tc>
          <w:tcPr>
            <w:tcW w:w="1378" w:type="dxa"/>
            <w:tcBorders>
              <w:top w:val="nil"/>
              <w:left w:val="nil"/>
              <w:bottom w:val="nil"/>
              <w:right w:val="nil"/>
            </w:tcBorders>
          </w:tcPr>
          <w:p>
            <w:pPr>
              <w:pStyle w:val="0"/>
            </w:pPr>
            <w:r>
              <w:rPr>
                <w:sz w:val="20"/>
              </w:rPr>
              <w:t xml:space="preserve">Составлен</w:t>
            </w:r>
          </w:p>
        </w:tc>
        <w:tc>
          <w:tcPr>
            <w:tcW w:w="5083" w:type="dxa"/>
            <w:tcBorders>
              <w:top w:val="nil"/>
              <w:left w:val="nil"/>
              <w:bottom w:val="single" w:sz="4"/>
              <w:right w:val="nil"/>
            </w:tcBorders>
          </w:tcPr>
          <w:p>
            <w:pPr>
              <w:pStyle w:val="0"/>
              <w:jc w:val="center"/>
            </w:pPr>
            <w:r>
              <w:rPr>
                <w:sz w:val="20"/>
              </w:rPr>
              <w:t xml:space="preserve">базисно-индексным</w:t>
            </w:r>
          </w:p>
        </w:tc>
        <w:tc>
          <w:tcPr>
            <w:tcW w:w="2618" w:type="dxa"/>
            <w:tcBorders>
              <w:top w:val="nil"/>
              <w:left w:val="nil"/>
              <w:bottom w:val="nil"/>
              <w:right w:val="nil"/>
            </w:tcBorders>
          </w:tcPr>
          <w:p>
            <w:pPr>
              <w:pStyle w:val="0"/>
            </w:pPr>
            <w:r>
              <w:rPr>
                <w:sz w:val="20"/>
              </w:rPr>
              <w:t xml:space="preserve">методом</w:t>
            </w:r>
          </w:p>
        </w:tc>
      </w:tr>
      <w:tr>
        <w:tc>
          <w:tcPr>
            <w:tcW w:w="1378" w:type="dxa"/>
            <w:tcBorders>
              <w:top w:val="nil"/>
              <w:left w:val="nil"/>
              <w:bottom w:val="nil"/>
              <w:right w:val="nil"/>
            </w:tcBorders>
          </w:tcPr>
          <w:p>
            <w:pPr>
              <w:pStyle w:val="0"/>
            </w:pPr>
            <w:r>
              <w:rPr>
                <w:sz w:val="20"/>
              </w:rPr>
              <w:t xml:space="preserve">Основание</w:t>
            </w:r>
          </w:p>
        </w:tc>
        <w:tc>
          <w:tcPr>
            <w:gridSpan w:val="2"/>
            <w:tcW w:w="7701" w:type="dxa"/>
            <w:tcBorders>
              <w:top w:val="nil"/>
              <w:left w:val="nil"/>
              <w:bottom w:val="single" w:sz="4"/>
              <w:right w:val="nil"/>
            </w:tcBorders>
          </w:tcPr>
          <w:p>
            <w:pPr>
              <w:pStyle w:val="0"/>
            </w:pPr>
            <w:r>
              <w:rPr>
                <w:sz w:val="20"/>
              </w:rPr>
            </w:r>
          </w:p>
        </w:tc>
      </w:tr>
      <w:tr>
        <w:tc>
          <w:tcPr>
            <w:tcW w:w="1378" w:type="dxa"/>
            <w:tcBorders>
              <w:top w:val="nil"/>
              <w:left w:val="nil"/>
              <w:bottom w:val="nil"/>
              <w:right w:val="nil"/>
            </w:tcBorders>
          </w:tcPr>
          <w:p>
            <w:pPr>
              <w:pStyle w:val="0"/>
            </w:pPr>
            <w:r>
              <w:rPr>
                <w:sz w:val="20"/>
              </w:rPr>
            </w:r>
          </w:p>
        </w:tc>
        <w:tc>
          <w:tcPr>
            <w:gridSpan w:val="2"/>
            <w:tcW w:w="7701" w:type="dxa"/>
            <w:tcBorders>
              <w:top w:val="single" w:sz="4"/>
              <w:left w:val="nil"/>
              <w:bottom w:val="nil"/>
              <w:right w:val="nil"/>
            </w:tcBorders>
          </w:tcPr>
          <w:p>
            <w:pPr>
              <w:pStyle w:val="0"/>
              <w:jc w:val="center"/>
            </w:pPr>
            <w:r>
              <w:rPr>
                <w:sz w:val="20"/>
              </w:rPr>
              <w:t xml:space="preserve">(проектная и (или) иная техническая документация)</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2361"/>
        <w:gridCol w:w="340"/>
        <w:gridCol w:w="340"/>
        <w:gridCol w:w="1984"/>
        <w:gridCol w:w="1162"/>
        <w:gridCol w:w="737"/>
        <w:gridCol w:w="4082"/>
        <w:gridCol w:w="340"/>
        <w:gridCol w:w="794"/>
        <w:gridCol w:w="340"/>
        <w:gridCol w:w="1077"/>
      </w:tblGrid>
      <w:tr>
        <w:tc>
          <w:tcPr>
            <w:gridSpan w:val="3"/>
            <w:tcW w:w="3041" w:type="dxa"/>
            <w:vAlign w:val="bottom"/>
            <w:tcBorders>
              <w:top w:val="nil"/>
              <w:left w:val="nil"/>
              <w:bottom w:val="nil"/>
              <w:right w:val="nil"/>
            </w:tcBorders>
          </w:tcPr>
          <w:p>
            <w:pPr>
              <w:pStyle w:val="0"/>
            </w:pPr>
            <w:r>
              <w:rPr>
                <w:sz w:val="20"/>
              </w:rPr>
              <w:t xml:space="preserve">Составлен(а) в текущем (базисном) уровне цен</w:t>
            </w:r>
          </w:p>
        </w:tc>
        <w:tc>
          <w:tcPr>
            <w:tcW w:w="1984" w:type="dxa"/>
            <w:vAlign w:val="bottom"/>
            <w:tcBorders>
              <w:top w:val="nil"/>
              <w:left w:val="nil"/>
              <w:bottom w:val="nil"/>
              <w:right w:val="nil"/>
            </w:tcBorders>
          </w:tcPr>
          <w:p>
            <w:pPr>
              <w:pStyle w:val="0"/>
            </w:pPr>
            <w:r>
              <w:rPr>
                <w:sz w:val="20"/>
              </w:rPr>
              <w:t xml:space="preserve">_________ (___)</w:t>
            </w:r>
          </w:p>
        </w:tc>
        <w:tc>
          <w:tcPr>
            <w:tcW w:w="1162" w:type="dxa"/>
            <w:vAlign w:val="bottom"/>
            <w:tcBorders>
              <w:top w:val="nil"/>
              <w:left w:val="nil"/>
              <w:bottom w:val="nil"/>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79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tcW w:w="2361" w:type="dxa"/>
            <w:vAlign w:val="bottom"/>
            <w:tcBorders>
              <w:top w:val="nil"/>
              <w:left w:val="nil"/>
              <w:bottom w:val="nil"/>
              <w:right w:val="nil"/>
            </w:tcBorders>
          </w:tcPr>
          <w:p>
            <w:pPr>
              <w:pStyle w:val="0"/>
            </w:pPr>
            <w:r>
              <w:rPr>
                <w:sz w:val="20"/>
              </w:rPr>
              <w:t xml:space="preserve">Сметная стоимость</w:t>
            </w:r>
          </w:p>
        </w:tc>
        <w:tc>
          <w:tcPr>
            <w:gridSpan w:val="3"/>
            <w:tcW w:w="2664" w:type="dxa"/>
            <w:tcBorders>
              <w:top w:val="nil"/>
              <w:left w:val="nil"/>
              <w:bottom w:val="nil"/>
              <w:right w:val="nil"/>
            </w:tcBorders>
          </w:tcPr>
          <w:p>
            <w:pPr>
              <w:pStyle w:val="0"/>
              <w:jc w:val="both"/>
            </w:pPr>
            <w:r>
              <w:rPr>
                <w:sz w:val="20"/>
              </w:rPr>
              <w:t xml:space="preserve">__________ (________)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bookmarkStart w:id="2354" w:name="P2354"/>
          <w:bookmarkEnd w:id="2354"/>
          <w:p>
            <w:pPr>
              <w:pStyle w:val="0"/>
            </w:pPr>
            <w:r>
              <w:rPr>
                <w:sz w:val="20"/>
              </w:rPr>
              <w:t xml:space="preserve">Средства на оплату труда рабочих</w:t>
            </w:r>
          </w:p>
        </w:tc>
        <w:tc>
          <w:tcPr>
            <w:gridSpan w:val="3"/>
            <w:tcW w:w="1474" w:type="dxa"/>
            <w:tcBorders>
              <w:top w:val="nil"/>
              <w:left w:val="nil"/>
              <w:bottom w:val="nil"/>
              <w:right w:val="nil"/>
            </w:tcBorders>
          </w:tcPr>
          <w:p>
            <w:pPr>
              <w:pStyle w:val="0"/>
              <w:jc w:val="center"/>
            </w:pPr>
            <w:r>
              <w:rPr>
                <w:sz w:val="20"/>
              </w:rPr>
              <w:t xml:space="preserve">______ (___)</w:t>
            </w:r>
          </w:p>
        </w:tc>
        <w:tc>
          <w:tcPr>
            <w:tcW w:w="1077" w:type="dxa"/>
            <w:vAlign w:val="bottom"/>
            <w:tcBorders>
              <w:top w:val="nil"/>
              <w:left w:val="nil"/>
              <w:bottom w:val="nil"/>
              <w:right w:val="nil"/>
            </w:tcBorders>
          </w:tcPr>
          <w:p>
            <w:pPr>
              <w:pStyle w:val="0"/>
            </w:pPr>
            <w:r>
              <w:rPr>
                <w:sz w:val="20"/>
              </w:rPr>
              <w:t xml:space="preserve">тыс. руб.</w:t>
            </w:r>
          </w:p>
        </w:tc>
      </w:tr>
      <w:tr>
        <w:tc>
          <w:tcPr>
            <w:gridSpan w:val="4"/>
            <w:tcW w:w="5025" w:type="dxa"/>
            <w:vAlign w:val="bottom"/>
            <w:tcBorders>
              <w:top w:val="nil"/>
              <w:left w:val="nil"/>
              <w:bottom w:val="nil"/>
              <w:right w:val="nil"/>
            </w:tcBorders>
          </w:tcPr>
          <w:p>
            <w:pPr>
              <w:pStyle w:val="0"/>
              <w:ind w:left="566"/>
            </w:pPr>
            <w:r>
              <w:rPr>
                <w:sz w:val="20"/>
              </w:rPr>
              <w:t xml:space="preserve">в том числе:</w:t>
            </w:r>
          </w:p>
        </w:tc>
        <w:tc>
          <w:tcPr>
            <w:tcW w:w="1162" w:type="dxa"/>
            <w:vAlign w:val="bottom"/>
            <w:tcBorders>
              <w:top w:val="nil"/>
              <w:left w:val="nil"/>
              <w:bottom w:val="nil"/>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pPr>
            <w:r>
              <w:rPr>
                <w:sz w:val="20"/>
              </w:rPr>
            </w:r>
          </w:p>
        </w:tc>
        <w:tc>
          <w:tcPr>
            <w:gridSpan w:val="3"/>
            <w:tcW w:w="1474" w:type="dxa"/>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gridSpan w:val="2"/>
            <w:tcW w:w="2701" w:type="dxa"/>
            <w:vAlign w:val="bottom"/>
            <w:tcBorders>
              <w:top w:val="nil"/>
              <w:left w:val="nil"/>
              <w:bottom w:val="nil"/>
              <w:right w:val="nil"/>
            </w:tcBorders>
          </w:tcPr>
          <w:p>
            <w:pPr>
              <w:pStyle w:val="0"/>
              <w:ind w:left="566"/>
            </w:pPr>
            <w:r>
              <w:rPr>
                <w:sz w:val="20"/>
              </w:rPr>
              <w:t xml:space="preserve">строительных работ</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vAlign w:val="bottom"/>
            <w:tcBorders>
              <w:top w:val="nil"/>
              <w:left w:val="nil"/>
              <w:bottom w:val="nil"/>
              <w:right w:val="nil"/>
            </w:tcBorders>
          </w:tcPr>
          <w:p>
            <w:pPr>
              <w:pStyle w:val="0"/>
            </w:pPr>
            <w:r>
              <w:rPr>
                <w:sz w:val="20"/>
              </w:rPr>
              <w:t xml:space="preserve">Нормативные затраты труда рабочих</w:t>
            </w:r>
          </w:p>
        </w:tc>
        <w:tc>
          <w:tcPr>
            <w:gridSpan w:val="2"/>
            <w:tcW w:w="1134"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чел.-ч.</w:t>
            </w:r>
          </w:p>
        </w:tc>
      </w:tr>
      <w:tr>
        <w:tc>
          <w:tcPr>
            <w:gridSpan w:val="2"/>
            <w:tcW w:w="2701" w:type="dxa"/>
            <w:vAlign w:val="bottom"/>
            <w:tcBorders>
              <w:top w:val="nil"/>
              <w:left w:val="nil"/>
              <w:bottom w:val="nil"/>
              <w:right w:val="nil"/>
            </w:tcBorders>
          </w:tcPr>
          <w:p>
            <w:pPr>
              <w:pStyle w:val="0"/>
              <w:ind w:left="566"/>
            </w:pPr>
            <w:r>
              <w:rPr>
                <w:sz w:val="20"/>
              </w:rPr>
              <w:t xml:space="preserve">монтажных работ</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vMerge w:val="restart"/>
          </w:tcPr>
          <w:p>
            <w:pPr>
              <w:pStyle w:val="0"/>
            </w:pPr>
            <w:r>
              <w:rPr>
                <w:sz w:val="20"/>
              </w:rPr>
              <w:t xml:space="preserve">Нормативные затраты труда</w:t>
            </w:r>
          </w:p>
          <w:p>
            <w:pPr>
              <w:pStyle w:val="0"/>
            </w:pPr>
            <w:r>
              <w:rPr>
                <w:sz w:val="20"/>
              </w:rPr>
              <w:t xml:space="preserve">машинистов</w:t>
            </w:r>
          </w:p>
        </w:tc>
        <w:tc>
          <w:tcPr>
            <w:gridSpan w:val="2"/>
            <w:tcW w:w="1134" w:type="dxa"/>
            <w:tcBorders>
              <w:top w:val="single" w:sz="4"/>
              <w:left w:val="nil"/>
              <w:bottom w:val="single" w:sz="4"/>
              <w:right w:val="nil"/>
            </w:tcBorders>
            <w:vMerge w:val="restart"/>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1077" w:type="dxa"/>
            <w:vAlign w:val="bottom"/>
            <w:tcBorders>
              <w:top w:val="nil"/>
              <w:left w:val="nil"/>
              <w:bottom w:val="nil"/>
              <w:right w:val="nil"/>
            </w:tcBorders>
            <w:vMerge w:val="restart"/>
          </w:tcPr>
          <w:p>
            <w:pPr>
              <w:pStyle w:val="0"/>
            </w:pPr>
            <w:r>
              <w:rPr>
                <w:sz w:val="20"/>
              </w:rPr>
              <w:t xml:space="preserve">чел.-ч.</w:t>
            </w:r>
          </w:p>
        </w:tc>
      </w:tr>
      <w:tr>
        <w:tc>
          <w:tcPr>
            <w:gridSpan w:val="2"/>
            <w:tcW w:w="2701" w:type="dxa"/>
            <w:vAlign w:val="bottom"/>
            <w:tcBorders>
              <w:top w:val="nil"/>
              <w:left w:val="nil"/>
              <w:bottom w:val="nil"/>
              <w:right w:val="nil"/>
            </w:tcBorders>
          </w:tcPr>
          <w:p>
            <w:pPr>
              <w:pStyle w:val="0"/>
              <w:ind w:left="566"/>
            </w:pPr>
            <w:r>
              <w:rPr>
                <w:sz w:val="20"/>
              </w:rPr>
              <w:t xml:space="preserve">оборудования</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gridSpan w:val="2"/>
            <w:tcBorders>
              <w:top w:val="single" w:sz="4"/>
              <w:left w:val="nil"/>
              <w:bottom w:val="single" w:sz="4"/>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r>
      <w:tr>
        <w:tc>
          <w:tcPr>
            <w:gridSpan w:val="2"/>
            <w:tcW w:w="2701" w:type="dxa"/>
            <w:tcBorders>
              <w:top w:val="nil"/>
              <w:left w:val="nil"/>
              <w:bottom w:val="nil"/>
              <w:right w:val="nil"/>
            </w:tcBorders>
          </w:tcPr>
          <w:bookmarkStart w:id="2384" w:name="P2384"/>
          <w:bookmarkEnd w:id="2384"/>
          <w:p>
            <w:pPr>
              <w:pStyle w:val="0"/>
              <w:ind w:left="566"/>
            </w:pPr>
            <w:r>
              <w:rPr>
                <w:sz w:val="20"/>
              </w:rPr>
              <w:t xml:space="preserve">прочих затрат</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vAlign w:val="bottom"/>
            <w:tcBorders>
              <w:top w:val="nil"/>
              <w:left w:val="nil"/>
              <w:bottom w:val="nil"/>
              <w:right w:val="nil"/>
            </w:tcBorders>
          </w:tcPr>
          <w:p>
            <w:pPr>
              <w:pStyle w:val="0"/>
            </w:pPr>
            <w:r>
              <w:rPr>
                <w:sz w:val="20"/>
              </w:rPr>
            </w:r>
          </w:p>
        </w:tc>
        <w:tc>
          <w:tcPr>
            <w:gridSpan w:val="2"/>
            <w:tcW w:w="1134" w:type="dxa"/>
            <w:vAlign w:val="bottom"/>
            <w:tcBorders>
              <w:top w:val="single" w:sz="4"/>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1020"/>
        <w:gridCol w:w="1417"/>
        <w:gridCol w:w="3118"/>
        <w:gridCol w:w="1247"/>
        <w:gridCol w:w="680"/>
        <w:gridCol w:w="1247"/>
        <w:gridCol w:w="994"/>
        <w:gridCol w:w="680"/>
        <w:gridCol w:w="1128"/>
        <w:gridCol w:w="680"/>
        <w:gridCol w:w="821"/>
        <w:gridCol w:w="964"/>
      </w:tblGrid>
      <w:tr>
        <w:tblPrEx>
          <w:tblBorders>
            <w:left w:val="single" w:sz="4"/>
            <w:right w:val="single" w:sz="4"/>
            <w:insideV w:val="single" w:sz="4"/>
            <w:insideH w:val="single" w:sz="4"/>
          </w:tblBorders>
        </w:tblPrEx>
        <w:tc>
          <w:tcPr>
            <w:tcW w:w="1020" w:type="dxa"/>
            <w:tcBorders>
              <w:top w:val="single" w:sz="4"/>
              <w:bottom w:val="single" w:sz="4"/>
            </w:tcBorders>
            <w:vMerge w:val="restart"/>
          </w:tcPr>
          <w:p>
            <w:pPr>
              <w:pStyle w:val="0"/>
              <w:jc w:val="center"/>
            </w:pPr>
            <w:r>
              <w:rPr>
                <w:sz w:val="20"/>
              </w:rPr>
              <w:t xml:space="preserve">N п/п</w:t>
            </w:r>
          </w:p>
        </w:tc>
        <w:tc>
          <w:tcPr>
            <w:tcW w:w="1417" w:type="dxa"/>
            <w:tcBorders>
              <w:top w:val="single" w:sz="4"/>
              <w:bottom w:val="single" w:sz="4"/>
            </w:tcBorders>
            <w:vMerge w:val="restart"/>
          </w:tcPr>
          <w:p>
            <w:pPr>
              <w:pStyle w:val="0"/>
              <w:jc w:val="center"/>
            </w:pPr>
            <w:r>
              <w:rPr>
                <w:sz w:val="20"/>
              </w:rPr>
              <w:t xml:space="preserve">Обоснование</w:t>
            </w:r>
          </w:p>
        </w:tc>
        <w:tc>
          <w:tcPr>
            <w:tcW w:w="3118" w:type="dxa"/>
            <w:tcBorders>
              <w:top w:val="single" w:sz="4"/>
              <w:bottom w:val="single" w:sz="4"/>
            </w:tcBorders>
            <w:vMerge w:val="restart"/>
          </w:tcPr>
          <w:p>
            <w:pPr>
              <w:pStyle w:val="0"/>
              <w:jc w:val="center"/>
            </w:pPr>
            <w:r>
              <w:rPr>
                <w:sz w:val="20"/>
              </w:rPr>
              <w:t xml:space="preserve">Наименование работ и затрат</w:t>
            </w:r>
          </w:p>
        </w:tc>
        <w:tc>
          <w:tcPr>
            <w:tcW w:w="1247" w:type="dxa"/>
            <w:tcBorders>
              <w:top w:val="single" w:sz="4"/>
              <w:bottom w:val="single" w:sz="4"/>
            </w:tcBorders>
            <w:vMerge w:val="restart"/>
          </w:tcPr>
          <w:p>
            <w:pPr>
              <w:pStyle w:val="0"/>
              <w:jc w:val="center"/>
            </w:pPr>
            <w:r>
              <w:rPr>
                <w:sz w:val="20"/>
              </w:rPr>
              <w:t xml:space="preserve">Единица измерения</w:t>
            </w:r>
          </w:p>
        </w:tc>
        <w:tc>
          <w:tcPr>
            <w:gridSpan w:val="3"/>
            <w:tcW w:w="2921" w:type="dxa"/>
            <w:tcBorders>
              <w:top w:val="single" w:sz="4"/>
              <w:bottom w:val="single" w:sz="4"/>
            </w:tcBorders>
          </w:tcPr>
          <w:p>
            <w:pPr>
              <w:pStyle w:val="0"/>
              <w:jc w:val="center"/>
            </w:pPr>
            <w:r>
              <w:rPr>
                <w:sz w:val="20"/>
              </w:rPr>
              <w:t xml:space="preserve">Количество</w:t>
            </w:r>
          </w:p>
        </w:tc>
        <w:tc>
          <w:tcPr>
            <w:gridSpan w:val="3"/>
            <w:tcW w:w="2488" w:type="dxa"/>
            <w:tcBorders>
              <w:top w:val="single" w:sz="4"/>
              <w:bottom w:val="single" w:sz="4"/>
            </w:tcBorders>
          </w:tcPr>
          <w:p>
            <w:pPr>
              <w:pStyle w:val="0"/>
              <w:jc w:val="center"/>
            </w:pPr>
            <w:r>
              <w:rPr>
                <w:sz w:val="20"/>
              </w:rPr>
              <w:t xml:space="preserve">Сметная стоимость в базисном уровне цен (в текущем уровне цен (гр. 8) для ресурсов отсутствующих в ФРСН), руб.</w:t>
            </w:r>
          </w:p>
        </w:tc>
        <w:tc>
          <w:tcPr>
            <w:tcW w:w="821" w:type="dxa"/>
            <w:tcBorders>
              <w:top w:val="single" w:sz="4"/>
              <w:bottom w:val="single" w:sz="4"/>
            </w:tcBorders>
            <w:vMerge w:val="restart"/>
          </w:tcPr>
          <w:p>
            <w:pPr>
              <w:pStyle w:val="0"/>
              <w:jc w:val="center"/>
            </w:pPr>
            <w:r>
              <w:rPr>
                <w:sz w:val="20"/>
              </w:rPr>
              <w:t xml:space="preserve">Индексы</w:t>
            </w:r>
          </w:p>
        </w:tc>
        <w:tc>
          <w:tcPr>
            <w:tcW w:w="964" w:type="dxa"/>
            <w:tcBorders>
              <w:top w:val="single" w:sz="4"/>
              <w:bottom w:val="single" w:sz="4"/>
            </w:tcBorders>
            <w:vMerge w:val="restart"/>
          </w:tcPr>
          <w:p>
            <w:pPr>
              <w:pStyle w:val="0"/>
              <w:jc w:val="center"/>
            </w:pPr>
            <w:r>
              <w:rPr>
                <w:sz w:val="20"/>
              </w:rPr>
              <w:t xml:space="preserve">Сметная стоимость в текущем уровне цен, руб.</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680" w:type="dxa"/>
            <w:tcBorders>
              <w:top w:val="single" w:sz="4"/>
              <w:bottom w:val="single" w:sz="4"/>
            </w:tcBorders>
          </w:tcPr>
          <w:p>
            <w:pPr>
              <w:pStyle w:val="0"/>
              <w:jc w:val="center"/>
            </w:pPr>
            <w:r>
              <w:rPr>
                <w:sz w:val="20"/>
              </w:rPr>
              <w:t xml:space="preserve">на единицу измерения</w:t>
            </w:r>
          </w:p>
        </w:tc>
        <w:tc>
          <w:tcPr>
            <w:tcW w:w="1247" w:type="dxa"/>
            <w:tcBorders>
              <w:top w:val="single" w:sz="4"/>
              <w:bottom w:val="single" w:sz="4"/>
            </w:tcBorders>
          </w:tcPr>
          <w:p>
            <w:pPr>
              <w:pStyle w:val="0"/>
              <w:jc w:val="center"/>
            </w:pPr>
            <w:r>
              <w:rPr>
                <w:sz w:val="20"/>
              </w:rPr>
              <w:t xml:space="preserve">коэффициенты</w:t>
            </w:r>
          </w:p>
        </w:tc>
        <w:tc>
          <w:tcPr>
            <w:tcW w:w="994" w:type="dxa"/>
            <w:tcBorders>
              <w:top w:val="single" w:sz="4"/>
              <w:bottom w:val="single" w:sz="4"/>
            </w:tcBorders>
          </w:tcPr>
          <w:p>
            <w:pPr>
              <w:pStyle w:val="0"/>
              <w:jc w:val="center"/>
            </w:pPr>
            <w:r>
              <w:rPr>
                <w:sz w:val="20"/>
              </w:rPr>
              <w:t xml:space="preserve">всего с учетом коэффициентов</w:t>
            </w:r>
          </w:p>
        </w:tc>
        <w:tc>
          <w:tcPr>
            <w:tcW w:w="680" w:type="dxa"/>
            <w:tcBorders>
              <w:top w:val="single" w:sz="4"/>
              <w:bottom w:val="single" w:sz="4"/>
            </w:tcBorders>
          </w:tcPr>
          <w:p>
            <w:pPr>
              <w:pStyle w:val="0"/>
              <w:jc w:val="center"/>
            </w:pPr>
            <w:r>
              <w:rPr>
                <w:sz w:val="20"/>
              </w:rPr>
              <w:t xml:space="preserve">на единицу измерения</w:t>
            </w:r>
          </w:p>
        </w:tc>
        <w:tc>
          <w:tcPr>
            <w:tcW w:w="1128" w:type="dxa"/>
            <w:tcBorders>
              <w:top w:val="single" w:sz="4"/>
              <w:bottom w:val="single" w:sz="4"/>
            </w:tcBorders>
          </w:tcPr>
          <w:p>
            <w:pPr>
              <w:pStyle w:val="0"/>
              <w:jc w:val="center"/>
            </w:pPr>
            <w:r>
              <w:rPr>
                <w:sz w:val="20"/>
              </w:rPr>
              <w:t xml:space="preserve">коэффициенты</w:t>
            </w:r>
          </w:p>
        </w:tc>
        <w:tc>
          <w:tcPr>
            <w:tcW w:w="680" w:type="dxa"/>
            <w:tcBorders>
              <w:top w:val="single" w:sz="4"/>
              <w:bottom w:val="single" w:sz="4"/>
            </w:tcBorders>
          </w:tcPr>
          <w:p>
            <w:pPr>
              <w:pStyle w:val="0"/>
              <w:jc w:val="center"/>
            </w:pPr>
            <w:r>
              <w:rPr>
                <w:sz w:val="20"/>
              </w:rPr>
              <w:t xml:space="preserve">всего</w:t>
            </w:r>
          </w:p>
        </w:tc>
        <w:tc>
          <w:tcPr>
            <w:tcBorders>
              <w:top w:val="single" w:sz="4"/>
              <w:bottom w:val="single" w:sz="4"/>
            </w:tcBorders>
            <w:vMerge w:val="continue"/>
          </w:tcPr>
          <w:p/>
        </w:tc>
        <w:tc>
          <w:tcPr>
            <w:tcBorders>
              <w:top w:val="single" w:sz="4"/>
              <w:bottom w:val="single" w:sz="4"/>
            </w:tcBorders>
            <w:vMerge w:val="continue"/>
          </w:tcPr>
          <w:p/>
        </w:tc>
      </w:tr>
      <w:tr>
        <w:tblPrEx>
          <w:tblBorders>
            <w:left w:val="single" w:sz="4"/>
            <w:right w:val="single" w:sz="4"/>
            <w:insideV w:val="single" w:sz="4"/>
            <w:insideH w:val="single" w:sz="4"/>
          </w:tblBorders>
        </w:tblPrEx>
        <w:tc>
          <w:tcPr>
            <w:tcW w:w="1020" w:type="dxa"/>
            <w:tcBorders>
              <w:top w:val="single" w:sz="4"/>
              <w:bottom w:val="single" w:sz="4"/>
            </w:tcBorders>
          </w:tcPr>
          <w:bookmarkStart w:id="2407" w:name="P2407"/>
          <w:bookmarkEnd w:id="2407"/>
          <w:p>
            <w:pPr>
              <w:pStyle w:val="0"/>
              <w:jc w:val="center"/>
            </w:pPr>
            <w:r>
              <w:rPr>
                <w:sz w:val="20"/>
              </w:rPr>
              <w:t xml:space="preserve">1</w:t>
            </w:r>
          </w:p>
        </w:tc>
        <w:tc>
          <w:tcPr>
            <w:tcW w:w="1417" w:type="dxa"/>
            <w:tcBorders>
              <w:top w:val="single" w:sz="4"/>
              <w:bottom w:val="single" w:sz="4"/>
            </w:tcBorders>
          </w:tcPr>
          <w:bookmarkStart w:id="2408" w:name="P2408"/>
          <w:bookmarkEnd w:id="2408"/>
          <w:p>
            <w:pPr>
              <w:pStyle w:val="0"/>
              <w:jc w:val="center"/>
            </w:pPr>
            <w:r>
              <w:rPr>
                <w:sz w:val="20"/>
              </w:rPr>
              <w:t xml:space="preserve">2</w:t>
            </w:r>
          </w:p>
        </w:tc>
        <w:tc>
          <w:tcPr>
            <w:tcW w:w="3118" w:type="dxa"/>
            <w:tcBorders>
              <w:top w:val="single" w:sz="4"/>
              <w:bottom w:val="single" w:sz="4"/>
            </w:tcBorders>
          </w:tcPr>
          <w:bookmarkStart w:id="2409" w:name="P2409"/>
          <w:bookmarkEnd w:id="2409"/>
          <w:p>
            <w:pPr>
              <w:pStyle w:val="0"/>
              <w:jc w:val="center"/>
            </w:pPr>
            <w:r>
              <w:rPr>
                <w:sz w:val="20"/>
              </w:rPr>
              <w:t xml:space="preserve">3</w:t>
            </w:r>
          </w:p>
        </w:tc>
        <w:tc>
          <w:tcPr>
            <w:tcW w:w="1247" w:type="dxa"/>
            <w:tcBorders>
              <w:top w:val="single" w:sz="4"/>
              <w:bottom w:val="single" w:sz="4"/>
            </w:tcBorders>
          </w:tcPr>
          <w:bookmarkStart w:id="2410" w:name="P2410"/>
          <w:bookmarkEnd w:id="2410"/>
          <w:p>
            <w:pPr>
              <w:pStyle w:val="0"/>
              <w:jc w:val="center"/>
            </w:pPr>
            <w:r>
              <w:rPr>
                <w:sz w:val="20"/>
              </w:rPr>
              <w:t xml:space="preserve">4</w:t>
            </w:r>
          </w:p>
        </w:tc>
        <w:tc>
          <w:tcPr>
            <w:tcW w:w="680" w:type="dxa"/>
            <w:tcBorders>
              <w:top w:val="single" w:sz="4"/>
              <w:bottom w:val="single" w:sz="4"/>
            </w:tcBorders>
          </w:tcPr>
          <w:bookmarkStart w:id="2411" w:name="P2411"/>
          <w:bookmarkEnd w:id="2411"/>
          <w:p>
            <w:pPr>
              <w:pStyle w:val="0"/>
              <w:jc w:val="center"/>
            </w:pPr>
            <w:r>
              <w:rPr>
                <w:sz w:val="20"/>
              </w:rPr>
              <w:t xml:space="preserve">5</w:t>
            </w:r>
          </w:p>
        </w:tc>
        <w:tc>
          <w:tcPr>
            <w:tcW w:w="1247" w:type="dxa"/>
            <w:tcBorders>
              <w:top w:val="single" w:sz="4"/>
              <w:bottom w:val="single" w:sz="4"/>
            </w:tcBorders>
          </w:tcPr>
          <w:bookmarkStart w:id="2412" w:name="P2412"/>
          <w:bookmarkEnd w:id="2412"/>
          <w:p>
            <w:pPr>
              <w:pStyle w:val="0"/>
              <w:jc w:val="center"/>
            </w:pPr>
            <w:r>
              <w:rPr>
                <w:sz w:val="20"/>
              </w:rPr>
              <w:t xml:space="preserve">6</w:t>
            </w:r>
          </w:p>
        </w:tc>
        <w:tc>
          <w:tcPr>
            <w:tcW w:w="994" w:type="dxa"/>
            <w:tcBorders>
              <w:top w:val="single" w:sz="4"/>
              <w:bottom w:val="single" w:sz="4"/>
            </w:tcBorders>
          </w:tcPr>
          <w:bookmarkStart w:id="2413" w:name="P2413"/>
          <w:bookmarkEnd w:id="2413"/>
          <w:p>
            <w:pPr>
              <w:pStyle w:val="0"/>
              <w:jc w:val="center"/>
            </w:pPr>
            <w:r>
              <w:rPr>
                <w:sz w:val="20"/>
              </w:rPr>
              <w:t xml:space="preserve">7</w:t>
            </w:r>
          </w:p>
        </w:tc>
        <w:tc>
          <w:tcPr>
            <w:tcW w:w="680" w:type="dxa"/>
            <w:tcBorders>
              <w:top w:val="single" w:sz="4"/>
              <w:bottom w:val="single" w:sz="4"/>
            </w:tcBorders>
          </w:tcPr>
          <w:bookmarkStart w:id="2414" w:name="P2414"/>
          <w:bookmarkEnd w:id="2414"/>
          <w:p>
            <w:pPr>
              <w:pStyle w:val="0"/>
              <w:jc w:val="center"/>
            </w:pPr>
            <w:r>
              <w:rPr>
                <w:sz w:val="20"/>
              </w:rPr>
              <w:t xml:space="preserve">8</w:t>
            </w:r>
          </w:p>
        </w:tc>
        <w:tc>
          <w:tcPr>
            <w:tcW w:w="1128" w:type="dxa"/>
            <w:tcBorders>
              <w:top w:val="single" w:sz="4"/>
              <w:bottom w:val="single" w:sz="4"/>
            </w:tcBorders>
          </w:tcPr>
          <w:bookmarkStart w:id="2415" w:name="P2415"/>
          <w:bookmarkEnd w:id="2415"/>
          <w:p>
            <w:pPr>
              <w:pStyle w:val="0"/>
              <w:jc w:val="center"/>
            </w:pPr>
            <w:r>
              <w:rPr>
                <w:sz w:val="20"/>
              </w:rPr>
              <w:t xml:space="preserve">9</w:t>
            </w:r>
          </w:p>
        </w:tc>
        <w:tc>
          <w:tcPr>
            <w:tcW w:w="680" w:type="dxa"/>
            <w:tcBorders>
              <w:top w:val="single" w:sz="4"/>
              <w:bottom w:val="single" w:sz="4"/>
            </w:tcBorders>
          </w:tcPr>
          <w:bookmarkStart w:id="2416" w:name="P2416"/>
          <w:bookmarkEnd w:id="2416"/>
          <w:p>
            <w:pPr>
              <w:pStyle w:val="0"/>
              <w:jc w:val="center"/>
            </w:pPr>
            <w:r>
              <w:rPr>
                <w:sz w:val="20"/>
              </w:rPr>
              <w:t xml:space="preserve">10</w:t>
            </w:r>
          </w:p>
        </w:tc>
        <w:tc>
          <w:tcPr>
            <w:tcW w:w="821" w:type="dxa"/>
            <w:tcBorders>
              <w:top w:val="single" w:sz="4"/>
              <w:bottom w:val="single" w:sz="4"/>
            </w:tcBorders>
          </w:tcPr>
          <w:bookmarkStart w:id="2417" w:name="P2417"/>
          <w:bookmarkEnd w:id="2417"/>
          <w:p>
            <w:pPr>
              <w:pStyle w:val="0"/>
              <w:jc w:val="center"/>
            </w:pPr>
            <w:r>
              <w:rPr>
                <w:sz w:val="20"/>
              </w:rPr>
              <w:t xml:space="preserve">11</w:t>
            </w:r>
          </w:p>
        </w:tc>
        <w:tc>
          <w:tcPr>
            <w:tcW w:w="964" w:type="dxa"/>
            <w:tcBorders>
              <w:top w:val="single" w:sz="4"/>
              <w:bottom w:val="single" w:sz="4"/>
            </w:tcBorders>
          </w:tcPr>
          <w:bookmarkStart w:id="2418" w:name="P2418"/>
          <w:bookmarkEnd w:id="2418"/>
          <w:p>
            <w:pPr>
              <w:pStyle w:val="0"/>
              <w:jc w:val="center"/>
            </w:pPr>
            <w:r>
              <w:rPr>
                <w:sz w:val="20"/>
              </w:rPr>
              <w:t xml:space="preserve">12</w:t>
            </w:r>
          </w:p>
        </w:tc>
      </w:tr>
      <w:tr>
        <w:tblPrEx>
          <w:tblBorders>
            <w:left w:val="single" w:sz="4"/>
            <w:right w:val="single" w:sz="4"/>
            <w:insideH w:val="single" w:sz="4"/>
          </w:tblBorders>
        </w:tblPrEx>
        <w:tc>
          <w:tcPr>
            <w:gridSpan w:val="12"/>
            <w:tcW w:w="13996" w:type="dxa"/>
            <w:tcBorders>
              <w:top w:val="single" w:sz="4"/>
              <w:left w:val="single" w:sz="4"/>
              <w:bottom w:val="single" w:sz="4"/>
              <w:right w:val="single" w:sz="4"/>
            </w:tcBorders>
          </w:tcPr>
          <w:p>
            <w:pPr>
              <w:pStyle w:val="0"/>
            </w:pPr>
            <w:r>
              <w:rPr>
                <w:sz w:val="20"/>
              </w:rPr>
              <w:t xml:space="preserve">Раздел X. &lt;Наименование раздела&gt;</w:t>
            </w:r>
          </w:p>
        </w:tc>
      </w:tr>
      <w:tr>
        <w:tc>
          <w:tcPr>
            <w:tcW w:w="1020" w:type="dxa"/>
            <w:tcBorders>
              <w:top w:val="single" w:sz="4"/>
              <w:left w:val="nil"/>
              <w:bottom w:val="nil"/>
              <w:right w:val="nil"/>
            </w:tcBorders>
          </w:tcPr>
          <w:p>
            <w:pPr>
              <w:pStyle w:val="0"/>
              <w:jc w:val="center"/>
            </w:pPr>
            <w:r>
              <w:rPr>
                <w:sz w:val="20"/>
              </w:rPr>
              <w:t xml:space="preserve">&lt;пункт&gt;</w:t>
            </w:r>
          </w:p>
        </w:tc>
        <w:tc>
          <w:tcPr>
            <w:tcW w:w="1417" w:type="dxa"/>
            <w:tcBorders>
              <w:top w:val="single" w:sz="4"/>
              <w:left w:val="nil"/>
              <w:bottom w:val="nil"/>
              <w:right w:val="nil"/>
            </w:tcBorders>
          </w:tcPr>
          <w:p>
            <w:pPr>
              <w:pStyle w:val="0"/>
              <w:jc w:val="center"/>
            </w:pPr>
            <w:r>
              <w:rPr>
                <w:sz w:val="20"/>
              </w:rPr>
              <w:t xml:space="preserve">&lt;шифр расценки&gt;</w:t>
            </w:r>
          </w:p>
        </w:tc>
        <w:tc>
          <w:tcPr>
            <w:tcW w:w="3118" w:type="dxa"/>
            <w:tcBorders>
              <w:top w:val="single" w:sz="4"/>
              <w:left w:val="nil"/>
              <w:bottom w:val="nil"/>
              <w:right w:val="nil"/>
            </w:tcBorders>
          </w:tcPr>
          <w:p>
            <w:pPr>
              <w:pStyle w:val="0"/>
            </w:pPr>
            <w:r>
              <w:rPr>
                <w:sz w:val="20"/>
              </w:rPr>
              <w:t xml:space="preserve">&lt;Наименование расценки&gt;</w:t>
            </w:r>
          </w:p>
        </w:tc>
        <w:tc>
          <w:tcPr>
            <w:tcW w:w="1247" w:type="dxa"/>
            <w:tcBorders>
              <w:top w:val="single" w:sz="4"/>
              <w:left w:val="nil"/>
              <w:bottom w:val="nil"/>
              <w:right w:val="nil"/>
            </w:tcBorders>
          </w:tcPr>
          <w:p>
            <w:pPr>
              <w:pStyle w:val="0"/>
              <w:jc w:val="center"/>
            </w:pPr>
            <w:r>
              <w:rPr>
                <w:sz w:val="20"/>
              </w:rPr>
              <w:t xml:space="preserve">&lt;единица измерения&gt;</w:t>
            </w:r>
          </w:p>
        </w:tc>
        <w:tc>
          <w:tcPr>
            <w:tcW w:w="680" w:type="dxa"/>
            <w:tcBorders>
              <w:top w:val="single" w:sz="4"/>
              <w:left w:val="nil"/>
              <w:bottom w:val="nil"/>
              <w:right w:val="nil"/>
            </w:tcBorders>
          </w:tcPr>
          <w:p>
            <w:pPr>
              <w:pStyle w:val="0"/>
              <w:jc w:val="center"/>
            </w:pPr>
            <w:r>
              <w:rPr>
                <w:sz w:val="20"/>
              </w:rPr>
              <w:t xml:space="preserve">&lt;X&gt;</w:t>
            </w:r>
          </w:p>
        </w:tc>
        <w:tc>
          <w:tcPr>
            <w:tcW w:w="1247" w:type="dxa"/>
            <w:tcBorders>
              <w:top w:val="single" w:sz="4"/>
              <w:left w:val="nil"/>
              <w:bottom w:val="nil"/>
              <w:right w:val="nil"/>
            </w:tcBorders>
          </w:tcPr>
          <w:p>
            <w:pPr>
              <w:pStyle w:val="0"/>
              <w:jc w:val="center"/>
            </w:pPr>
            <w:r>
              <w:rPr>
                <w:sz w:val="20"/>
              </w:rPr>
              <w:t xml:space="preserve">&lt;результирующий коэффициент&gt;</w:t>
            </w:r>
          </w:p>
        </w:tc>
        <w:tc>
          <w:tcPr>
            <w:tcW w:w="994" w:type="dxa"/>
            <w:tcBorders>
              <w:top w:val="single" w:sz="4"/>
              <w:left w:val="nil"/>
              <w:bottom w:val="nil"/>
              <w:right w:val="nil"/>
            </w:tcBorders>
          </w:tcPr>
          <w:p>
            <w:pPr>
              <w:pStyle w:val="0"/>
              <w:jc w:val="center"/>
            </w:pPr>
            <w:r>
              <w:rPr>
                <w:sz w:val="20"/>
              </w:rPr>
              <w:t xml:space="preserve">&lt;X&gt;</w:t>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vAlign w:val="bottom"/>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vAlign w:val="bottom"/>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1</w:t>
            </w:r>
          </w:p>
        </w:tc>
        <w:tc>
          <w:tcPr>
            <w:tcW w:w="3118" w:type="dxa"/>
            <w:tcBorders>
              <w:top w:val="nil"/>
              <w:left w:val="nil"/>
              <w:bottom w:val="nil"/>
              <w:right w:val="nil"/>
            </w:tcBorders>
          </w:tcPr>
          <w:bookmarkStart w:id="2458" w:name="P2458"/>
          <w:bookmarkEnd w:id="2458"/>
          <w:p>
            <w:pPr>
              <w:pStyle w:val="0"/>
            </w:pPr>
            <w:r>
              <w:rPr>
                <w:sz w:val="20"/>
              </w:rPr>
              <w:t xml:space="preserve">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2</w:t>
            </w:r>
          </w:p>
        </w:tc>
        <w:tc>
          <w:tcPr>
            <w:tcW w:w="3118" w:type="dxa"/>
            <w:tcBorders>
              <w:top w:val="nil"/>
              <w:left w:val="nil"/>
              <w:bottom w:val="nil"/>
              <w:right w:val="nil"/>
            </w:tcBorders>
          </w:tcPr>
          <w:bookmarkStart w:id="2470" w:name="P2470"/>
          <w:bookmarkEnd w:id="2470"/>
          <w:p>
            <w:pPr>
              <w:pStyle w:val="0"/>
            </w:pPr>
            <w:r>
              <w:rPr>
                <w:sz w:val="20"/>
              </w:rPr>
              <w:t xml:space="preserve">ЭМ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3</w:t>
            </w:r>
          </w:p>
        </w:tc>
        <w:tc>
          <w:tcPr>
            <w:tcW w:w="3118" w:type="dxa"/>
            <w:tcBorders>
              <w:top w:val="nil"/>
              <w:left w:val="nil"/>
              <w:bottom w:val="nil"/>
              <w:right w:val="nil"/>
            </w:tcBorders>
          </w:tcPr>
          <w:bookmarkStart w:id="2482" w:name="P2482"/>
          <w:bookmarkEnd w:id="2482"/>
          <w:p>
            <w:pPr>
              <w:pStyle w:val="0"/>
            </w:pPr>
            <w:r>
              <w:rPr>
                <w:sz w:val="20"/>
              </w:rPr>
              <w:t xml:space="preserve">в т.ч. ОТм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4</w:t>
            </w:r>
          </w:p>
        </w:tc>
        <w:tc>
          <w:tcPr>
            <w:tcW w:w="3118" w:type="dxa"/>
            <w:tcBorders>
              <w:top w:val="nil"/>
              <w:left w:val="nil"/>
              <w:bottom w:val="nil"/>
              <w:right w:val="nil"/>
            </w:tcBorders>
          </w:tcPr>
          <w:bookmarkStart w:id="2494" w:name="P2494"/>
          <w:bookmarkEnd w:id="2494"/>
          <w:p>
            <w:pPr>
              <w:pStyle w:val="0"/>
            </w:pPr>
            <w:r>
              <w:rPr>
                <w:sz w:val="20"/>
              </w:rPr>
              <w:t xml:space="preserve">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группы неучтенного ресурса&gt;</w:t>
            </w:r>
          </w:p>
        </w:tc>
        <w:tc>
          <w:tcPr>
            <w:tcW w:w="3118" w:type="dxa"/>
            <w:tcBorders>
              <w:top w:val="nil"/>
              <w:left w:val="nil"/>
              <w:bottom w:val="nil"/>
              <w:right w:val="nil"/>
            </w:tcBorders>
          </w:tcPr>
          <w:p>
            <w:pPr>
              <w:pStyle w:val="0"/>
            </w:pPr>
            <w:r>
              <w:rPr>
                <w:sz w:val="20"/>
              </w:rPr>
              <w:t xml:space="preserve">&lt;Наименование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ЗТ</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single" w:sz="4"/>
              <w:right w:val="nil"/>
            </w:tcBorders>
          </w:tcPr>
          <w:p>
            <w:pPr>
              <w:pStyle w:val="0"/>
            </w:pPr>
            <w:r>
              <w:rPr>
                <w:sz w:val="20"/>
              </w:rPr>
              <w:t xml:space="preserve">ЗТм</w:t>
            </w:r>
          </w:p>
        </w:tc>
        <w:tc>
          <w:tcPr>
            <w:tcW w:w="1247" w:type="dxa"/>
            <w:tcBorders>
              <w:top w:val="nil"/>
              <w:left w:val="nil"/>
              <w:bottom w:val="single" w:sz="4"/>
              <w:right w:val="nil"/>
            </w:tcBorders>
          </w:tcPr>
          <w:p>
            <w:pPr>
              <w:pStyle w:val="0"/>
              <w:jc w:val="center"/>
            </w:pPr>
            <w:r>
              <w:rPr>
                <w:sz w:val="20"/>
              </w:rPr>
              <w:t xml:space="preserve">чел.-ч</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single" w:sz="4"/>
              <w:left w:val="nil"/>
              <w:bottom w:val="nil"/>
              <w:right w:val="nil"/>
            </w:tcBorders>
          </w:tcPr>
          <w:bookmarkStart w:id="2542" w:name="P2542"/>
          <w:bookmarkEnd w:id="2542"/>
          <w:p>
            <w:pPr>
              <w:pStyle w:val="0"/>
            </w:pPr>
            <w:r>
              <w:rPr>
                <w:sz w:val="20"/>
              </w:rPr>
              <w:t xml:space="preserve">Итого по расценке</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ресурса&gt;</w:t>
            </w:r>
          </w:p>
        </w:tc>
        <w:tc>
          <w:tcPr>
            <w:tcW w:w="3118" w:type="dxa"/>
            <w:tcBorders>
              <w:top w:val="nil"/>
              <w:left w:val="nil"/>
              <w:bottom w:val="nil"/>
              <w:right w:val="nil"/>
            </w:tcBorders>
          </w:tcPr>
          <w:p>
            <w:pPr>
              <w:pStyle w:val="0"/>
            </w:pPr>
            <w:r>
              <w:rPr>
                <w:sz w:val="20"/>
              </w:rPr>
              <w:t xml:space="preserve">&lt;Наименование неучтенного ресурса&gt;</w:t>
            </w:r>
          </w:p>
        </w:tc>
        <w:tc>
          <w:tcPr>
            <w:tcW w:w="1247" w:type="dxa"/>
            <w:vAlign w:val="bottom"/>
            <w:tcBorders>
              <w:top w:val="nil"/>
              <w:left w:val="nil"/>
              <w:bottom w:val="nil"/>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ресурса_обоснование перевозки&gt;</w:t>
            </w:r>
          </w:p>
        </w:tc>
        <w:tc>
          <w:tcPr>
            <w:tcW w:w="3118" w:type="dxa"/>
            <w:tcBorders>
              <w:top w:val="nil"/>
              <w:left w:val="nil"/>
              <w:bottom w:val="nil"/>
              <w:right w:val="nil"/>
            </w:tcBorders>
          </w:tcPr>
          <w:p>
            <w:pPr>
              <w:pStyle w:val="0"/>
            </w:pPr>
            <w:r>
              <w:rPr>
                <w:sz w:val="20"/>
              </w:rPr>
              <w:t xml:space="preserve">Затраты на перевозку на расстояние в соответствии с проектной и (или) иной технической документацией (дополнительные затраты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tc>
        <w:tc>
          <w:tcPr>
            <w:tcW w:w="1247" w:type="dxa"/>
            <w:tcBorders>
              <w:top w:val="nil"/>
              <w:left w:val="nil"/>
              <w:bottom w:val="nil"/>
              <w:right w:val="nil"/>
            </w:tcBorders>
          </w:tcPr>
          <w:p>
            <w:pPr>
              <w:pStyle w:val="0"/>
              <w:jc w:val="center"/>
            </w:pPr>
            <w:r>
              <w:rPr>
                <w:sz w:val="20"/>
              </w:rPr>
              <w:t xml:space="preserve">&lt;единица измерения &gt;</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ресурса_обоснование перевозки&gt;</w:t>
            </w:r>
          </w:p>
        </w:tc>
        <w:tc>
          <w:tcPr>
            <w:tcW w:w="3118" w:type="dxa"/>
            <w:tcBorders>
              <w:top w:val="nil"/>
              <w:left w:val="nil"/>
              <w:bottom w:val="nil"/>
              <w:right w:val="nil"/>
            </w:tcBorders>
          </w:tcPr>
          <w:p>
            <w:pPr>
              <w:pStyle w:val="0"/>
            </w:pPr>
            <w:r>
              <w:rPr>
                <w:sz w:val="20"/>
              </w:rPr>
              <w:t xml:space="preserve">Исключение затрат на перевозку на расстояние, учтенное сметными ценами (дополнительные затраты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tc>
        <w:tc>
          <w:tcPr>
            <w:tcW w:w="1247" w:type="dxa"/>
            <w:tcBorders>
              <w:top w:val="nil"/>
              <w:left w:val="nil"/>
              <w:bottom w:val="nil"/>
              <w:right w:val="nil"/>
            </w:tcBorders>
          </w:tcPr>
          <w:p>
            <w:pPr>
              <w:pStyle w:val="0"/>
              <w:jc w:val="center"/>
            </w:pPr>
            <w:r>
              <w:rPr>
                <w:sz w:val="20"/>
              </w:rPr>
              <w:t xml:space="preserve">&lt;единица измерения&gt;</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18" w:type="dxa"/>
            <w:tcBorders>
              <w:top w:val="nil"/>
              <w:left w:val="nil"/>
              <w:bottom w:val="nil"/>
              <w:right w:val="nil"/>
            </w:tcBorders>
          </w:tcPr>
          <w:p>
            <w:pPr>
              <w:pStyle w:val="0"/>
            </w:pPr>
            <w:r>
              <w:rPr>
                <w:sz w:val="20"/>
              </w:rPr>
              <w:t xml:space="preserve">&lt;Наименование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т.ч. оплата труда машинистов</w:t>
            </w:r>
          </w:p>
        </w:tc>
        <w:tc>
          <w:tcPr>
            <w:tcW w:w="1247" w:type="dxa"/>
            <w:tcBorders>
              <w:top w:val="nil"/>
              <w:left w:val="nil"/>
              <w:bottom w:val="nil"/>
              <w:right w:val="nil"/>
            </w:tcBorders>
          </w:tcPr>
          <w:p>
            <w:pPr>
              <w:pStyle w:val="0"/>
              <w:jc w:val="center"/>
            </w:pPr>
            <w:r>
              <w:rPr>
                <w:sz w:val="20"/>
              </w:rPr>
              <w:t xml:space="preserve">руб.</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bookmarkStart w:id="2614" w:name="P2614"/>
          <w:bookmarkEnd w:id="2614"/>
          <w:p>
            <w:pPr>
              <w:pStyle w:val="0"/>
            </w:pPr>
            <w:r>
              <w:rPr>
                <w:sz w:val="20"/>
              </w:rPr>
              <w:t xml:space="preserve">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bookmarkStart w:id="2626" w:name="P2626"/>
          <w:bookmarkEnd w:id="2626"/>
          <w:p>
            <w:pPr>
              <w:pStyle w:val="0"/>
            </w:pPr>
            <w:r>
              <w:rPr>
                <w:sz w:val="20"/>
              </w:rPr>
              <w:t xml:space="preserve">НР &lt;вид работ&gt;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jc w:val="center"/>
            </w:pPr>
            <w:r>
              <w:rPr>
                <w:sz w:val="20"/>
              </w:rPr>
              <w:t xml:space="preserve">&lt;норматив НР&gt;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bookmarkStart w:id="2638" w:name="P2638"/>
          <w:bookmarkEnd w:id="2638"/>
          <w:p>
            <w:pPr>
              <w:pStyle w:val="0"/>
            </w:pPr>
            <w:r>
              <w:rPr>
                <w:sz w:val="20"/>
              </w:rPr>
              <w:t xml:space="preserve">СП &lt;вид работ&gt;</w:t>
            </w:r>
          </w:p>
        </w:tc>
        <w:tc>
          <w:tcPr>
            <w:tcW w:w="1247" w:type="dxa"/>
            <w:tcBorders>
              <w:top w:val="nil"/>
              <w:left w:val="nil"/>
              <w:bottom w:val="single" w:sz="4"/>
              <w:right w:val="nil"/>
            </w:tcBorders>
          </w:tcPr>
          <w:p>
            <w:pPr>
              <w:pStyle w:val="0"/>
              <w:jc w:val="center"/>
            </w:pPr>
            <w:r>
              <w:rPr>
                <w:sz w:val="20"/>
              </w:rPr>
              <w:t xml:space="preserve">%</w:t>
            </w:r>
          </w:p>
        </w:tc>
        <w:tc>
          <w:tcPr>
            <w:tcW w:w="680" w:type="dxa"/>
            <w:tcBorders>
              <w:top w:val="nil"/>
              <w:left w:val="nil"/>
              <w:bottom w:val="single" w:sz="4"/>
              <w:right w:val="nil"/>
            </w:tcBorders>
          </w:tcPr>
          <w:p>
            <w:pPr>
              <w:pStyle w:val="0"/>
              <w:jc w:val="center"/>
            </w:pPr>
            <w:r>
              <w:rPr>
                <w:sz w:val="20"/>
              </w:rPr>
              <w:t xml:space="preserve">&lt;норматив СП&gt;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bookmarkStart w:id="2650" w:name="P2650"/>
          <w:bookmarkEnd w:id="2650"/>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&lt;код ресурса&gt;</w:t>
            </w:r>
          </w:p>
        </w:tc>
        <w:tc>
          <w:tcPr>
            <w:tcW w:w="3118" w:type="dxa"/>
            <w:tcBorders>
              <w:top w:val="nil"/>
              <w:left w:val="nil"/>
              <w:bottom w:val="single" w:sz="4"/>
              <w:right w:val="nil"/>
            </w:tcBorders>
          </w:tcPr>
          <w:p>
            <w:pPr>
              <w:pStyle w:val="0"/>
            </w:pPr>
            <w:r>
              <w:rPr>
                <w:sz w:val="20"/>
              </w:rPr>
              <w:t xml:space="preserve">&lt;Наименование неучтенного ресурса&gt;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vAlign w:val="bottom"/>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vAlign w:val="bottom"/>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&lt;Наименование неучтенного ресурса, отсутствующего в ФРСН&gt;</w:t>
            </w:r>
          </w:p>
        </w:tc>
        <w:tc>
          <w:tcPr>
            <w:tcW w:w="1247" w:type="dxa"/>
            <w:vAlign w:val="bottom"/>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&lt;Перевозка&gt;</w:t>
            </w:r>
          </w:p>
        </w:tc>
        <w:tc>
          <w:tcPr>
            <w:tcW w:w="1247" w:type="dxa"/>
            <w:tcBorders>
              <w:top w:val="nil"/>
              <w:left w:val="nil"/>
              <w:bottom w:val="single" w:sz="4"/>
              <w:right w:val="nil"/>
            </w:tcBorders>
          </w:tcPr>
          <w:p>
            <w:pPr>
              <w:pStyle w:val="0"/>
              <w:jc w:val="center"/>
            </w:pPr>
            <w:r>
              <w:rPr>
                <w:sz w:val="20"/>
              </w:rPr>
              <w:t xml:space="preserve">&lt;единица измерения &gt;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&lt;Прочие затраты&gt; </w:t>
            </w:r>
            <w:hyperlink w:history="0" w:anchor="P3644"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1247" w:type="dxa"/>
            <w:vAlign w:val="center"/>
            <w:tcBorders>
              <w:top w:val="nil"/>
              <w:left w:val="nil"/>
              <w:bottom w:val="single" w:sz="4"/>
              <w:right w:val="nil"/>
            </w:tcBorders>
          </w:tcPr>
          <w:p>
            <w:pPr>
              <w:pStyle w:val="0"/>
              <w:jc w:val="center"/>
            </w:pPr>
            <w:r>
              <w:rPr>
                <w:sz w:val="20"/>
              </w:rPr>
              <w:t xml:space="preserve">&lt;единица измерения&gt;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vAlign w:val="bottom"/>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gridSpan w:val="7"/>
            <w:tcW w:w="9094" w:type="dxa"/>
            <w:tcBorders>
              <w:top w:val="single" w:sz="4"/>
              <w:left w:val="nil"/>
              <w:bottom w:val="nil"/>
              <w:right w:val="nil"/>
            </w:tcBorders>
          </w:tcPr>
          <w:p>
            <w:pPr>
              <w:pStyle w:val="0"/>
            </w:pPr>
            <w:r>
              <w:rPr>
                <w:sz w:val="20"/>
              </w:rPr>
              <w:t xml:space="preserve">Всего по позиции</w:t>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прямые затраты по Разделу X</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764" w:name="P2764"/>
          <w:bookmarkEnd w:id="2764"/>
          <w:p>
            <w:pPr>
              <w:pStyle w:val="0"/>
              <w:ind w:left="283"/>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788" w:name="P2788"/>
          <w:bookmarkEnd w:id="2788"/>
          <w:p>
            <w:pPr>
              <w:pStyle w:val="0"/>
              <w:ind w:left="283"/>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00" w:name="P2800"/>
          <w:bookmarkEnd w:id="2800"/>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06" w:name="P2806"/>
          <w:bookmarkEnd w:id="2806"/>
          <w:p>
            <w:pPr>
              <w:pStyle w:val="0"/>
              <w:ind w:left="283"/>
            </w:pPr>
            <w:r>
              <w:rPr>
                <w:sz w:val="20"/>
              </w:rPr>
              <w:t xml:space="preserve">доплаты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24" w:name="P2824"/>
          <w:bookmarkEnd w:id="2824"/>
          <w:p>
            <w:pPr>
              <w:pStyle w:val="0"/>
              <w:ind w:left="283"/>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30" w:name="P2830"/>
          <w:bookmarkEnd w:id="2830"/>
          <w:p>
            <w:pPr>
              <w:pStyle w:val="0"/>
              <w:ind w:left="283"/>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36" w:name="P2836"/>
          <w:bookmarkEnd w:id="2836"/>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pPr>
            <w:r>
              <w:rPr>
                <w:sz w:val="20"/>
              </w:rPr>
              <w:t xml:space="preserve">Итого ФОТ</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48" w:name="P2848"/>
          <w:bookmarkEnd w:id="2848"/>
          <w:p>
            <w:pPr>
              <w:pStyle w:val="0"/>
            </w:pPr>
            <w:r>
              <w:rPr>
                <w:sz w:val="20"/>
              </w:rPr>
              <w:t xml:space="preserve">Итого 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54" w:name="P2854"/>
          <w:bookmarkEnd w:id="2854"/>
          <w:p>
            <w:pPr>
              <w:pStyle w:val="0"/>
            </w:pPr>
            <w:r>
              <w:rPr>
                <w:sz w:val="20"/>
              </w:rPr>
              <w:t xml:space="preserve">Итого 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оборудование</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72" w:name="P2872"/>
          <w:bookmarkEnd w:id="2872"/>
          <w:p>
            <w:pPr>
              <w:pStyle w:val="0"/>
              <w:ind w:left="283"/>
            </w:pPr>
            <w:r>
              <w:rPr>
                <w:sz w:val="20"/>
              </w:rPr>
              <w:t xml:space="preserve">оборудование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78" w:name="P2878"/>
          <w:bookmarkEnd w:id="2878"/>
          <w:p>
            <w:pPr>
              <w:pStyle w:val="0"/>
              <w:ind w:left="283"/>
            </w:pPr>
            <w:r>
              <w:rPr>
                <w:sz w:val="20"/>
              </w:rPr>
              <w:t xml:space="preserve">дополнительная перевозка оборудования</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884" w:name="P2884"/>
          <w:bookmarkEnd w:id="2884"/>
          <w:p>
            <w:pPr>
              <w:pStyle w:val="0"/>
            </w:pPr>
            <w:r>
              <w:rPr>
                <w:sz w:val="20"/>
              </w:rPr>
              <w:t xml:space="preserve">Итого прочие затраты </w:t>
            </w:r>
            <w:hyperlink w:history="0" w:anchor="P3644"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по разделу Раздел X</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2902" w:name="P2902"/>
          <w:bookmarkEnd w:id="2902"/>
          <w:p>
            <w:pPr>
              <w:pStyle w:val="0"/>
              <w:ind w:left="283"/>
            </w:pPr>
            <w:r>
              <w:rPr>
                <w:sz w:val="20"/>
              </w:rPr>
              <w:t xml:space="preserve">материальные ресурсы, отсутствующие в ФРСН</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gridSpan w:val="7"/>
            <w:tcW w:w="9094" w:type="dxa"/>
            <w:tcBorders>
              <w:top w:val="nil"/>
              <w:left w:val="nil"/>
              <w:bottom w:val="single" w:sz="4"/>
              <w:right w:val="nil"/>
            </w:tcBorders>
          </w:tcPr>
          <w:bookmarkStart w:id="2908" w:name="P2908"/>
          <w:bookmarkEnd w:id="2908"/>
          <w:p>
            <w:pPr>
              <w:pStyle w:val="0"/>
              <w:ind w:left="283"/>
            </w:pPr>
            <w:r>
              <w:rPr>
                <w:sz w:val="20"/>
              </w:rPr>
              <w:t xml:space="preserve">оборудование, отсутствующие в ФРСН</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gridSpan w:val="7"/>
            <w:tcW w:w="9094" w:type="dxa"/>
            <w:tcBorders>
              <w:top w:val="single" w:sz="4"/>
              <w:left w:val="nil"/>
              <w:bottom w:val="nil"/>
              <w:right w:val="nil"/>
            </w:tcBorders>
          </w:tcPr>
          <w:p>
            <w:pPr>
              <w:pStyle w:val="0"/>
            </w:pPr>
            <w:r>
              <w:rPr>
                <w:sz w:val="20"/>
              </w:rPr>
              <w:t xml:space="preserve">ИТОГИ ПО СМЕТЕ</w:t>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строительные работы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прямые затраты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доплаты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монтажные работы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прямые затраты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vAlign w:val="bottom"/>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доплаты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оборудование</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оборудование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оборудования</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прочие затраты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3202" w:name="P3202"/>
          <w:bookmarkEnd w:id="3202"/>
          <w:p>
            <w:pPr>
              <w:pStyle w:val="0"/>
              <w:ind w:left="283"/>
            </w:pPr>
            <w:r>
              <w:rPr>
                <w:sz w:val="20"/>
              </w:rPr>
              <w:t xml:space="preserve">прочие затраты </w:t>
            </w:r>
            <w:hyperlink w:history="0" w:anchor="P3644"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прочие работы </w:t>
            </w:r>
            <w:hyperlink w:history="0" w:anchor="P3645" w:tooltip="&lt;3&gt; Под прочими работами понимаются затраты, учитываемые в соответствии с пунктами 122 - 128 Методики.">
              <w:r>
                <w:rPr>
                  <w:sz w:val="20"/>
                  <w:color w:val="0000ff"/>
                </w:rPr>
                <w:t xml:space="preserve">&lt;3&gt;</w:t>
              </w:r>
            </w:hyperlink>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прямые затраты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доплаты к оплате труда машинистов</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по смете</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Всего прямые затраты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 без учета доплат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доплаты к оплате труда машинистов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материальных ресурсов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перевозка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оборудование</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оборудование без учета дополнительной перевозки</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дополнительная перевозка оборудования</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прочие затраты </w:t>
            </w:r>
            <w:hyperlink w:history="0" w:anchor="P3644"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Справочно</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 отсутствующие в ФРСН</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оборудование, отсутствующие в ФРСН</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4"/>
            <w:tcW w:w="6292" w:type="dxa"/>
            <w:tcBorders>
              <w:top w:val="nil"/>
              <w:left w:val="nil"/>
              <w:bottom w:val="nil"/>
              <w:right w:val="nil"/>
            </w:tcBorders>
          </w:tcPr>
          <w:p>
            <w:pPr>
              <w:pStyle w:val="0"/>
              <w:ind w:left="283"/>
            </w:pPr>
            <w:r>
              <w:rPr>
                <w:sz w:val="20"/>
              </w:rPr>
              <w:t xml:space="preserve">затраты труда рабочих</w:t>
            </w:r>
          </w:p>
        </w:tc>
        <w:tc>
          <w:tcPr>
            <w:tcW w:w="994" w:type="dxa"/>
            <w:tcBorders>
              <w:top w:val="nil"/>
              <w:left w:val="nil"/>
              <w:bottom w:val="nil"/>
              <w:right w:val="nil"/>
            </w:tcBorders>
          </w:tcPr>
          <w:p>
            <w:pPr>
              <w:pStyle w:val="0"/>
              <w:jc w:val="center"/>
            </w:pPr>
            <w:r>
              <w:rPr>
                <w:sz w:val="20"/>
              </w:rPr>
              <w:t xml:space="preserve">&lt;X&gt;</w:t>
            </w:r>
          </w:p>
        </w:tc>
        <w:tc>
          <w:tcPr>
            <w:gridSpan w:val="2"/>
            <w:tcW w:w="180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4"/>
            <w:tcW w:w="6292" w:type="dxa"/>
            <w:tcBorders>
              <w:top w:val="nil"/>
              <w:left w:val="nil"/>
              <w:bottom w:val="nil"/>
              <w:right w:val="nil"/>
            </w:tcBorders>
          </w:tcPr>
          <w:p>
            <w:pPr>
              <w:pStyle w:val="0"/>
              <w:ind w:left="283"/>
            </w:pPr>
            <w:r>
              <w:rPr>
                <w:sz w:val="20"/>
              </w:rPr>
              <w:t xml:space="preserve">затраты труда машинистов</w:t>
            </w:r>
          </w:p>
        </w:tc>
        <w:tc>
          <w:tcPr>
            <w:tcW w:w="994" w:type="dxa"/>
            <w:tcBorders>
              <w:top w:val="nil"/>
              <w:left w:val="nil"/>
              <w:bottom w:val="nil"/>
              <w:right w:val="nil"/>
            </w:tcBorders>
          </w:tcPr>
          <w:p>
            <w:pPr>
              <w:pStyle w:val="0"/>
              <w:jc w:val="center"/>
            </w:pPr>
            <w:r>
              <w:rPr>
                <w:sz w:val="20"/>
              </w:rPr>
              <w:t xml:space="preserve">&lt;X&gt;</w:t>
            </w:r>
          </w:p>
        </w:tc>
        <w:tc>
          <w:tcPr>
            <w:gridSpan w:val="2"/>
            <w:tcW w:w="180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4"/>
            <w:tcW w:w="6292"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gridSpan w:val="2"/>
            <w:tcW w:w="180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ПНР "вхолостую"</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vAlign w:val="bottom"/>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t xml:space="preserve">ПНР "под нагрузкой"</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vAlign w:val="center"/>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t xml:space="preserve">в том числе</w:t>
            </w:r>
          </w:p>
        </w:tc>
        <w:tc>
          <w:tcPr>
            <w:tcW w:w="1247" w:type="dxa"/>
            <w:vAlign w:val="center"/>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vAlign w:val="center"/>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vAlign w:val="center"/>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vAlign w:val="center"/>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ind w:firstLine="283"/>
              <w:jc w:val="both"/>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1304"/>
        <w:gridCol w:w="7767"/>
      </w:tblGrid>
      <w:tr>
        <w:tc>
          <w:tcPr>
            <w:tcW w:w="1304" w:type="dxa"/>
            <w:vAlign w:val="bottom"/>
            <w:tcBorders>
              <w:top w:val="nil"/>
              <w:left w:val="nil"/>
              <w:bottom w:val="nil"/>
              <w:right w:val="nil"/>
            </w:tcBorders>
          </w:tcPr>
          <w:p>
            <w:pPr>
              <w:pStyle w:val="0"/>
            </w:pPr>
            <w:r>
              <w:rPr>
                <w:sz w:val="20"/>
              </w:rPr>
              <w:t xml:space="preserve">Составил</w:t>
            </w:r>
          </w:p>
        </w:tc>
        <w:tc>
          <w:tcPr>
            <w:tcW w:w="7767" w:type="dxa"/>
            <w:tcBorders>
              <w:top w:val="nil"/>
              <w:left w:val="nil"/>
              <w:bottom w:val="single" w:sz="4"/>
              <w:right w:val="nil"/>
            </w:tcBorders>
          </w:tcPr>
          <w:p>
            <w:pPr>
              <w:pStyle w:val="0"/>
            </w:pPr>
            <w:r>
              <w:rPr>
                <w:sz w:val="20"/>
              </w:rPr>
            </w:r>
          </w:p>
        </w:tc>
      </w:tr>
      <w:tr>
        <w:tc>
          <w:tcPr>
            <w:tcW w:w="1304" w:type="dxa"/>
            <w:tcBorders>
              <w:top w:val="nil"/>
              <w:left w:val="nil"/>
              <w:bottom w:val="nil"/>
              <w:right w:val="nil"/>
            </w:tcBorders>
          </w:tcPr>
          <w:p>
            <w:pPr>
              <w:pStyle w:val="0"/>
            </w:pPr>
            <w:r>
              <w:rPr>
                <w:sz w:val="20"/>
              </w:rPr>
            </w:r>
          </w:p>
        </w:tc>
        <w:tc>
          <w:tcPr>
            <w:tcW w:w="7767" w:type="dxa"/>
            <w:tcBorders>
              <w:top w:val="single" w:sz="4"/>
              <w:left w:val="nil"/>
              <w:bottom w:val="nil"/>
              <w:right w:val="nil"/>
            </w:tcBorders>
          </w:tcPr>
          <w:p>
            <w:pPr>
              <w:pStyle w:val="0"/>
              <w:jc w:val="right"/>
            </w:pPr>
            <w:r>
              <w:rPr>
                <w:sz w:val="20"/>
              </w:rPr>
              <w:t xml:space="preserve">[должность, подпись (инициалы, фамилия)]</w:t>
            </w:r>
          </w:p>
        </w:tc>
      </w:tr>
      <w:tr>
        <w:tc>
          <w:tcPr>
            <w:tcW w:w="1304" w:type="dxa"/>
            <w:vAlign w:val="bottom"/>
            <w:tcBorders>
              <w:top w:val="nil"/>
              <w:left w:val="nil"/>
              <w:bottom w:val="nil"/>
              <w:right w:val="nil"/>
            </w:tcBorders>
          </w:tcPr>
          <w:p>
            <w:pPr>
              <w:pStyle w:val="0"/>
            </w:pPr>
            <w:r>
              <w:rPr>
                <w:sz w:val="20"/>
              </w:rPr>
              <w:t xml:space="preserve">Проверил</w:t>
            </w:r>
          </w:p>
        </w:tc>
        <w:tc>
          <w:tcPr>
            <w:tcW w:w="7767" w:type="dxa"/>
            <w:tcBorders>
              <w:top w:val="nil"/>
              <w:left w:val="nil"/>
              <w:bottom w:val="single" w:sz="4"/>
              <w:right w:val="nil"/>
            </w:tcBorders>
          </w:tcPr>
          <w:p>
            <w:pPr>
              <w:pStyle w:val="0"/>
            </w:pPr>
            <w:r>
              <w:rPr>
                <w:sz w:val="20"/>
              </w:rPr>
            </w:r>
          </w:p>
        </w:tc>
      </w:tr>
      <w:tr>
        <w:tc>
          <w:tcPr>
            <w:tcW w:w="1304" w:type="dxa"/>
            <w:tcBorders>
              <w:top w:val="nil"/>
              <w:left w:val="nil"/>
              <w:bottom w:val="nil"/>
              <w:right w:val="nil"/>
            </w:tcBorders>
          </w:tcPr>
          <w:p>
            <w:pPr>
              <w:pStyle w:val="0"/>
            </w:pPr>
            <w:r>
              <w:rPr>
                <w:sz w:val="20"/>
              </w:rPr>
            </w:r>
          </w:p>
        </w:tc>
        <w:tc>
          <w:tcPr>
            <w:tcW w:w="7767" w:type="dxa"/>
            <w:vAlign w:val="bottom"/>
            <w:tcBorders>
              <w:top w:val="single" w:sz="4"/>
              <w:left w:val="nil"/>
              <w:bottom w:val="nil"/>
              <w:right w:val="nil"/>
            </w:tcBorders>
          </w:tcPr>
          <w:p>
            <w:pPr>
              <w:pStyle w:val="0"/>
              <w:jc w:val="right"/>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w:t>
      </w:r>
    </w:p>
    <w:bookmarkStart w:id="3643" w:name="P3643"/>
    <w:bookmarkEnd w:id="3643"/>
    <w:p>
      <w:pPr>
        <w:pStyle w:val="0"/>
        <w:spacing w:before="200" w:line-rule="auto"/>
        <w:ind w:firstLine="540"/>
        <w:jc w:val="both"/>
      </w:pPr>
      <w:r>
        <w:rPr>
          <w:sz w:val="20"/>
        </w:rPr>
        <w:t xml:space="preserve">&lt;1&gt;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w:t>
      </w:r>
    </w:p>
    <w:bookmarkStart w:id="3644" w:name="P3644"/>
    <w:bookmarkEnd w:id="3644"/>
    <w:p>
      <w:pPr>
        <w:pStyle w:val="0"/>
        <w:spacing w:before="200" w:line-rule="auto"/>
        <w:ind w:firstLine="540"/>
        <w:jc w:val="both"/>
      </w:pPr>
      <w:r>
        <w:rPr>
          <w:sz w:val="20"/>
        </w:rPr>
        <w:t xml:space="preserve">&lt;2&gt; Под прочими затратами понимаются затраты, учитываемые в соответствии с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пунктом 184</w:t>
        </w:r>
      </w:hyperlink>
      <w:r>
        <w:rPr>
          <w:sz w:val="20"/>
        </w:rPr>
        <w:t xml:space="preserve"> Методики.</w:t>
      </w:r>
    </w:p>
    <w:bookmarkStart w:id="3645" w:name="P3645"/>
    <w:bookmarkEnd w:id="3645"/>
    <w:p>
      <w:pPr>
        <w:pStyle w:val="0"/>
        <w:spacing w:before="200" w:line-rule="auto"/>
        <w:ind w:firstLine="540"/>
        <w:jc w:val="both"/>
      </w:pPr>
      <w:r>
        <w:rPr>
          <w:sz w:val="20"/>
        </w:rPr>
        <w:t xml:space="preserve">&lt;3&gt; Под прочими работами понимаются затраты, учитываемые в соответствии с </w:t>
      </w:r>
      <w:hyperlink w:history="0" w:anchor="P525" w:tooltip="122. Сметная стоимость пусконаладочных работ определяется на основании программы и графика выполнения пусконаладочных работ.">
        <w:r>
          <w:rPr>
            <w:sz w:val="20"/>
            <w:color w:val="0000ff"/>
          </w:rPr>
          <w:t xml:space="preserve">пунктами 122</w:t>
        </w:r>
      </w:hyperlink>
      <w:r>
        <w:rPr>
          <w:sz w:val="20"/>
        </w:rPr>
        <w:t xml:space="preserve"> - </w:t>
      </w:r>
      <w:hyperlink w:history="0" w:anchor="P540" w:tooltip="128. При определении сметной стоимости строительства особо опасных, технически сложных и уникальных объектов капитального строительства необходимость учета в главе 9 (графы 7 и 8) сводного сметного расчета затрат &quot;под нагрузкой&quot;, определенных сметными расчетами, разработанными по рекомендуемым образцам, приведенным в Приложениях N 2 - 6 к Методике, устанавливается заказчиком по согласованию с главным распорядителем средств соответствующего бюджета (за исключением случаев, когда заказчиком является главны...">
        <w:r>
          <w:rPr>
            <w:sz w:val="20"/>
            <w:color w:val="0000ff"/>
          </w:rPr>
          <w:t xml:space="preserve">128</w:t>
        </w:r>
      </w:hyperlink>
      <w:r>
        <w:rPr>
          <w:sz w:val="20"/>
        </w:rPr>
        <w:t xml:space="preserve"> Методики.</w:t>
      </w:r>
    </w:p>
    <w:p>
      <w:pPr>
        <w:pStyle w:val="0"/>
        <w:jc w:val="both"/>
      </w:pPr>
      <w:r>
        <w:rPr>
          <w:sz w:val="20"/>
        </w:rPr>
      </w:r>
    </w:p>
    <w:tbl>
      <w:tblPr>
        <w:tblInd w:w="0" w:type="dxa"/>
        <w:tblLayout w:type="fixed"/>
        <w:tblCellMar>
          <w:top w:w="102" w:type="dxa"/>
          <w:left w:w="62" w:type="dxa"/>
          <w:bottom w:w="102" w:type="dxa"/>
          <w:right w:w="62" w:type="dxa"/>
        </w:tblCellMar>
      </w:tblPr>
      <w:tblGrid>
        <w:gridCol w:w="1304"/>
        <w:gridCol w:w="7767"/>
      </w:tblGrid>
      <w:tr>
        <w:tc>
          <w:tcPr>
            <w:tcW w:w="1304" w:type="dxa"/>
            <w:tcBorders>
              <w:top w:val="nil"/>
              <w:left w:val="nil"/>
              <w:bottom w:val="nil"/>
              <w:right w:val="nil"/>
            </w:tcBorders>
          </w:tcPr>
          <w:p>
            <w:pPr>
              <w:pStyle w:val="0"/>
            </w:pPr>
            <w:r>
              <w:rPr>
                <w:sz w:val="20"/>
              </w:rPr>
            </w:r>
          </w:p>
        </w:tc>
        <w:tc>
          <w:tcPr>
            <w:tcW w:w="7767" w:type="dxa"/>
            <w:tcBorders>
              <w:top w:val="nil"/>
              <w:left w:val="nil"/>
              <w:bottom w:val="nil"/>
              <w:right w:val="nil"/>
            </w:tcBorders>
          </w:tcPr>
          <w:p>
            <w:pPr>
              <w:pStyle w:val="0"/>
              <w:jc w:val="center"/>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Примечания к формам локального сметного расчета (сметы) для базисно-индексного метода при определении сметной стоимости строительства за исключением работ по сохранению объектов культурного наследия (памятников истории и культуры) народов Российской Федерации на территории Российской Федерации:</w:t>
      </w:r>
    </w:p>
    <w:p>
      <w:pPr>
        <w:pStyle w:val="0"/>
        <w:spacing w:before="200" w:line-rule="auto"/>
        <w:ind w:firstLine="540"/>
        <w:jc w:val="both"/>
      </w:pPr>
      <w:r>
        <w:rPr>
          <w:sz w:val="20"/>
        </w:rPr>
        <w:t xml:space="preserve">1. В </w:t>
      </w:r>
      <w:hyperlink w:history="0" w:anchor="P2407" w:tooltip="1">
        <w:r>
          <w:rPr>
            <w:sz w:val="20"/>
            <w:color w:val="0000ff"/>
          </w:rPr>
          <w:t xml:space="preserve">графе 1</w:t>
        </w:r>
      </w:hyperlink>
      <w:r>
        <w:rPr>
          <w:sz w:val="20"/>
        </w:rPr>
        <w:t xml:space="preserve"> производится сквозная нумерация позиций сметного расчета, к которым относятся единичные расценки и оборудование, при этом:</w:t>
      </w:r>
    </w:p>
    <w:p>
      <w:pPr>
        <w:pStyle w:val="0"/>
        <w:spacing w:before="200" w:line-rule="auto"/>
        <w:ind w:firstLine="540"/>
        <w:jc w:val="both"/>
      </w:pPr>
      <w:r>
        <w:rPr>
          <w:sz w:val="20"/>
        </w:rPr>
        <w:t xml:space="preserve">в строках строительных ресурсов, не учтенных единичной расценкой, указывается номер, состоящих из двух групп цифр, разделенных точкой, первая группа цифр которого соответствует номеру позиции, вторая - порядковому номеру строки в позиции, например, 1.1;</w:t>
      </w:r>
    </w:p>
    <w:p>
      <w:pPr>
        <w:pStyle w:val="0"/>
        <w:spacing w:before="200" w:line-rule="auto"/>
        <w:ind w:firstLine="540"/>
        <w:jc w:val="both"/>
      </w:pPr>
      <w:r>
        <w:rPr>
          <w:sz w:val="20"/>
        </w:rPr>
        <w:t xml:space="preserve">в строках дополнительной перевозки, учитываемой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указывается номер, состоящих из двух групп цифр, разделенных точкой, первая группа цифр которых соответствует номеру позиции неучтенного ресурса, к которому относятся затраты на дополнительную перевозку, вторая - порядковому номеру строки дополнительной перевозки в позиции (1 или 2), например, 7.2.1, где 7.2 - номер позиции неучтенного ресурса или оборудования, 1 - порядковый номер строки дополнительной перевозки в позиции.</w:t>
      </w:r>
    </w:p>
    <w:p>
      <w:pPr>
        <w:pStyle w:val="0"/>
        <w:spacing w:before="200" w:line-rule="auto"/>
        <w:ind w:firstLine="540"/>
        <w:jc w:val="both"/>
      </w:pPr>
      <w:r>
        <w:rPr>
          <w:sz w:val="20"/>
        </w:rPr>
        <w:t xml:space="preserve">2. В </w:t>
      </w:r>
      <w:hyperlink w:history="0" w:anchor="P2408" w:tooltip="2">
        <w:r>
          <w:rPr>
            <w:sz w:val="20"/>
            <w:color w:val="0000ff"/>
          </w:rPr>
          <w:t xml:space="preserve">графе 2</w:t>
        </w:r>
      </w:hyperlink>
      <w:r>
        <w:rPr>
          <w:sz w:val="20"/>
        </w:rPr>
        <w:t xml:space="preserve"> указываются:</w:t>
      </w:r>
    </w:p>
    <w:p>
      <w:pPr>
        <w:pStyle w:val="0"/>
        <w:spacing w:before="200" w:line-rule="auto"/>
        <w:ind w:firstLine="540"/>
        <w:jc w:val="both"/>
      </w:pPr>
      <w:r>
        <w:rPr>
          <w:sz w:val="20"/>
        </w:rPr>
        <w:t xml:space="preserve">шифры единичных расценок, коды неучтенных ресурсов (при замене, исключении, добавлении ресурсов);</w:t>
      </w:r>
    </w:p>
    <w:p>
      <w:pPr>
        <w:pStyle w:val="0"/>
        <w:spacing w:before="200" w:line-rule="auto"/>
        <w:ind w:firstLine="540"/>
        <w:jc w:val="both"/>
      </w:pPr>
      <w:r>
        <w:rPr>
          <w:sz w:val="20"/>
        </w:rPr>
        <w:t xml:space="preserve">шифр накладных расходов и сметной прибыли, содержащий ссылку на сметные нормативы, для позиций накладных расходов и сметной прибыли;</w:t>
      </w:r>
    </w:p>
    <w:p>
      <w:pPr>
        <w:pStyle w:val="0"/>
        <w:spacing w:before="200" w:line-rule="auto"/>
        <w:ind w:firstLine="540"/>
        <w:jc w:val="both"/>
      </w:pPr>
      <w:r>
        <w:rPr>
          <w:sz w:val="20"/>
        </w:rPr>
        <w:t xml:space="preserve">шифры/коды материальных ресурсов и оборудования (присвоенные в соответствии с </w:t>
      </w:r>
      <w:hyperlink w:history="0" w:anchor="P147" w:tooltip="23. Материальным ресурсам и оборудованию, отпускная цена которых в текущем уровне цен определена в соответствии с положениями пунктов 13 - 21 Методики, присваивается код, состоящий из буквенного обозначения &quot;ТЦ&quot; и пяти групп цифр: первая группа цифр соответствует коду группы Классификатора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
        <w:r>
          <w:rPr>
            <w:sz w:val="20"/>
            <w:color w:val="0000ff"/>
          </w:rPr>
          <w:t xml:space="preserve">пунктом 23</w:t>
        </w:r>
      </w:hyperlink>
      <w:r>
        <w:rPr>
          <w:sz w:val="20"/>
        </w:rPr>
        <w:t xml:space="preserve"> Методики);</w:t>
      </w:r>
    </w:p>
    <w:p>
      <w:pPr>
        <w:pStyle w:val="0"/>
        <w:spacing w:before="200" w:line-rule="auto"/>
        <w:ind w:firstLine="540"/>
        <w:jc w:val="both"/>
      </w:pPr>
      <w:r>
        <w:rPr>
          <w:sz w:val="20"/>
        </w:rPr>
        <w:t xml:space="preserve">обоснование прочих затрат, учитываемых в локальном сметном расчете (смете) согласно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пункту 184</w:t>
        </w:r>
      </w:hyperlink>
      <w:r>
        <w:rPr>
          <w:sz w:val="20"/>
        </w:rPr>
        <w:t xml:space="preserve"> Методики (далее - прочих затрат);</w:t>
      </w:r>
    </w:p>
    <w:p>
      <w:pPr>
        <w:pStyle w:val="0"/>
        <w:spacing w:before="200" w:line-rule="auto"/>
        <w:ind w:firstLine="540"/>
        <w:jc w:val="both"/>
      </w:pPr>
      <w:r>
        <w:rPr>
          <w:sz w:val="20"/>
        </w:rPr>
        <w:t xml:space="preserve">шифр коэффициента (при наличии) или ссылка на положения сметных нормативов и (или) пункты разделов сборников единичных расценок (в случае применения коэффициентов, учитывающих усложняющие факторы и (или) условия производства работ, или иных доплат к сметной стоимости).</w:t>
      </w:r>
    </w:p>
    <w:p>
      <w:pPr>
        <w:pStyle w:val="0"/>
        <w:spacing w:before="200" w:line-rule="auto"/>
        <w:ind w:firstLine="540"/>
        <w:jc w:val="both"/>
      </w:pPr>
      <w:r>
        <w:rPr>
          <w:sz w:val="20"/>
        </w:rPr>
        <w:t xml:space="preserve">3. В </w:t>
      </w:r>
      <w:hyperlink w:history="0" w:anchor="P2409" w:tooltip="3">
        <w:r>
          <w:rPr>
            <w:sz w:val="20"/>
            <w:color w:val="0000ff"/>
          </w:rPr>
          <w:t xml:space="preserve">графе 3</w:t>
        </w:r>
      </w:hyperlink>
      <w:r>
        <w:rPr>
          <w:sz w:val="20"/>
        </w:rPr>
        <w:t xml:space="preserve"> указываются:</w:t>
      </w:r>
    </w:p>
    <w:p>
      <w:pPr>
        <w:pStyle w:val="0"/>
        <w:spacing w:before="200" w:line-rule="auto"/>
        <w:ind w:firstLine="540"/>
        <w:jc w:val="both"/>
      </w:pPr>
      <w:r>
        <w:rPr>
          <w:sz w:val="20"/>
        </w:rPr>
        <w:t xml:space="preserve">наименования единичных расценок (полностью, без сокращений), неучтенных единичными расценками материальных ресурсов, в соответствии с данными, включенными в ФРСН, или в соответствии с проектной и иной технической документацией, а также обосновывающими сметную цену материальных ресурсов документами;</w:t>
      </w:r>
    </w:p>
    <w:p>
      <w:pPr>
        <w:pStyle w:val="0"/>
        <w:spacing w:before="200" w:line-rule="auto"/>
        <w:ind w:firstLine="540"/>
        <w:jc w:val="both"/>
      </w:pPr>
      <w:r>
        <w:rPr>
          <w:sz w:val="20"/>
        </w:rPr>
        <w:t xml:space="preserve">наименования составляющих сметной стоимости и элементов затрат;</w:t>
      </w:r>
    </w:p>
    <w:p>
      <w:pPr>
        <w:pStyle w:val="0"/>
        <w:spacing w:before="200" w:line-rule="auto"/>
        <w:ind w:firstLine="540"/>
        <w:jc w:val="both"/>
      </w:pPr>
      <w:r>
        <w:rPr>
          <w:sz w:val="20"/>
        </w:rPr>
        <w:t xml:space="preserve">наименования прочих затрат, учитываемых в локальном сметном расчете (смете);</w:t>
      </w:r>
    </w:p>
    <w:p>
      <w:pPr>
        <w:pStyle w:val="0"/>
        <w:spacing w:before="200" w:line-rule="auto"/>
        <w:ind w:firstLine="540"/>
        <w:jc w:val="both"/>
      </w:pPr>
      <w:r>
        <w:rPr>
          <w:sz w:val="20"/>
        </w:rPr>
        <w:t xml:space="preserve">полное описание материальных ресурсов и оборудования, отсутствующих в ФРСН, с учетом их характеристик;</w:t>
      </w:r>
    </w:p>
    <w:p>
      <w:pPr>
        <w:pStyle w:val="0"/>
        <w:spacing w:before="200" w:line-rule="auto"/>
        <w:ind w:firstLine="540"/>
        <w:jc w:val="both"/>
      </w:pPr>
      <w:r>
        <w:rPr>
          <w:sz w:val="20"/>
        </w:rPr>
        <w:t xml:space="preserve">наименование, величина коэффициентов, учитывающих усложняющие факторы и (или) условия производства работ (в случае их применения), а также составляющие единичных расценок, к которым указанные коэффициенты применяются.</w:t>
      </w:r>
    </w:p>
    <w:p>
      <w:pPr>
        <w:pStyle w:val="0"/>
        <w:spacing w:before="200" w:line-rule="auto"/>
        <w:ind w:firstLine="540"/>
        <w:jc w:val="both"/>
      </w:pPr>
      <w:r>
        <w:rPr>
          <w:sz w:val="20"/>
        </w:rPr>
        <w:t xml:space="preserve">4. В </w:t>
      </w:r>
      <w:hyperlink w:history="0" w:anchor="P2411" w:tooltip="5">
        <w:r>
          <w:rPr>
            <w:sz w:val="20"/>
            <w:color w:val="0000ff"/>
          </w:rPr>
          <w:t xml:space="preserve">графах 5</w:t>
        </w:r>
      </w:hyperlink>
      <w:r>
        <w:rPr>
          <w:sz w:val="20"/>
        </w:rPr>
        <w:t xml:space="preserve"> - </w:t>
      </w:r>
      <w:hyperlink w:history="0" w:anchor="P2413" w:tooltip="7">
        <w:r>
          <w:rPr>
            <w:sz w:val="20"/>
            <w:color w:val="0000ff"/>
          </w:rPr>
          <w:t xml:space="preserve">7</w:t>
        </w:r>
      </w:hyperlink>
      <w:r>
        <w:rPr>
          <w:sz w:val="20"/>
        </w:rPr>
        <w:t xml:space="preserve"> по строке ЗТм данные заполняются при их наличии.</w:t>
      </w:r>
    </w:p>
    <w:p>
      <w:pPr>
        <w:pStyle w:val="0"/>
        <w:spacing w:before="200" w:line-rule="auto"/>
        <w:ind w:firstLine="540"/>
        <w:jc w:val="both"/>
      </w:pPr>
      <w:r>
        <w:rPr>
          <w:sz w:val="20"/>
        </w:rPr>
        <w:t xml:space="preserve">5. В </w:t>
      </w:r>
      <w:hyperlink w:history="0" w:anchor="P2410" w:tooltip="4">
        <w:r>
          <w:rPr>
            <w:sz w:val="20"/>
            <w:color w:val="0000ff"/>
          </w:rPr>
          <w:t xml:space="preserve">графе 4</w:t>
        </w:r>
      </w:hyperlink>
      <w:r>
        <w:rPr>
          <w:sz w:val="20"/>
        </w:rPr>
        <w:t xml:space="preserve"> указываются:</w:t>
      </w:r>
    </w:p>
    <w:p>
      <w:pPr>
        <w:pStyle w:val="0"/>
        <w:spacing w:before="200" w:line-rule="auto"/>
        <w:ind w:firstLine="540"/>
        <w:jc w:val="both"/>
      </w:pPr>
      <w:r>
        <w:rPr>
          <w:sz w:val="20"/>
        </w:rPr>
        <w:t xml:space="preserve">единица измерения единичных расценок, ресурсов и затрат в соответствии с данными, включенными в ФРСН;</w:t>
      </w:r>
    </w:p>
    <w:p>
      <w:pPr>
        <w:pStyle w:val="0"/>
        <w:spacing w:before="200" w:line-rule="auto"/>
        <w:ind w:firstLine="540"/>
        <w:jc w:val="both"/>
      </w:pPr>
      <w:r>
        <w:rPr>
          <w:sz w:val="20"/>
        </w:rPr>
        <w:t xml:space="preserve">единица измерения единичных расценок, ресурсов и затрат в соответствии с проектной и (или) иной технической документацией или в соответствии с обосновывающими сметную цену документами - для материальных ресурсов, оборудования и затрат, отсутствующих в ФРСН;</w:t>
      </w:r>
    </w:p>
    <w:p>
      <w:pPr>
        <w:pStyle w:val="0"/>
        <w:spacing w:before="200" w:line-rule="auto"/>
        <w:ind w:firstLine="540"/>
        <w:jc w:val="both"/>
      </w:pPr>
      <w:r>
        <w:rPr>
          <w:sz w:val="20"/>
        </w:rPr>
        <w:t xml:space="preserve">в строках НР и СП - %.</w:t>
      </w:r>
    </w:p>
    <w:p>
      <w:pPr>
        <w:pStyle w:val="0"/>
        <w:spacing w:before="200" w:line-rule="auto"/>
        <w:ind w:firstLine="540"/>
        <w:jc w:val="both"/>
      </w:pPr>
      <w:r>
        <w:rPr>
          <w:sz w:val="20"/>
        </w:rPr>
        <w:t xml:space="preserve">6. В </w:t>
      </w:r>
      <w:hyperlink w:history="0" w:anchor="P2411" w:tooltip="5">
        <w:r>
          <w:rPr>
            <w:sz w:val="20"/>
            <w:color w:val="0000ff"/>
          </w:rPr>
          <w:t xml:space="preserve">графе 5</w:t>
        </w:r>
      </w:hyperlink>
      <w:r>
        <w:rPr>
          <w:sz w:val="20"/>
        </w:rPr>
        <w:t xml:space="preserve"> указывается количество на единицу без применения коэффициентов:</w:t>
      </w:r>
    </w:p>
    <w:p>
      <w:pPr>
        <w:pStyle w:val="0"/>
        <w:spacing w:before="200" w:line-rule="auto"/>
        <w:ind w:firstLine="540"/>
        <w:jc w:val="both"/>
      </w:pPr>
      <w:r>
        <w:rPr>
          <w:sz w:val="20"/>
        </w:rPr>
        <w:t xml:space="preserve">в строках единичных расценок - количество в соответствии с проектной и (или) иной технической документацией и с учетом единицы измерения расценки;</w:t>
      </w:r>
    </w:p>
    <w:p>
      <w:pPr>
        <w:pStyle w:val="0"/>
        <w:spacing w:before="200" w:line-rule="auto"/>
        <w:ind w:firstLine="540"/>
        <w:jc w:val="both"/>
      </w:pPr>
      <w:r>
        <w:rPr>
          <w:sz w:val="20"/>
        </w:rPr>
        <w:t xml:space="preserve">для строительных ресурсов и затрат - количество на единицу измерения единичной расценки в соответствии с данными, включенными в ФРСН, или в соответствии с проектной и (или) иной технической документацией;</w:t>
      </w:r>
    </w:p>
    <w:p>
      <w:pPr>
        <w:pStyle w:val="0"/>
        <w:spacing w:before="200" w:line-rule="auto"/>
        <w:ind w:firstLine="540"/>
        <w:jc w:val="both"/>
      </w:pPr>
      <w:r>
        <w:rPr>
          <w:sz w:val="20"/>
        </w:rPr>
        <w:t xml:space="preserve">в строках НР и СП - значение нормативов накладных расходов и сметной прибыли в соответствии со сметными нормативами, сведения о которых включены в ФРСН.</w:t>
      </w:r>
    </w:p>
    <w:p>
      <w:pPr>
        <w:pStyle w:val="0"/>
        <w:spacing w:before="200" w:line-rule="auto"/>
        <w:ind w:firstLine="540"/>
        <w:jc w:val="both"/>
      </w:pPr>
      <w:r>
        <w:rPr>
          <w:sz w:val="20"/>
        </w:rPr>
        <w:t xml:space="preserve">7. В </w:t>
      </w:r>
      <w:hyperlink w:history="0" w:anchor="P2412" w:tooltip="6">
        <w:r>
          <w:rPr>
            <w:sz w:val="20"/>
            <w:color w:val="0000ff"/>
          </w:rPr>
          <w:t xml:space="preserve">графе 6</w:t>
        </w:r>
      </w:hyperlink>
      <w:r>
        <w:rPr>
          <w:sz w:val="20"/>
        </w:rPr>
        <w:t xml:space="preserve"> указывается результирующее значение коэффициента к количеству, указываемому в </w:t>
      </w:r>
      <w:hyperlink w:history="0" w:anchor="P2411" w:tooltip="5">
        <w:r>
          <w:rPr>
            <w:sz w:val="20"/>
            <w:color w:val="0000ff"/>
          </w:rPr>
          <w:t xml:space="preserve">графе 5</w:t>
        </w:r>
      </w:hyperlink>
      <w:r>
        <w:rPr>
          <w:sz w:val="20"/>
        </w:rPr>
        <w:t xml:space="preserve">, полученное как произведение всех применяемых коэффициентов, с округлением до семи знаков после запятой по итогу перемножения (к примерам коэффициентов к количеству расценки относятся коэффициенты, учитывающие изменение толщины стяжек, покрытий, количества слоев гидроизоляции, огрунтовки, окраски и тому подобное).</w:t>
      </w:r>
    </w:p>
    <w:p>
      <w:pPr>
        <w:pStyle w:val="0"/>
        <w:spacing w:before="200" w:line-rule="auto"/>
        <w:ind w:firstLine="540"/>
        <w:jc w:val="both"/>
      </w:pPr>
      <w:r>
        <w:rPr>
          <w:sz w:val="20"/>
        </w:rPr>
        <w:t xml:space="preserve">8. В </w:t>
      </w:r>
      <w:hyperlink w:history="0" w:anchor="P2413" w:tooltip="7">
        <w:r>
          <w:rPr>
            <w:sz w:val="20"/>
            <w:color w:val="0000ff"/>
          </w:rPr>
          <w:t xml:space="preserve">графе 7</w:t>
        </w:r>
      </w:hyperlink>
      <w:r>
        <w:rPr>
          <w:sz w:val="20"/>
        </w:rPr>
        <w:t xml:space="preserve"> указывается:</w:t>
      </w:r>
    </w:p>
    <w:p>
      <w:pPr>
        <w:pStyle w:val="0"/>
        <w:spacing w:before="200" w:line-rule="auto"/>
        <w:ind w:firstLine="540"/>
        <w:jc w:val="both"/>
      </w:pPr>
      <w:r>
        <w:rPr>
          <w:sz w:val="20"/>
        </w:rPr>
        <w:t xml:space="preserve">результирующее количество с учетом коэффициента, приведенного в </w:t>
      </w:r>
      <w:hyperlink w:history="0" w:anchor="P2412" w:tooltip="6">
        <w:r>
          <w:rPr>
            <w:sz w:val="20"/>
            <w:color w:val="0000ff"/>
          </w:rPr>
          <w:t xml:space="preserve">графе 6</w:t>
        </w:r>
      </w:hyperlink>
      <w:r>
        <w:rPr>
          <w:sz w:val="20"/>
        </w:rPr>
        <w:t xml:space="preserve">, при этом в строках строительных ресурсов - на весь объем единичной расценки;</w:t>
      </w:r>
    </w:p>
    <w:p>
      <w:pPr>
        <w:pStyle w:val="0"/>
        <w:spacing w:before="200" w:line-rule="auto"/>
        <w:ind w:firstLine="540"/>
        <w:jc w:val="both"/>
      </w:pPr>
      <w:r>
        <w:rPr>
          <w:sz w:val="20"/>
        </w:rPr>
        <w:t xml:space="preserve">в строках НР и СП - норматив в процентах с учетом коэффициента, приведенного в </w:t>
      </w:r>
      <w:hyperlink w:history="0" w:anchor="P2412" w:tooltip="6">
        <w:r>
          <w:rPr>
            <w:sz w:val="20"/>
            <w:color w:val="0000ff"/>
          </w:rPr>
          <w:t xml:space="preserve">графе 6</w:t>
        </w:r>
      </w:hyperlink>
      <w:r>
        <w:rPr>
          <w:sz w:val="20"/>
        </w:rPr>
        <w:t xml:space="preserve">.</w:t>
      </w:r>
    </w:p>
    <w:p>
      <w:pPr>
        <w:pStyle w:val="0"/>
        <w:spacing w:before="200" w:line-rule="auto"/>
        <w:ind w:firstLine="540"/>
        <w:jc w:val="both"/>
      </w:pPr>
      <w:r>
        <w:rPr>
          <w:sz w:val="20"/>
        </w:rPr>
        <w:t xml:space="preserve">Результирующие количественные показатели, в том числе нормативы НР и СП в процентах с учетом коэффициента, округляются до семи знаков после запятой по итогу перемножения.</w:t>
      </w:r>
    </w:p>
    <w:p>
      <w:pPr>
        <w:pStyle w:val="0"/>
        <w:spacing w:before="200" w:line-rule="auto"/>
        <w:ind w:firstLine="540"/>
        <w:jc w:val="both"/>
      </w:pPr>
      <w:r>
        <w:rPr>
          <w:sz w:val="20"/>
        </w:rPr>
        <w:t xml:space="preserve">9. В </w:t>
      </w:r>
      <w:hyperlink w:history="0" w:anchor="P2414" w:tooltip="8">
        <w:r>
          <w:rPr>
            <w:sz w:val="20"/>
            <w:color w:val="0000ff"/>
          </w:rPr>
          <w:t xml:space="preserve">графе 8</w:t>
        </w:r>
      </w:hyperlink>
      <w:r>
        <w:rPr>
          <w:sz w:val="20"/>
        </w:rPr>
        <w:t xml:space="preserve"> указывается:</w:t>
      </w:r>
    </w:p>
    <w:p>
      <w:pPr>
        <w:pStyle w:val="0"/>
        <w:spacing w:before="200" w:line-rule="auto"/>
        <w:ind w:firstLine="540"/>
        <w:jc w:val="both"/>
      </w:pPr>
      <w:r>
        <w:rPr>
          <w:sz w:val="20"/>
        </w:rPr>
        <w:t xml:space="preserve">сметная стоимость в базисном уровне цен в соответствии с данными, включенными в ФРСН;</w:t>
      </w:r>
    </w:p>
    <w:p>
      <w:pPr>
        <w:pStyle w:val="0"/>
        <w:spacing w:before="200" w:line-rule="auto"/>
        <w:ind w:firstLine="540"/>
        <w:jc w:val="both"/>
      </w:pPr>
      <w:r>
        <w:rPr>
          <w:sz w:val="20"/>
        </w:rPr>
        <w:t xml:space="preserve">сметная цена в текущем уровне цен (без учета НДС), полученная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21" w:tooltip="18. РКЦ, предоставляемые производителями, расположенными на территории Российской Федерации, содержат следующие статьи затрат:">
        <w:r>
          <w:rPr>
            <w:sz w:val="20"/>
            <w:color w:val="0000ff"/>
          </w:rPr>
          <w:t xml:space="preserve">18</w:t>
        </w:r>
      </w:hyperlink>
      <w:r>
        <w:rPr>
          <w:sz w:val="20"/>
        </w:rPr>
        <w:t xml:space="preserve"> Методики (для материальных ресурсов, оборудования, и затрат, отсутствующих в ФРСН).</w:t>
      </w:r>
    </w:p>
    <w:p>
      <w:pPr>
        <w:pStyle w:val="0"/>
        <w:spacing w:before="200" w:line-rule="auto"/>
        <w:ind w:firstLine="540"/>
        <w:jc w:val="both"/>
      </w:pPr>
      <w:r>
        <w:rPr>
          <w:sz w:val="20"/>
        </w:rPr>
        <w:t xml:space="preserve">10. В </w:t>
      </w:r>
      <w:hyperlink w:history="0" w:anchor="P2415" w:tooltip="9">
        <w:r>
          <w:rPr>
            <w:sz w:val="20"/>
            <w:color w:val="0000ff"/>
          </w:rPr>
          <w:t xml:space="preserve">графе 9</w:t>
        </w:r>
      </w:hyperlink>
      <w:r>
        <w:rPr>
          <w:sz w:val="20"/>
        </w:rPr>
        <w:t xml:space="preserve"> указывается результирующее значение коэффициента к стоимостным показателям, полученное как произведение всех применяемых коэффициентов, округление производится до семи знаков после запятой по итогу перемножения.</w:t>
      </w:r>
    </w:p>
    <w:p>
      <w:pPr>
        <w:pStyle w:val="0"/>
        <w:spacing w:before="200" w:line-rule="auto"/>
        <w:ind w:firstLine="540"/>
        <w:jc w:val="both"/>
      </w:pPr>
      <w:r>
        <w:rPr>
          <w:sz w:val="20"/>
        </w:rPr>
        <w:t xml:space="preserve">11. В </w:t>
      </w:r>
      <w:hyperlink w:history="0" w:anchor="P2416" w:tooltip="10">
        <w:r>
          <w:rPr>
            <w:sz w:val="20"/>
            <w:color w:val="0000ff"/>
          </w:rPr>
          <w:t xml:space="preserve">графе 10</w:t>
        </w:r>
      </w:hyperlink>
      <w:r>
        <w:rPr>
          <w:sz w:val="20"/>
        </w:rPr>
        <w:t xml:space="preserve"> указывается:</w:t>
      </w:r>
    </w:p>
    <w:p>
      <w:pPr>
        <w:pStyle w:val="0"/>
        <w:spacing w:before="200" w:line-rule="auto"/>
        <w:ind w:firstLine="540"/>
        <w:jc w:val="both"/>
      </w:pPr>
      <w:r>
        <w:rPr>
          <w:sz w:val="20"/>
        </w:rPr>
        <w:t xml:space="preserve">сметная стоимость всего в базисном уровне цен, полученная как произведение </w:t>
      </w:r>
      <w:hyperlink w:history="0" w:anchor="P2413" w:tooltip="7">
        <w:r>
          <w:rPr>
            <w:sz w:val="20"/>
            <w:color w:val="0000ff"/>
          </w:rPr>
          <w:t xml:space="preserve">граф 7</w:t>
        </w:r>
      </w:hyperlink>
      <w:r>
        <w:rPr>
          <w:sz w:val="20"/>
        </w:rPr>
        <w:t xml:space="preserve">, </w:t>
      </w:r>
      <w:hyperlink w:history="0" w:anchor="P2414" w:tooltip="8">
        <w:r>
          <w:rPr>
            <w:sz w:val="20"/>
            <w:color w:val="0000ff"/>
          </w:rPr>
          <w:t xml:space="preserve">8</w:t>
        </w:r>
      </w:hyperlink>
      <w:r>
        <w:rPr>
          <w:sz w:val="20"/>
        </w:rPr>
        <w:t xml:space="preserve"> и </w:t>
      </w:r>
      <w:hyperlink w:history="0" w:anchor="P2415" w:tooltip="9">
        <w:r>
          <w:rPr>
            <w:sz w:val="20"/>
            <w:color w:val="0000ff"/>
          </w:rPr>
          <w:t xml:space="preserve">9</w:t>
        </w:r>
      </w:hyperlink>
      <w:r>
        <w:rPr>
          <w:sz w:val="20"/>
        </w:rPr>
        <w:t xml:space="preserve"> - в строках составляющих единичных расценок, а также сметная стоимость всего в базисном уровне цен неучтенных материальных ресурсов и оборудования, сведения о которых включены в ФРСН;</w:t>
      </w:r>
    </w:p>
    <w:p>
      <w:pPr>
        <w:pStyle w:val="0"/>
        <w:spacing w:before="200" w:line-rule="auto"/>
        <w:ind w:firstLine="540"/>
        <w:jc w:val="both"/>
      </w:pPr>
      <w:r>
        <w:rPr>
          <w:sz w:val="20"/>
        </w:rPr>
        <w:t xml:space="preserve">сметная стоимость всего в базисном уровне цен, полученная как частное от деления </w:t>
      </w:r>
      <w:hyperlink w:history="0" w:anchor="P2418" w:tooltip="12">
        <w:r>
          <w:rPr>
            <w:sz w:val="20"/>
            <w:color w:val="0000ff"/>
          </w:rPr>
          <w:t xml:space="preserve">граф 12</w:t>
        </w:r>
      </w:hyperlink>
      <w:r>
        <w:rPr>
          <w:sz w:val="20"/>
        </w:rPr>
        <w:t xml:space="preserve"> и </w:t>
      </w:r>
      <w:hyperlink w:history="0" w:anchor="P2417" w:tooltip="11">
        <w:r>
          <w:rPr>
            <w:sz w:val="20"/>
            <w:color w:val="0000ff"/>
          </w:rPr>
          <w:t xml:space="preserve">11</w:t>
        </w:r>
      </w:hyperlink>
      <w:r>
        <w:rPr>
          <w:sz w:val="20"/>
        </w:rPr>
        <w:t xml:space="preserve"> (для материальных ресурсов, оборудования, и затрат, отсутствующих в ФРСН).</w:t>
      </w:r>
    </w:p>
    <w:p>
      <w:pPr>
        <w:pStyle w:val="0"/>
        <w:spacing w:before="200" w:line-rule="auto"/>
        <w:ind w:firstLine="540"/>
        <w:jc w:val="both"/>
      </w:pPr>
      <w:r>
        <w:rPr>
          <w:sz w:val="20"/>
        </w:rPr>
        <w:t xml:space="preserve">В </w:t>
      </w:r>
      <w:hyperlink w:history="0" w:anchor="P2626" w:tooltip="НР &lt;вид работ&gt;">
        <w:r>
          <w:rPr>
            <w:sz w:val="20"/>
            <w:color w:val="0000ff"/>
          </w:rPr>
          <w:t xml:space="preserve">строках НР</w:t>
        </w:r>
      </w:hyperlink>
      <w:r>
        <w:rPr>
          <w:sz w:val="20"/>
        </w:rPr>
        <w:t xml:space="preserve"> и </w:t>
      </w:r>
      <w:hyperlink w:history="0" w:anchor="P2638" w:tooltip="СП &lt;вид работ&gt;">
        <w:r>
          <w:rPr>
            <w:sz w:val="20"/>
            <w:color w:val="0000ff"/>
          </w:rPr>
          <w:t xml:space="preserve">СП</w:t>
        </w:r>
      </w:hyperlink>
      <w:r>
        <w:rPr>
          <w:sz w:val="20"/>
        </w:rPr>
        <w:t xml:space="preserve"> значение рассчитывается в соответствии со сметными нормативами, включенными в ФРСН, от фонда оплаты труда </w:t>
      </w:r>
      <w:hyperlink w:history="0" w:anchor="P2614" w:tooltip="ФОТ">
        <w:r>
          <w:rPr>
            <w:sz w:val="20"/>
            <w:color w:val="0000ff"/>
          </w:rPr>
          <w:t xml:space="preserve">(ФОТ)</w:t>
        </w:r>
      </w:hyperlink>
      <w:r>
        <w:rPr>
          <w:sz w:val="20"/>
        </w:rPr>
        <w:t xml:space="preserve"> в базисном уровне цен, полученного суммированием значений, указанных в </w:t>
      </w:r>
      <w:hyperlink w:history="0" w:anchor="P2416" w:tooltip="10">
        <w:r>
          <w:rPr>
            <w:sz w:val="20"/>
            <w:color w:val="0000ff"/>
          </w:rPr>
          <w:t xml:space="preserve">графе 10</w:t>
        </w:r>
      </w:hyperlink>
      <w:r>
        <w:rPr>
          <w:sz w:val="20"/>
        </w:rPr>
        <w:t xml:space="preserve"> по </w:t>
      </w:r>
      <w:hyperlink w:history="0" w:anchor="P2458" w:tooltip="ОТ">
        <w:r>
          <w:rPr>
            <w:sz w:val="20"/>
            <w:color w:val="0000ff"/>
          </w:rPr>
          <w:t xml:space="preserve">строкам ОТ</w:t>
        </w:r>
      </w:hyperlink>
      <w:r>
        <w:rPr>
          <w:sz w:val="20"/>
        </w:rPr>
        <w:t xml:space="preserve"> и </w:t>
      </w:r>
      <w:hyperlink w:history="0" w:anchor="P2482" w:tooltip="в т.ч. ОТм">
        <w:r>
          <w:rPr>
            <w:sz w:val="20"/>
            <w:color w:val="0000ff"/>
          </w:rPr>
          <w:t xml:space="preserve">ОТм</w:t>
        </w:r>
      </w:hyperlink>
      <w:r>
        <w:rPr>
          <w:sz w:val="20"/>
        </w:rPr>
        <w:t xml:space="preserve">. Округление производится по каждой строке до двух знаков после запятой (до копеек) по итогу произведенных вычислений.</w:t>
      </w:r>
    </w:p>
    <w:p>
      <w:pPr>
        <w:pStyle w:val="0"/>
        <w:spacing w:before="200" w:line-rule="auto"/>
        <w:ind w:firstLine="540"/>
        <w:jc w:val="both"/>
      </w:pPr>
      <w:r>
        <w:rPr>
          <w:sz w:val="20"/>
        </w:rPr>
        <w:t xml:space="preserve">Итоговое значение по расценке определяется суммированием </w:t>
      </w:r>
      <w:hyperlink w:history="0" w:anchor="P2458" w:tooltip="ОТ">
        <w:r>
          <w:rPr>
            <w:sz w:val="20"/>
            <w:color w:val="0000ff"/>
          </w:rPr>
          <w:t xml:space="preserve">строк ОТ</w:t>
        </w:r>
      </w:hyperlink>
      <w:r>
        <w:rPr>
          <w:sz w:val="20"/>
        </w:rPr>
        <w:t xml:space="preserve">, </w:t>
      </w:r>
      <w:hyperlink w:history="0" w:anchor="P2470" w:tooltip="ЭМ">
        <w:r>
          <w:rPr>
            <w:sz w:val="20"/>
            <w:color w:val="0000ff"/>
          </w:rPr>
          <w:t xml:space="preserve">ЭМ</w:t>
        </w:r>
      </w:hyperlink>
      <w:r>
        <w:rPr>
          <w:sz w:val="20"/>
        </w:rPr>
        <w:t xml:space="preserve"> и </w:t>
      </w:r>
      <w:hyperlink w:history="0" w:anchor="P2494" w:tooltip="М">
        <w:r>
          <w:rPr>
            <w:sz w:val="20"/>
            <w:color w:val="0000ff"/>
          </w:rPr>
          <w:t xml:space="preserve">М</w:t>
        </w:r>
      </w:hyperlink>
      <w:r>
        <w:rPr>
          <w:sz w:val="20"/>
        </w:rPr>
        <w:t xml:space="preserve">. Итоговое значение по </w:t>
      </w:r>
      <w:hyperlink w:history="0" w:anchor="P2650" w:tooltip="Всего по позиции">
        <w:r>
          <w:rPr>
            <w:sz w:val="20"/>
            <w:color w:val="0000ff"/>
          </w:rPr>
          <w:t xml:space="preserve">позиции</w:t>
        </w:r>
      </w:hyperlink>
      <w:r>
        <w:rPr>
          <w:sz w:val="20"/>
        </w:rPr>
        <w:t xml:space="preserve"> "Всего по позиции" определяется суммированием </w:t>
      </w:r>
      <w:hyperlink w:history="0" w:anchor="P2542" w:tooltip="Итого по расценке">
        <w:r>
          <w:rPr>
            <w:sz w:val="20"/>
            <w:color w:val="0000ff"/>
          </w:rPr>
          <w:t xml:space="preserve">строк</w:t>
        </w:r>
      </w:hyperlink>
      <w:r>
        <w:rPr>
          <w:sz w:val="20"/>
        </w:rPr>
        <w:t xml:space="preserve"> "Итого по расценке", неучтенных ресурсов, "Дополнительные затраты на перевозку", </w:t>
      </w:r>
      <w:hyperlink w:history="0" w:anchor="P2626" w:tooltip="НР &lt;вид работ&gt;">
        <w:r>
          <w:rPr>
            <w:sz w:val="20"/>
            <w:color w:val="0000ff"/>
          </w:rPr>
          <w:t xml:space="preserve">НР</w:t>
        </w:r>
      </w:hyperlink>
      <w:r>
        <w:rPr>
          <w:sz w:val="20"/>
        </w:rPr>
        <w:t xml:space="preserve"> и </w:t>
      </w:r>
      <w:hyperlink w:history="0" w:anchor="P2638" w:tooltip="СП &lt;вид работ&gt;">
        <w:r>
          <w:rPr>
            <w:sz w:val="20"/>
            <w:color w:val="0000ff"/>
          </w:rPr>
          <w:t xml:space="preserve">СП</w:t>
        </w:r>
      </w:hyperlink>
      <w:r>
        <w:rPr>
          <w:sz w:val="20"/>
        </w:rPr>
        <w:t xml:space="preserve">. Итоговые значения по разделу определяются суммированием значений соответствующих позиций раздела по </w:t>
      </w:r>
      <w:hyperlink w:history="0" w:anchor="P2416" w:tooltip="10">
        <w:r>
          <w:rPr>
            <w:sz w:val="20"/>
            <w:color w:val="0000ff"/>
          </w:rPr>
          <w:t xml:space="preserve">графе 10</w:t>
        </w:r>
      </w:hyperlink>
      <w:r>
        <w:rPr>
          <w:sz w:val="20"/>
        </w:rPr>
        <w:t xml:space="preserve">, приводятся в сметных расчетах справочно. Итоговые значения по смете определяются суммированием значений </w:t>
      </w:r>
      <w:hyperlink w:history="0" w:anchor="P2416" w:tooltip="10">
        <w:r>
          <w:rPr>
            <w:sz w:val="20"/>
            <w:color w:val="0000ff"/>
          </w:rPr>
          <w:t xml:space="preserve">(графа 10)</w:t>
        </w:r>
      </w:hyperlink>
      <w:r>
        <w:rPr>
          <w:sz w:val="20"/>
        </w:rPr>
        <w:t xml:space="preserve"> всех соответствующих позиций по смете. Итоговые значения перевозки определяются суммированием значений соответствующих позиций по перевозке грузов (грунт, мусор и подобное), за исключением указанных в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пункте 63</w:t>
        </w:r>
      </w:hyperlink>
      <w:r>
        <w:rPr>
          <w:sz w:val="20"/>
        </w:rPr>
        <w:t xml:space="preserve"> Методики, при этом указание кода материального ресурса не производится. </w:t>
      </w:r>
      <w:hyperlink w:history="0" w:anchor="P2626" w:tooltip="НР &lt;вид работ&gt;">
        <w:r>
          <w:rPr>
            <w:sz w:val="20"/>
            <w:color w:val="0000ff"/>
          </w:rPr>
          <w:t xml:space="preserve">НР</w:t>
        </w:r>
      </w:hyperlink>
      <w:r>
        <w:rPr>
          <w:sz w:val="20"/>
        </w:rPr>
        <w:t xml:space="preserve"> и </w:t>
      </w:r>
      <w:hyperlink w:history="0" w:anchor="P2638" w:tooltip="СП &lt;вид работ&gt;">
        <w:r>
          <w:rPr>
            <w:sz w:val="20"/>
            <w:color w:val="0000ff"/>
          </w:rPr>
          <w:t xml:space="preserve">СП</w:t>
        </w:r>
      </w:hyperlink>
      <w:r>
        <w:rPr>
          <w:sz w:val="20"/>
        </w:rPr>
        <w:t xml:space="preserve"> в зависимости от применяемых сборников единичных расценок относятся соответственно к сметной стоимости строительных, монтажных работ или прочих затрат.</w:t>
      </w:r>
    </w:p>
    <w:p>
      <w:pPr>
        <w:pStyle w:val="0"/>
        <w:spacing w:before="200" w:line-rule="auto"/>
        <w:ind w:firstLine="540"/>
        <w:jc w:val="both"/>
      </w:pPr>
      <w:r>
        <w:rPr>
          <w:sz w:val="20"/>
        </w:rPr>
        <w:t xml:space="preserve">12. В </w:t>
      </w:r>
      <w:hyperlink w:history="0" w:anchor="P2417" w:tooltip="11">
        <w:r>
          <w:rPr>
            <w:sz w:val="20"/>
            <w:color w:val="0000ff"/>
          </w:rPr>
          <w:t xml:space="preserve">графе 11</w:t>
        </w:r>
      </w:hyperlink>
      <w:r>
        <w:rPr>
          <w:sz w:val="20"/>
        </w:rPr>
        <w:t xml:space="preserve"> в соответствующих строках перевозки, а также итогов по смете указываются индексы изменения сметной стоимости. При разработке локального сметного расчета (сметы) базисно-индексным методом с применением индексов к элементам прямых затрат индексы указываются также в </w:t>
      </w:r>
      <w:hyperlink w:history="0" w:anchor="P2458" w:tooltip="ОТ">
        <w:r>
          <w:rPr>
            <w:sz w:val="20"/>
            <w:color w:val="0000ff"/>
          </w:rPr>
          <w:t xml:space="preserve">строках ОТ</w:t>
        </w:r>
      </w:hyperlink>
      <w:r>
        <w:rPr>
          <w:sz w:val="20"/>
        </w:rPr>
        <w:t xml:space="preserve"> и </w:t>
      </w:r>
      <w:hyperlink w:history="0" w:anchor="P2482" w:tooltip="в т.ч. ОТм">
        <w:r>
          <w:rPr>
            <w:sz w:val="20"/>
            <w:color w:val="0000ff"/>
          </w:rPr>
          <w:t xml:space="preserve">ОТм</w:t>
        </w:r>
      </w:hyperlink>
      <w:r>
        <w:rPr>
          <w:sz w:val="20"/>
        </w:rPr>
        <w:t xml:space="preserve"> по каждой позиции (для последующего определения </w:t>
      </w:r>
      <w:hyperlink w:history="0" w:anchor="P2626" w:tooltip="НР &lt;вид работ&gt;">
        <w:r>
          <w:rPr>
            <w:sz w:val="20"/>
            <w:color w:val="0000ff"/>
          </w:rPr>
          <w:t xml:space="preserve">НР</w:t>
        </w:r>
      </w:hyperlink>
      <w:r>
        <w:rPr>
          <w:sz w:val="20"/>
        </w:rPr>
        <w:t xml:space="preserve"> и </w:t>
      </w:r>
      <w:hyperlink w:history="0" w:anchor="P2638" w:tooltip="СП &lt;вид работ&gt;">
        <w:r>
          <w:rPr>
            <w:sz w:val="20"/>
            <w:color w:val="0000ff"/>
          </w:rPr>
          <w:t xml:space="preserve">СП</w:t>
        </w:r>
      </w:hyperlink>
      <w:r>
        <w:rPr>
          <w:sz w:val="20"/>
        </w:rPr>
        <w:t xml:space="preserve"> в текущем уровне цен), при этом в итогах по смете индексы не указываются в строках </w:t>
      </w:r>
      <w:hyperlink w:history="0" w:anchor="P2764" w:tooltip="оплата труда (ОТ)">
        <w:r>
          <w:rPr>
            <w:sz w:val="20"/>
            <w:color w:val="0000ff"/>
          </w:rPr>
          <w:t xml:space="preserve">"оплата труда"</w:t>
        </w:r>
      </w:hyperlink>
      <w:r>
        <w:rPr>
          <w:sz w:val="20"/>
        </w:rPr>
        <w:t xml:space="preserve">, </w:t>
      </w:r>
      <w:hyperlink w:history="0" w:anchor="P2800" w:tooltip="оплата труда машинистов (ОТм)">
        <w:r>
          <w:rPr>
            <w:sz w:val="20"/>
            <w:color w:val="0000ff"/>
          </w:rPr>
          <w:t xml:space="preserve">"оплата труда машинистов"</w:t>
        </w:r>
      </w:hyperlink>
      <w:r>
        <w:rPr>
          <w:sz w:val="20"/>
        </w:rPr>
        <w:t xml:space="preserve">, </w:t>
      </w:r>
      <w:hyperlink w:history="0" w:anchor="P2848" w:tooltip="Итого накладные расходы">
        <w:r>
          <w:rPr>
            <w:sz w:val="20"/>
            <w:color w:val="0000ff"/>
          </w:rPr>
          <w:t xml:space="preserve">"Всего накладные расходы"</w:t>
        </w:r>
      </w:hyperlink>
      <w:r>
        <w:rPr>
          <w:sz w:val="20"/>
        </w:rPr>
        <w:t xml:space="preserve">, </w:t>
      </w:r>
      <w:hyperlink w:history="0" w:anchor="P2854" w:tooltip="Итого сметная прибыль">
        <w:r>
          <w:rPr>
            <w:sz w:val="20"/>
            <w:color w:val="0000ff"/>
          </w:rPr>
          <w:t xml:space="preserve">"Всего сметная прибыль"</w:t>
        </w:r>
      </w:hyperlink>
      <w:r>
        <w:rPr>
          <w:sz w:val="20"/>
        </w:rPr>
        <w:t xml:space="preserve">. В </w:t>
      </w:r>
      <w:hyperlink w:history="0" w:anchor="P2417" w:tooltip="11">
        <w:r>
          <w:rPr>
            <w:sz w:val="20"/>
            <w:color w:val="0000ff"/>
          </w:rPr>
          <w:t xml:space="preserve">графе 11</w:t>
        </w:r>
      </w:hyperlink>
      <w:r>
        <w:rPr>
          <w:sz w:val="20"/>
        </w:rPr>
        <w:t xml:space="preserve"> указывается результирующее значение индекса с учетом коэффициентов к нему, применение которых предусмотрено положениями нормативных правовых актов Российской Федерации, сведения о которых включены в ФРСН. Округление значения индекса производится по итогу перемножения до двух знаков после запятой. В случае указаний в ФРСН о расчете индексов изменения сметной стоимости оплаты труда с учетом накладных расходов и сметной прибыли, в локальных сметных расчетах (сметах) итоговые по смете показатели накладных расходов и сметной прибыли в текущем уровне цен определяются применением к их величине индексов по оплате труда.</w:t>
      </w:r>
    </w:p>
    <w:p>
      <w:pPr>
        <w:pStyle w:val="0"/>
        <w:spacing w:before="200" w:line-rule="auto"/>
        <w:ind w:firstLine="540"/>
        <w:jc w:val="both"/>
      </w:pPr>
      <w:r>
        <w:rPr>
          <w:sz w:val="20"/>
        </w:rPr>
        <w:t xml:space="preserve">13. При разработке локального сметного расчета (сметы) базисно-индексным методом с применением индекса к СМР в </w:t>
      </w:r>
      <w:hyperlink w:history="0" w:anchor="P2418" w:tooltip="12">
        <w:r>
          <w:rPr>
            <w:sz w:val="20"/>
            <w:color w:val="0000ff"/>
          </w:rPr>
          <w:t xml:space="preserve">графе 12</w:t>
        </w:r>
      </w:hyperlink>
      <w:r>
        <w:rPr>
          <w:sz w:val="20"/>
        </w:rPr>
        <w:t xml:space="preserve"> указывается сметная стоимость в текущем уровне цен, определенная:</w:t>
      </w:r>
    </w:p>
    <w:p>
      <w:pPr>
        <w:pStyle w:val="0"/>
        <w:spacing w:before="200" w:line-rule="auto"/>
        <w:ind w:firstLine="540"/>
        <w:jc w:val="both"/>
      </w:pPr>
      <w:r>
        <w:rPr>
          <w:sz w:val="20"/>
        </w:rPr>
        <w:t xml:space="preserve">а) произведением значений </w:t>
      </w:r>
      <w:hyperlink w:history="0" w:anchor="P2413" w:tooltip="7">
        <w:r>
          <w:rPr>
            <w:sz w:val="20"/>
            <w:color w:val="0000ff"/>
          </w:rPr>
          <w:t xml:space="preserve">граф 7</w:t>
        </w:r>
      </w:hyperlink>
      <w:r>
        <w:rPr>
          <w:sz w:val="20"/>
        </w:rPr>
        <w:t xml:space="preserve">, </w:t>
      </w:r>
      <w:hyperlink w:history="0" w:anchor="P2414" w:tooltip="8">
        <w:r>
          <w:rPr>
            <w:sz w:val="20"/>
            <w:color w:val="0000ff"/>
          </w:rPr>
          <w:t xml:space="preserve">8</w:t>
        </w:r>
      </w:hyperlink>
      <w:r>
        <w:rPr>
          <w:sz w:val="20"/>
        </w:rPr>
        <w:t xml:space="preserve"> и </w:t>
      </w:r>
      <w:hyperlink w:history="0" w:anchor="P2415" w:tooltip="9">
        <w:r>
          <w:rPr>
            <w:sz w:val="20"/>
            <w:color w:val="0000ff"/>
          </w:rPr>
          <w:t xml:space="preserve">9</w:t>
        </w:r>
      </w:hyperlink>
      <w:r>
        <w:rPr>
          <w:sz w:val="20"/>
        </w:rPr>
        <w:t xml:space="preserve"> - в строках материальных ресурсов и оборудования, отсутствующих в ФРСН;</w:t>
      </w:r>
    </w:p>
    <w:p>
      <w:pPr>
        <w:pStyle w:val="0"/>
        <w:spacing w:before="200" w:line-rule="auto"/>
        <w:ind w:firstLine="540"/>
        <w:jc w:val="both"/>
      </w:pPr>
      <w:r>
        <w:rPr>
          <w:sz w:val="20"/>
        </w:rPr>
        <w:t xml:space="preserve">б) произведением значений </w:t>
      </w:r>
      <w:hyperlink w:history="0" w:anchor="P2416" w:tooltip="10">
        <w:r>
          <w:rPr>
            <w:sz w:val="20"/>
            <w:color w:val="0000ff"/>
          </w:rPr>
          <w:t xml:space="preserve">граф 10</w:t>
        </w:r>
      </w:hyperlink>
      <w:r>
        <w:rPr>
          <w:sz w:val="20"/>
        </w:rPr>
        <w:t xml:space="preserve"> и </w:t>
      </w:r>
      <w:hyperlink w:history="0" w:anchor="P2417" w:tooltip="11">
        <w:r>
          <w:rPr>
            <w:sz w:val="20"/>
            <w:color w:val="0000ff"/>
          </w:rPr>
          <w:t xml:space="preserve">11</w:t>
        </w:r>
      </w:hyperlink>
      <w:r>
        <w:rPr>
          <w:sz w:val="20"/>
        </w:rPr>
        <w:t xml:space="preserve"> - в строках </w:t>
      </w:r>
      <w:hyperlink w:history="0" w:anchor="P2836" w:tooltip="перевозка">
        <w:r>
          <w:rPr>
            <w:sz w:val="20"/>
            <w:color w:val="0000ff"/>
          </w:rPr>
          <w:t xml:space="preserve">"перевозка"</w:t>
        </w:r>
      </w:hyperlink>
      <w:r>
        <w:rPr>
          <w:sz w:val="20"/>
        </w:rPr>
        <w:t xml:space="preserve">, "Дополнительные затраты на перевозку", а также в строках итогов по смете "строительные работы без учета перевозки, в том числе дополнительной", "монтажные работы без учета перевозки, в том числе дополнительной", "оборудование без учета дополнительной перевозки", "прочие работы без учета перевозки, в том числе дополнительной";</w:t>
      </w:r>
    </w:p>
    <w:p>
      <w:pPr>
        <w:pStyle w:val="0"/>
        <w:spacing w:before="200" w:line-rule="auto"/>
        <w:ind w:firstLine="540"/>
        <w:jc w:val="both"/>
      </w:pPr>
      <w:r>
        <w:rPr>
          <w:sz w:val="20"/>
        </w:rPr>
        <w:t xml:space="preserve">в) суммированием соответствующих значений в </w:t>
      </w:r>
      <w:hyperlink w:history="0" w:anchor="P2418" w:tooltip="12">
        <w:r>
          <w:rPr>
            <w:sz w:val="20"/>
            <w:color w:val="0000ff"/>
          </w:rPr>
          <w:t xml:space="preserve">графе 12</w:t>
        </w:r>
      </w:hyperlink>
      <w:r>
        <w:rPr>
          <w:sz w:val="20"/>
        </w:rPr>
        <w:t xml:space="preserve"> по позициям локального сметного расчета (сметы) - в строках итогов по смете </w:t>
      </w:r>
      <w:hyperlink w:history="0" w:anchor="P2902" w:tooltip="материальные ресурсы, отсутствующие в ФРСН">
        <w:r>
          <w:rPr>
            <w:sz w:val="20"/>
            <w:color w:val="0000ff"/>
          </w:rPr>
          <w:t xml:space="preserve">"материальные ресурсы, отсутствующие в ФРСН"</w:t>
        </w:r>
      </w:hyperlink>
      <w:r>
        <w:rPr>
          <w:sz w:val="20"/>
        </w:rPr>
        <w:t xml:space="preserve">, "</w:t>
      </w:r>
      <w:hyperlink w:history="0" w:anchor="P2908" w:tooltip="оборудование, отсутствующие в ФРСН">
        <w:r>
          <w:rPr>
            <w:sz w:val="20"/>
            <w:color w:val="0000ff"/>
          </w:rPr>
          <w:t xml:space="preserve">оборудование</w:t>
        </w:r>
      </w:hyperlink>
      <w:r>
        <w:rPr>
          <w:sz w:val="20"/>
        </w:rPr>
        <w:t xml:space="preserve">, отсутствующие в ФРСН", </w:t>
      </w:r>
      <w:hyperlink w:history="0" w:anchor="P2884" w:tooltip="Итого прочие затраты &lt;2&gt;">
        <w:r>
          <w:rPr>
            <w:sz w:val="20"/>
            <w:color w:val="0000ff"/>
          </w:rPr>
          <w:t xml:space="preserve">"прочие затраты"</w:t>
        </w:r>
      </w:hyperlink>
      <w:r>
        <w:rPr>
          <w:sz w:val="20"/>
        </w:rPr>
        <w:t xml:space="preserve">.</w:t>
      </w:r>
    </w:p>
    <w:p>
      <w:pPr>
        <w:pStyle w:val="0"/>
        <w:spacing w:before="200" w:line-rule="auto"/>
        <w:ind w:firstLine="540"/>
        <w:jc w:val="both"/>
      </w:pPr>
      <w:r>
        <w:rPr>
          <w:sz w:val="20"/>
        </w:rPr>
        <w:t xml:space="preserve">14. При разработке локального сметного расчета (сметы) базисно-индексным методом с применением индексов к элементам прямых затрат в </w:t>
      </w:r>
      <w:hyperlink w:history="0" w:anchor="P2418" w:tooltip="12">
        <w:r>
          <w:rPr>
            <w:sz w:val="20"/>
            <w:color w:val="0000ff"/>
          </w:rPr>
          <w:t xml:space="preserve">графе 12</w:t>
        </w:r>
      </w:hyperlink>
      <w:r>
        <w:rPr>
          <w:sz w:val="20"/>
        </w:rPr>
        <w:t xml:space="preserve"> указывается сметная стоимость в текущем уровне цен, определенная:</w:t>
      </w:r>
    </w:p>
    <w:p>
      <w:pPr>
        <w:pStyle w:val="0"/>
        <w:spacing w:before="200" w:line-rule="auto"/>
        <w:ind w:firstLine="540"/>
        <w:jc w:val="both"/>
      </w:pPr>
      <w:r>
        <w:rPr>
          <w:sz w:val="20"/>
        </w:rPr>
        <w:t xml:space="preserve">а) произведением значений </w:t>
      </w:r>
      <w:hyperlink w:history="0" w:anchor="P2413" w:tooltip="7">
        <w:r>
          <w:rPr>
            <w:sz w:val="20"/>
            <w:color w:val="0000ff"/>
          </w:rPr>
          <w:t xml:space="preserve">граф 7</w:t>
        </w:r>
      </w:hyperlink>
      <w:r>
        <w:rPr>
          <w:sz w:val="20"/>
        </w:rPr>
        <w:t xml:space="preserve">, </w:t>
      </w:r>
      <w:hyperlink w:history="0" w:anchor="P2414" w:tooltip="8">
        <w:r>
          <w:rPr>
            <w:sz w:val="20"/>
            <w:color w:val="0000ff"/>
          </w:rPr>
          <w:t xml:space="preserve">8</w:t>
        </w:r>
      </w:hyperlink>
      <w:r>
        <w:rPr>
          <w:sz w:val="20"/>
        </w:rPr>
        <w:t xml:space="preserve"> и </w:t>
      </w:r>
      <w:hyperlink w:history="0" w:anchor="P2415" w:tooltip="9">
        <w:r>
          <w:rPr>
            <w:sz w:val="20"/>
            <w:color w:val="0000ff"/>
          </w:rPr>
          <w:t xml:space="preserve">9</w:t>
        </w:r>
      </w:hyperlink>
      <w:r>
        <w:rPr>
          <w:sz w:val="20"/>
        </w:rPr>
        <w:t xml:space="preserve"> - в строках материальных ресурсов, оборудования и прочих затрат, отсутствующих в ФРСН;</w:t>
      </w:r>
    </w:p>
    <w:p>
      <w:pPr>
        <w:pStyle w:val="0"/>
        <w:spacing w:before="200" w:line-rule="auto"/>
        <w:ind w:firstLine="540"/>
        <w:jc w:val="both"/>
      </w:pPr>
      <w:r>
        <w:rPr>
          <w:sz w:val="20"/>
        </w:rPr>
        <w:t xml:space="preserve">б) произведением значений </w:t>
      </w:r>
      <w:hyperlink w:history="0" w:anchor="P2416" w:tooltip="10">
        <w:r>
          <w:rPr>
            <w:sz w:val="20"/>
            <w:color w:val="0000ff"/>
          </w:rPr>
          <w:t xml:space="preserve">граф 10</w:t>
        </w:r>
      </w:hyperlink>
      <w:r>
        <w:rPr>
          <w:sz w:val="20"/>
        </w:rPr>
        <w:t xml:space="preserve"> и </w:t>
      </w:r>
      <w:hyperlink w:history="0" w:anchor="P2417" w:tooltip="11">
        <w:r>
          <w:rPr>
            <w:sz w:val="20"/>
            <w:color w:val="0000ff"/>
          </w:rPr>
          <w:t xml:space="preserve">11</w:t>
        </w:r>
      </w:hyperlink>
      <w:r>
        <w:rPr>
          <w:sz w:val="20"/>
        </w:rPr>
        <w:t xml:space="preserve"> - в строках </w:t>
      </w:r>
      <w:hyperlink w:history="0" w:anchor="P2836" w:tooltip="перевозка">
        <w:r>
          <w:rPr>
            <w:sz w:val="20"/>
            <w:color w:val="0000ff"/>
          </w:rPr>
          <w:t xml:space="preserve">"перевозка"</w:t>
        </w:r>
      </w:hyperlink>
      <w:r>
        <w:rPr>
          <w:sz w:val="20"/>
        </w:rPr>
        <w:t xml:space="preserve">, "Дополнительные затраты на перевозку", </w:t>
      </w:r>
      <w:hyperlink w:history="0" w:anchor="P2764" w:tooltip="оплата труда (ОТ)">
        <w:r>
          <w:rPr>
            <w:sz w:val="20"/>
            <w:color w:val="0000ff"/>
          </w:rPr>
          <w:t xml:space="preserve">"оплата труда (ОТ)"</w:t>
        </w:r>
      </w:hyperlink>
      <w:r>
        <w:rPr>
          <w:sz w:val="20"/>
        </w:rPr>
        <w:t xml:space="preserve">, </w:t>
      </w:r>
      <w:hyperlink w:history="0" w:anchor="P2800" w:tooltip="оплата труда машинистов (ОТм)">
        <w:r>
          <w:rPr>
            <w:sz w:val="20"/>
            <w:color w:val="0000ff"/>
          </w:rPr>
          <w:t xml:space="preserve">"оплата труда машинистов (ОТм)"</w:t>
        </w:r>
      </w:hyperlink>
      <w:r>
        <w:rPr>
          <w:sz w:val="20"/>
        </w:rPr>
        <w:t xml:space="preserve">, а также в строках итогов по смете "</w:t>
      </w:r>
      <w:hyperlink w:history="0" w:anchor="P2788" w:tooltip="эксплуатация машин и механизмов без учета доплат к оплате труда машинистов">
        <w:r>
          <w:rPr>
            <w:sz w:val="20"/>
            <w:color w:val="0000ff"/>
          </w:rPr>
          <w:t xml:space="preserve">эксплуатация</w:t>
        </w:r>
      </w:hyperlink>
      <w:r>
        <w:rPr>
          <w:sz w:val="20"/>
        </w:rPr>
        <w:t xml:space="preserve"> машин и механизмов без учета доплат к оплате труда машинистов", "</w:t>
      </w:r>
      <w:hyperlink w:history="0" w:anchor="P2824" w:tooltip="материальные ресурсы без учета дополнительной перевозки">
        <w:r>
          <w:rPr>
            <w:sz w:val="20"/>
            <w:color w:val="0000ff"/>
          </w:rPr>
          <w:t xml:space="preserve">материальные</w:t>
        </w:r>
      </w:hyperlink>
      <w:r>
        <w:rPr>
          <w:sz w:val="20"/>
        </w:rPr>
        <w:t xml:space="preserve"> ресурсы без учета дополнительной перевозки", "</w:t>
      </w:r>
      <w:hyperlink w:history="0" w:anchor="P2872" w:tooltip="оборудование без учета дополнительной перевозки">
        <w:r>
          <w:rPr>
            <w:sz w:val="20"/>
            <w:color w:val="0000ff"/>
          </w:rPr>
          <w:t xml:space="preserve">оборудование</w:t>
        </w:r>
      </w:hyperlink>
      <w:r>
        <w:rPr>
          <w:sz w:val="20"/>
        </w:rPr>
        <w:t xml:space="preserve"> без учета дополнительной перевозки";</w:t>
      </w:r>
    </w:p>
    <w:p>
      <w:pPr>
        <w:pStyle w:val="0"/>
        <w:spacing w:before="200" w:line-rule="auto"/>
        <w:ind w:firstLine="540"/>
        <w:jc w:val="both"/>
      </w:pPr>
      <w:r>
        <w:rPr>
          <w:sz w:val="20"/>
        </w:rPr>
        <w:t xml:space="preserve">в) расчетом в соответствии со сметными нормативами, сведения о которых включены в ФРСН, от фонда оплаты труда в текущем уровне цен, приведенном в </w:t>
      </w:r>
      <w:hyperlink w:history="0" w:anchor="P2418" w:tooltip="12">
        <w:r>
          <w:rPr>
            <w:sz w:val="20"/>
            <w:color w:val="0000ff"/>
          </w:rPr>
          <w:t xml:space="preserve">графе 12</w:t>
        </w:r>
      </w:hyperlink>
      <w:r>
        <w:rPr>
          <w:sz w:val="20"/>
        </w:rPr>
        <w:t xml:space="preserve"> - в строках НР и СП;</w:t>
      </w:r>
    </w:p>
    <w:p>
      <w:pPr>
        <w:pStyle w:val="0"/>
        <w:spacing w:before="200" w:line-rule="auto"/>
        <w:ind w:firstLine="540"/>
        <w:jc w:val="both"/>
      </w:pPr>
      <w:r>
        <w:rPr>
          <w:sz w:val="20"/>
        </w:rPr>
        <w:t xml:space="preserve">г) суммированием соответствующих значений в </w:t>
      </w:r>
      <w:hyperlink w:history="0" w:anchor="P2418" w:tooltip="12">
        <w:r>
          <w:rPr>
            <w:sz w:val="20"/>
            <w:color w:val="0000ff"/>
          </w:rPr>
          <w:t xml:space="preserve">графе 12</w:t>
        </w:r>
      </w:hyperlink>
      <w:r>
        <w:rPr>
          <w:sz w:val="20"/>
        </w:rPr>
        <w:t xml:space="preserve"> по позициям локального сметного расчета (сметы) - для итогов по разделу и по смете в строках </w:t>
      </w:r>
      <w:hyperlink w:history="0" w:anchor="P2764" w:tooltip="оплата труда (ОТ)">
        <w:r>
          <w:rPr>
            <w:sz w:val="20"/>
            <w:color w:val="0000ff"/>
          </w:rPr>
          <w:t xml:space="preserve">"оплата труда (ОТ)"</w:t>
        </w:r>
      </w:hyperlink>
      <w:r>
        <w:rPr>
          <w:sz w:val="20"/>
        </w:rPr>
        <w:t xml:space="preserve">, </w:t>
      </w:r>
      <w:hyperlink w:history="0" w:anchor="P2800" w:tooltip="оплата труда машинистов (ОТм)">
        <w:r>
          <w:rPr>
            <w:sz w:val="20"/>
            <w:color w:val="0000ff"/>
          </w:rPr>
          <w:t xml:space="preserve">"оплата труда машинистов (ОТм)"</w:t>
        </w:r>
      </w:hyperlink>
      <w:r>
        <w:rPr>
          <w:sz w:val="20"/>
        </w:rPr>
        <w:t xml:space="preserve">, </w:t>
      </w:r>
      <w:hyperlink w:history="0" w:anchor="P2806" w:tooltip="доплаты к оплате труда машинистов">
        <w:r>
          <w:rPr>
            <w:sz w:val="20"/>
            <w:color w:val="0000ff"/>
          </w:rPr>
          <w:t xml:space="preserve">"доплаты к оплате труда машинистов"</w:t>
        </w:r>
      </w:hyperlink>
      <w:r>
        <w:rPr>
          <w:sz w:val="20"/>
        </w:rPr>
        <w:t xml:space="preserve">, </w:t>
      </w:r>
      <w:hyperlink w:history="0" w:anchor="P2836" w:tooltip="перевозка">
        <w:r>
          <w:rPr>
            <w:sz w:val="20"/>
            <w:color w:val="0000ff"/>
          </w:rPr>
          <w:t xml:space="preserve">"перевозка"</w:t>
        </w:r>
      </w:hyperlink>
      <w:r>
        <w:rPr>
          <w:sz w:val="20"/>
        </w:rPr>
        <w:t xml:space="preserve">, "</w:t>
      </w:r>
      <w:hyperlink w:history="0" w:anchor="P2830" w:tooltip="дополнительная перевозка материальных ресурсов">
        <w:r>
          <w:rPr>
            <w:sz w:val="20"/>
            <w:color w:val="0000ff"/>
          </w:rPr>
          <w:t xml:space="preserve">дополнительная</w:t>
        </w:r>
      </w:hyperlink>
      <w:r>
        <w:rPr>
          <w:sz w:val="20"/>
        </w:rPr>
        <w:t xml:space="preserve"> перевозка материальных ресурсов", </w:t>
      </w:r>
      <w:hyperlink w:history="0" w:anchor="P2848" w:tooltip="Итого накладные расходы">
        <w:r>
          <w:rPr>
            <w:sz w:val="20"/>
            <w:color w:val="0000ff"/>
          </w:rPr>
          <w:t xml:space="preserve">"Всего накладные расходы"</w:t>
        </w:r>
      </w:hyperlink>
      <w:r>
        <w:rPr>
          <w:sz w:val="20"/>
        </w:rPr>
        <w:t xml:space="preserve">, </w:t>
      </w:r>
      <w:hyperlink w:history="0" w:anchor="P2854" w:tooltip="Итого сметная прибыль">
        <w:r>
          <w:rPr>
            <w:sz w:val="20"/>
            <w:color w:val="0000ff"/>
          </w:rPr>
          <w:t xml:space="preserve">"Всего сметная прибыль"</w:t>
        </w:r>
      </w:hyperlink>
      <w:r>
        <w:rPr>
          <w:sz w:val="20"/>
        </w:rPr>
        <w:t xml:space="preserve">, "</w:t>
      </w:r>
      <w:hyperlink w:history="0" w:anchor="P2878" w:tooltip="дополнительная перевозка оборудования">
        <w:r>
          <w:rPr>
            <w:sz w:val="20"/>
            <w:color w:val="0000ff"/>
          </w:rPr>
          <w:t xml:space="preserve">дополнительная</w:t>
        </w:r>
      </w:hyperlink>
      <w:r>
        <w:rPr>
          <w:sz w:val="20"/>
        </w:rPr>
        <w:t xml:space="preserve"> перевозка оборудования" "</w:t>
      </w:r>
      <w:hyperlink w:history="0" w:anchor="P2902" w:tooltip="материальные ресурсы, отсутствующие в ФРСН">
        <w:r>
          <w:rPr>
            <w:sz w:val="20"/>
            <w:color w:val="0000ff"/>
          </w:rPr>
          <w:t xml:space="preserve">материальные</w:t>
        </w:r>
      </w:hyperlink>
      <w:r>
        <w:rPr>
          <w:sz w:val="20"/>
        </w:rPr>
        <w:t xml:space="preserve"> ресурсы, отсутствующие в ФРСН (в текущем уровне цен)", "</w:t>
      </w:r>
      <w:hyperlink w:history="0" w:anchor="P2908" w:tooltip="оборудование, отсутствующие в ФРСН">
        <w:r>
          <w:rPr>
            <w:sz w:val="20"/>
            <w:color w:val="0000ff"/>
          </w:rPr>
          <w:t xml:space="preserve">оборудование</w:t>
        </w:r>
      </w:hyperlink>
      <w:r>
        <w:rPr>
          <w:sz w:val="20"/>
        </w:rPr>
        <w:t xml:space="preserve">, отсутствующее в ФРСН (в текущем уровне цен)", </w:t>
      </w:r>
      <w:hyperlink w:history="0" w:anchor="P3202" w:tooltip="прочие затраты &lt;2&gt;">
        <w:r>
          <w:rPr>
            <w:sz w:val="20"/>
            <w:color w:val="0000ff"/>
          </w:rPr>
          <w:t xml:space="preserve">"прочие затраты"</w:t>
        </w:r>
      </w:hyperlink>
      <w:r>
        <w:rPr>
          <w:sz w:val="20"/>
        </w:rPr>
        <w:t xml:space="preserve">.</w:t>
      </w:r>
    </w:p>
    <w:p>
      <w:pPr>
        <w:pStyle w:val="0"/>
        <w:spacing w:before="200" w:line-rule="auto"/>
        <w:ind w:firstLine="540"/>
        <w:jc w:val="both"/>
      </w:pPr>
      <w:r>
        <w:rPr>
          <w:sz w:val="20"/>
        </w:rPr>
        <w:t xml:space="preserve">15. В остальных строках локального сметного расчета (сметы) </w:t>
      </w:r>
      <w:hyperlink w:history="0" w:anchor="P2418" w:tooltip="12">
        <w:r>
          <w:rPr>
            <w:sz w:val="20"/>
            <w:color w:val="0000ff"/>
          </w:rPr>
          <w:t xml:space="preserve">графа 12</w:t>
        </w:r>
      </w:hyperlink>
      <w:r>
        <w:rPr>
          <w:sz w:val="20"/>
        </w:rPr>
        <w:t xml:space="preserve"> не заполняется.</w:t>
      </w:r>
    </w:p>
    <w:p>
      <w:pPr>
        <w:pStyle w:val="0"/>
        <w:spacing w:before="200" w:line-rule="auto"/>
        <w:ind w:firstLine="540"/>
        <w:jc w:val="both"/>
      </w:pPr>
      <w:r>
        <w:rPr>
          <w:sz w:val="20"/>
        </w:rPr>
        <w:t xml:space="preserve">16. Округление значений </w:t>
      </w:r>
      <w:hyperlink w:history="0" w:anchor="P2418" w:tooltip="12">
        <w:r>
          <w:rPr>
            <w:sz w:val="20"/>
            <w:color w:val="0000ff"/>
          </w:rPr>
          <w:t xml:space="preserve">графы 12</w:t>
        </w:r>
      </w:hyperlink>
      <w:r>
        <w:rPr>
          <w:sz w:val="20"/>
        </w:rPr>
        <w:t xml:space="preserve"> производится до двух знаков после запятой (до копеек) по итогу произведенных вычислений.</w:t>
      </w:r>
    </w:p>
    <w:p>
      <w:pPr>
        <w:pStyle w:val="0"/>
        <w:spacing w:before="200" w:line-rule="auto"/>
        <w:ind w:firstLine="540"/>
        <w:jc w:val="both"/>
      </w:pPr>
      <w:r>
        <w:rPr>
          <w:sz w:val="20"/>
        </w:rPr>
        <w:t xml:space="preserve">17. Методические подходы к учету в локальных сметных расчетах (сметах) машин и механизмов, а также отдельно оплаты труда машинистов (при применении коэффициентов только к показателям оплаты труда машинистов), в качестве неучтенных ресурсов аналогичны принятым для единичных расценок, начисление НР и СП в этом случае производится в соответствии со сметными нормативами, сведения о которых включены в ФРСН.</w:t>
      </w:r>
    </w:p>
    <w:p>
      <w:pPr>
        <w:pStyle w:val="0"/>
        <w:spacing w:before="200" w:line-rule="auto"/>
        <w:ind w:firstLine="540"/>
        <w:jc w:val="both"/>
      </w:pPr>
      <w:r>
        <w:rPr>
          <w:sz w:val="20"/>
        </w:rPr>
        <w:t xml:space="preserve">18. Надбавки к стоимости материальных ресурсов, выраженные в абсолютных и относительных величинах, учитываются в локальных сметных расчетах (сметах) отдельной строкой.</w:t>
      </w:r>
    </w:p>
    <w:p>
      <w:pPr>
        <w:pStyle w:val="0"/>
        <w:spacing w:before="200" w:line-rule="auto"/>
        <w:ind w:firstLine="540"/>
        <w:jc w:val="both"/>
      </w:pPr>
      <w:r>
        <w:rPr>
          <w:sz w:val="20"/>
        </w:rPr>
        <w:t xml:space="preserve">19. Итоги сметной стоимости в соответствующих реквизитах локального сметного расчета (сметы), приведенных перед таблицей локального сметного расчета (сметы), указываются в тысячах рублей с округлением до двух знаков после запятой, при этом сметная стоимость пусконаладочных работ указывается в </w:t>
      </w:r>
      <w:hyperlink w:history="0" w:anchor="P2384" w:tooltip="прочих затрат">
        <w:r>
          <w:rPr>
            <w:sz w:val="20"/>
            <w:color w:val="0000ff"/>
          </w:rPr>
          <w:t xml:space="preserve">строке</w:t>
        </w:r>
      </w:hyperlink>
      <w:r>
        <w:rPr>
          <w:sz w:val="20"/>
        </w:rPr>
        <w:t xml:space="preserve"> "Сметная стоимость прочих затрат". При составлении локального сметного расчета (сметы) базисно-индексным методом с применением индекса к СМР в </w:t>
      </w:r>
      <w:hyperlink w:history="0" w:anchor="P2354" w:tooltip="Средства на оплату труда рабочих">
        <w:r>
          <w:rPr>
            <w:sz w:val="20"/>
            <w:color w:val="0000ff"/>
          </w:rPr>
          <w:t xml:space="preserve">строке</w:t>
        </w:r>
      </w:hyperlink>
      <w:r>
        <w:rPr>
          <w:sz w:val="20"/>
        </w:rPr>
        <w:t xml:space="preserve"> "средства на оплату труда рабочих" указываются данные только в базисном уровне цен.</w:t>
      </w:r>
    </w:p>
    <w:p>
      <w:pPr>
        <w:pStyle w:val="0"/>
        <w:spacing w:before="200" w:line-rule="auto"/>
        <w:ind w:firstLine="540"/>
        <w:jc w:val="both"/>
      </w:pPr>
      <w:r>
        <w:rPr>
          <w:sz w:val="20"/>
        </w:rPr>
        <w:t xml:space="preserve">20. В итогах локального сметного расчета (сметы) сметная стоимость пусконаладочных работ распределяется на затраты "вхолостую" и "под нагрузкой" и указывается отдельными строками справочно, расчет производится суммированием соответствующих позиций локального сметного расчета (сметы) с учетом </w:t>
      </w:r>
      <w:hyperlink w:history="0" w:anchor="P9093" w:tooltip="СТРУКТУРА">
        <w:r>
          <w:rPr>
            <w:sz w:val="20"/>
            <w:color w:val="0000ff"/>
          </w:rPr>
          <w:t xml:space="preserve">Приложения N 8</w:t>
        </w:r>
      </w:hyperlink>
      <w:r>
        <w:rPr>
          <w:sz w:val="20"/>
        </w:rPr>
        <w:t xml:space="preserve"> к Методике.</w:t>
      </w:r>
    </w:p>
    <w:p>
      <w:pPr>
        <w:pStyle w:val="0"/>
        <w:jc w:val="both"/>
      </w:pPr>
      <w:r>
        <w:rPr>
          <w:sz w:val="20"/>
        </w:rPr>
      </w:r>
    </w:p>
    <w:p>
      <w:pPr>
        <w:pStyle w:val="0"/>
        <w:jc w:val="both"/>
      </w:pPr>
      <w:r>
        <w:rPr>
          <w:sz w:val="20"/>
        </w:rPr>
      </w:r>
    </w:p>
    <w:p>
      <w:pPr>
        <w:pStyle w:val="0"/>
        <w:jc w:val="both"/>
      </w:pPr>
      <w:r>
        <w:rPr>
          <w:sz w:val="20"/>
        </w:rPr>
      </w:r>
    </w:p>
    <w:p>
      <w:pPr>
        <w:pStyle w:val="0"/>
        <w:jc w:val="center"/>
      </w:pPr>
      <w:r>
        <w:rPr>
          <w:sz w:val="20"/>
        </w:rPr>
        <w:t xml:space="preserve">Формы</w:t>
      </w:r>
    </w:p>
    <w:p>
      <w:pPr>
        <w:pStyle w:val="0"/>
        <w:jc w:val="center"/>
      </w:pPr>
      <w:r>
        <w:rPr>
          <w:sz w:val="20"/>
        </w:rPr>
        <w:t xml:space="preserve">локального сметного расчета (сметы) для базисно-индексного</w:t>
      </w:r>
    </w:p>
    <w:p>
      <w:pPr>
        <w:pStyle w:val="0"/>
        <w:jc w:val="center"/>
      </w:pPr>
      <w:r>
        <w:rPr>
          <w:sz w:val="20"/>
        </w:rPr>
        <w:t xml:space="preserve">метода при определении сметной стоимости работ по сохранению</w:t>
      </w:r>
    </w:p>
    <w:p>
      <w:pPr>
        <w:pStyle w:val="0"/>
        <w:jc w:val="center"/>
      </w:pPr>
      <w:r>
        <w:rPr>
          <w:sz w:val="20"/>
        </w:rPr>
        <w:t xml:space="preserve">объектов культурного наследия (памятников истории</w:t>
      </w:r>
    </w:p>
    <w:p>
      <w:pPr>
        <w:pStyle w:val="0"/>
        <w:jc w:val="center"/>
      </w:pPr>
      <w:r>
        <w:rPr>
          <w:sz w:val="20"/>
        </w:rPr>
        <w:t xml:space="preserve">и культуры) народов Российской Федерации на территории</w:t>
      </w:r>
    </w:p>
    <w:p>
      <w:pPr>
        <w:pStyle w:val="0"/>
        <w:jc w:val="center"/>
      </w:pPr>
      <w:r>
        <w:rPr>
          <w:sz w:val="20"/>
        </w:rPr>
        <w:t xml:space="preserve">Российской Федерации</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vAlign w:val="bottom"/>
            <w:tcBorders>
              <w:top w:val="nil"/>
              <w:left w:val="nil"/>
              <w:bottom w:val="nil"/>
              <w:right w:val="nil"/>
            </w:tcBorders>
          </w:tcPr>
          <w:bookmarkStart w:id="3715" w:name="P3715"/>
          <w:bookmarkEnd w:id="3715"/>
          <w:p>
            <w:pPr>
              <w:pStyle w:val="0"/>
              <w:outlineLvl w:val="2"/>
              <w:jc w:val="center"/>
            </w:pPr>
            <w:r>
              <w:rPr>
                <w:sz w:val="20"/>
              </w:rPr>
              <w:t xml:space="preserve">Форма N 3 локального сметного расчета (сметы) для базисно-индексного метода с применением индекса к СМР</w:t>
            </w:r>
          </w:p>
        </w:tc>
      </w:tr>
    </w:tbl>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5197"/>
        <w:gridCol w:w="3874"/>
      </w:tblGrid>
      <w:tr>
        <w:tblPrEx>
          <w:tblBorders>
            <w:insideH w:val="nil"/>
          </w:tblBorders>
        </w:tblPrEx>
        <w:tc>
          <w:tcPr>
            <w:tcW w:w="5197" w:type="dxa"/>
            <w:vAlign w:val="bottom"/>
            <w:tcBorders>
              <w:top w:val="nil"/>
              <w:left w:val="nil"/>
              <w:bottom w:val="nil"/>
              <w:right w:val="nil"/>
            </w:tcBorders>
          </w:tcPr>
          <w:p>
            <w:pPr>
              <w:pStyle w:val="0"/>
            </w:pPr>
            <w:r>
              <w:rPr>
                <w:sz w:val="20"/>
              </w:rPr>
              <w:t xml:space="preserve">Наименование программного продукта</w:t>
            </w:r>
          </w:p>
        </w:tc>
        <w:tc>
          <w:tcPr>
            <w:tcW w:w="3874" w:type="dxa"/>
            <w:tcBorders>
              <w:top w:val="nil"/>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редакции сметных нормативов</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jc w:val="both"/>
            </w:pPr>
            <w:r>
              <w:rPr>
                <w:sz w:val="20"/>
              </w:rPr>
              <w:t xml:space="preserve">Реквизиты приказа Минстроя России об утверждении дополнений и изменений к сметным нормативам</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jc w:val="both"/>
            </w:pPr>
            <w:r>
              <w:rPr>
                <w:sz w:val="20"/>
              </w:rPr>
              <w:t xml:space="preserve">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с </w:t>
            </w:r>
            <w:hyperlink w:history="0" r:id="rId205"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пунктом 85</w:t>
              </w:r>
            </w:hyperlink>
            <w:r>
              <w:rPr>
                <w:sz w:val="20"/>
              </w:rPr>
              <w:t xml:space="preserve">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N 326/пр </w:t>
            </w:r>
            <w:hyperlink w:history="0" w:anchor="P4263" w:tooltip="&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
              <w:r>
                <w:rPr>
                  <w:sz w:val="20"/>
                  <w:color w:val="0000ff"/>
                </w:rPr>
                <w:t xml:space="preserve">&lt;1&gt;</w:t>
              </w:r>
            </w:hyperlink>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jc w:val="both"/>
            </w:pPr>
            <w:r>
              <w:rPr>
                <w:sz w:val="20"/>
              </w:rPr>
              <w:t xml:space="preserve">Реквизиты нормативного правового акта об утверждении оплаты труда, утверждаемый в соответствии с </w:t>
            </w:r>
            <w:hyperlink w:history="0" r:id="rId206"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пунктом 22(1)</w:t>
              </w:r>
            </w:hyperlink>
            <w:r>
              <w:rPr>
                <w:sz w:val="20"/>
              </w:rPr>
              <w:t xml:space="preserve"> Правилами мониторинга цен, утвержденными постановлением Правительства Российской Федерации от 23 декабря 2016 г. N 1452</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субъекта Российской Федерации</w:t>
            </w:r>
          </w:p>
        </w:tc>
        <w:tc>
          <w:tcPr>
            <w:tcW w:w="3874" w:type="dxa"/>
            <w:tcBorders>
              <w:left w:val="nil"/>
              <w:right w:val="nil"/>
            </w:tcBorders>
          </w:tcPr>
          <w:p>
            <w:pPr>
              <w:pStyle w:val="0"/>
            </w:pPr>
            <w:r>
              <w:rPr>
                <w:sz w:val="20"/>
              </w:rPr>
            </w:r>
          </w:p>
        </w:tc>
      </w:tr>
      <w:tr>
        <w:tblPrEx>
          <w:tblBorders>
            <w:insideH w:val="nil"/>
          </w:tblBorders>
        </w:tblPrEx>
        <w:tc>
          <w:tcPr>
            <w:tcW w:w="5197" w:type="dxa"/>
            <w:tcBorders>
              <w:top w:val="nil"/>
              <w:left w:val="nil"/>
              <w:bottom w:val="nil"/>
              <w:right w:val="nil"/>
            </w:tcBorders>
          </w:tcPr>
          <w:p>
            <w:pPr>
              <w:pStyle w:val="0"/>
            </w:pPr>
            <w:r>
              <w:rPr>
                <w:sz w:val="20"/>
              </w:rPr>
              <w:t xml:space="preserve">Наименование зоны субъекта Российской Федерации</w:t>
            </w:r>
          </w:p>
        </w:tc>
        <w:tc>
          <w:tcPr>
            <w:tcW w:w="3874" w:type="dxa"/>
            <w:tcBorders>
              <w:left w:val="nil"/>
              <w:right w:val="nil"/>
            </w:tcBorders>
          </w:tcPr>
          <w:p>
            <w:pPr>
              <w:pStyle w:val="0"/>
            </w:pPr>
            <w:r>
              <w:rPr>
                <w:sz w:val="20"/>
              </w:rPr>
            </w:r>
          </w:p>
        </w:tc>
      </w:tr>
      <w:tr>
        <w:tblPrEx>
          <w:tblBorders>
            <w:insideH w:val="nil"/>
          </w:tblBorders>
        </w:tblPrEx>
        <w:tc>
          <w:tcPr>
            <w:gridSpan w:val="2"/>
            <w:tcW w:w="9071" w:type="dxa"/>
            <w:tcBorders>
              <w:top w:val="nil"/>
              <w:left w:val="nil"/>
              <w:right w:val="nil"/>
            </w:tcBorders>
          </w:tcPr>
          <w:p>
            <w:pPr>
              <w:pStyle w:val="0"/>
            </w:pPr>
            <w:r>
              <w:rPr>
                <w:sz w:val="20"/>
              </w:rPr>
            </w:r>
          </w:p>
        </w:tc>
      </w:tr>
      <w:tr>
        <w:tblPrEx>
          <w:tblBorders>
            <w:insideH w:val="nil"/>
          </w:tblBorders>
        </w:tblPrEx>
        <w:tc>
          <w:tcPr>
            <w:gridSpan w:val="2"/>
            <w:tcW w:w="9071" w:type="dxa"/>
            <w:vAlign w:val="bottom"/>
            <w:tcBorders>
              <w:left w:val="nil"/>
              <w:bottom w:val="nil"/>
              <w:right w:val="nil"/>
            </w:tcBorders>
          </w:tcPr>
          <w:p>
            <w:pPr>
              <w:pStyle w:val="0"/>
              <w:jc w:val="center"/>
            </w:pPr>
            <w:r>
              <w:rPr>
                <w:sz w:val="20"/>
              </w:rPr>
              <w:t xml:space="preserve">(наименование стройки)</w:t>
            </w:r>
          </w:p>
        </w:tc>
      </w:tr>
      <w:tr>
        <w:tblPrEx>
          <w:tblBorders>
            <w:insideH w:val="nil"/>
          </w:tblBorders>
        </w:tblPrEx>
        <w:tc>
          <w:tcPr>
            <w:gridSpan w:val="2"/>
            <w:tcW w:w="9071" w:type="dxa"/>
            <w:tcBorders>
              <w:top w:val="nil"/>
              <w:left w:val="nil"/>
              <w:right w:val="nil"/>
            </w:tcBorders>
          </w:tcPr>
          <w:p>
            <w:pPr>
              <w:pStyle w:val="0"/>
            </w:pPr>
            <w:r>
              <w:rPr>
                <w:sz w:val="20"/>
              </w:rPr>
            </w:r>
          </w:p>
        </w:tc>
      </w:tr>
      <w:tr>
        <w:tc>
          <w:tcPr>
            <w:gridSpan w:val="2"/>
            <w:tcW w:w="9071" w:type="dxa"/>
            <w:vAlign w:val="bottom"/>
            <w:tcBorders>
              <w:left w:val="nil"/>
              <w:bottom w:val="nil"/>
              <w:right w:val="nil"/>
            </w:tcBorders>
          </w:tcPr>
          <w:p>
            <w:pPr>
              <w:pStyle w:val="0"/>
              <w:jc w:val="center"/>
            </w:pPr>
            <w:r>
              <w:rPr>
                <w:sz w:val="20"/>
              </w:rPr>
              <w:t xml:space="preserve">(наименование объекта капитального строительства)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0"/>
              </w:rPr>
              <w:t xml:space="preserve">ЛОКАЛЬНЫЙ СМЕТНЫЙ РАСЧЕТ (СМЕТА) N __________</w:t>
            </w:r>
          </w:p>
        </w:tc>
      </w:tr>
      <w:tr>
        <w:tc>
          <w:tcPr>
            <w:tcW w:w="9071" w:type="dxa"/>
            <w:tcBorders>
              <w:top w:val="nil"/>
              <w:left w:val="nil"/>
              <w:bottom w:val="single" w:sz="4"/>
              <w:right w:val="nil"/>
            </w:tcBorders>
          </w:tcPr>
          <w:p>
            <w:pPr>
              <w:pStyle w:val="0"/>
            </w:pPr>
            <w:r>
              <w:rPr>
                <w:sz w:val="20"/>
              </w:rPr>
            </w:r>
          </w:p>
        </w:tc>
      </w:tr>
      <w:tr>
        <w:tblPrEx>
          <w:tblBorders>
            <w:insideH w:val="single" w:sz="4"/>
          </w:tblBorders>
        </w:tblPrEx>
        <w:tc>
          <w:tcPr>
            <w:tcW w:w="9071" w:type="dxa"/>
            <w:tcBorders>
              <w:top w:val="single" w:sz="4"/>
              <w:left w:val="nil"/>
              <w:bottom w:val="nil"/>
              <w:right w:val="nil"/>
            </w:tcBorders>
          </w:tcPr>
          <w:p>
            <w:pPr>
              <w:pStyle w:val="0"/>
              <w:jc w:val="center"/>
            </w:pPr>
            <w:r>
              <w:rPr>
                <w:sz w:val="20"/>
              </w:rPr>
              <w:t xml:space="preserve">(наименование работ и затрат)</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378"/>
        <w:gridCol w:w="5083"/>
        <w:gridCol w:w="2618"/>
      </w:tblGrid>
      <w:tr>
        <w:tc>
          <w:tcPr>
            <w:tcW w:w="1378" w:type="dxa"/>
            <w:tcBorders>
              <w:top w:val="nil"/>
              <w:left w:val="nil"/>
              <w:bottom w:val="nil"/>
              <w:right w:val="nil"/>
            </w:tcBorders>
          </w:tcPr>
          <w:p>
            <w:pPr>
              <w:pStyle w:val="0"/>
            </w:pPr>
            <w:r>
              <w:rPr>
                <w:sz w:val="20"/>
              </w:rPr>
              <w:t xml:space="preserve">Составлен</w:t>
            </w:r>
          </w:p>
        </w:tc>
        <w:tc>
          <w:tcPr>
            <w:tcW w:w="5083" w:type="dxa"/>
            <w:tcBorders>
              <w:top w:val="nil"/>
              <w:left w:val="nil"/>
              <w:bottom w:val="single" w:sz="4"/>
              <w:right w:val="nil"/>
            </w:tcBorders>
          </w:tcPr>
          <w:p>
            <w:pPr>
              <w:pStyle w:val="0"/>
              <w:jc w:val="center"/>
            </w:pPr>
            <w:r>
              <w:rPr>
                <w:sz w:val="20"/>
              </w:rPr>
              <w:t xml:space="preserve">базисно-индексным</w:t>
            </w:r>
          </w:p>
        </w:tc>
        <w:tc>
          <w:tcPr>
            <w:tcW w:w="2618" w:type="dxa"/>
            <w:tcBorders>
              <w:top w:val="nil"/>
              <w:left w:val="nil"/>
              <w:bottom w:val="nil"/>
              <w:right w:val="nil"/>
            </w:tcBorders>
          </w:tcPr>
          <w:p>
            <w:pPr>
              <w:pStyle w:val="0"/>
            </w:pPr>
            <w:r>
              <w:rPr>
                <w:sz w:val="20"/>
              </w:rPr>
              <w:t xml:space="preserve">методом</w:t>
            </w:r>
          </w:p>
        </w:tc>
      </w:tr>
      <w:tr>
        <w:tc>
          <w:tcPr>
            <w:tcW w:w="1378" w:type="dxa"/>
            <w:tcBorders>
              <w:top w:val="nil"/>
              <w:left w:val="nil"/>
              <w:bottom w:val="nil"/>
              <w:right w:val="nil"/>
            </w:tcBorders>
          </w:tcPr>
          <w:p>
            <w:pPr>
              <w:pStyle w:val="0"/>
            </w:pPr>
            <w:r>
              <w:rPr>
                <w:sz w:val="20"/>
              </w:rPr>
              <w:t xml:space="preserve">Основание</w:t>
            </w:r>
          </w:p>
        </w:tc>
        <w:tc>
          <w:tcPr>
            <w:gridSpan w:val="2"/>
            <w:tcW w:w="7701" w:type="dxa"/>
            <w:tcBorders>
              <w:top w:val="nil"/>
              <w:left w:val="nil"/>
              <w:bottom w:val="single" w:sz="4"/>
              <w:right w:val="nil"/>
            </w:tcBorders>
          </w:tcPr>
          <w:p>
            <w:pPr>
              <w:pStyle w:val="0"/>
            </w:pPr>
            <w:r>
              <w:rPr>
                <w:sz w:val="20"/>
              </w:rPr>
            </w:r>
          </w:p>
        </w:tc>
      </w:tr>
      <w:tr>
        <w:tc>
          <w:tcPr>
            <w:tcW w:w="1378" w:type="dxa"/>
            <w:tcBorders>
              <w:top w:val="nil"/>
              <w:left w:val="nil"/>
              <w:bottom w:val="nil"/>
              <w:right w:val="nil"/>
            </w:tcBorders>
          </w:tcPr>
          <w:p>
            <w:pPr>
              <w:pStyle w:val="0"/>
            </w:pPr>
            <w:r>
              <w:rPr>
                <w:sz w:val="20"/>
              </w:rPr>
            </w:r>
          </w:p>
        </w:tc>
        <w:tc>
          <w:tcPr>
            <w:gridSpan w:val="2"/>
            <w:tcW w:w="7701" w:type="dxa"/>
            <w:tcBorders>
              <w:top w:val="single" w:sz="4"/>
              <w:left w:val="nil"/>
              <w:bottom w:val="nil"/>
              <w:right w:val="nil"/>
            </w:tcBorders>
          </w:tcPr>
          <w:p>
            <w:pPr>
              <w:pStyle w:val="0"/>
              <w:jc w:val="center"/>
            </w:pPr>
            <w:r>
              <w:rPr>
                <w:sz w:val="20"/>
              </w:rPr>
              <w:t xml:space="preserve">(проектная и (или) иная техническая документация)</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2361"/>
        <w:gridCol w:w="340"/>
        <w:gridCol w:w="340"/>
        <w:gridCol w:w="1984"/>
        <w:gridCol w:w="1162"/>
        <w:gridCol w:w="737"/>
        <w:gridCol w:w="4082"/>
        <w:gridCol w:w="340"/>
        <w:gridCol w:w="794"/>
        <w:gridCol w:w="340"/>
        <w:gridCol w:w="1077"/>
      </w:tblGrid>
      <w:tr>
        <w:tc>
          <w:tcPr>
            <w:gridSpan w:val="3"/>
            <w:tcW w:w="3041" w:type="dxa"/>
            <w:vAlign w:val="bottom"/>
            <w:tcBorders>
              <w:top w:val="nil"/>
              <w:left w:val="nil"/>
              <w:bottom w:val="nil"/>
              <w:right w:val="nil"/>
            </w:tcBorders>
          </w:tcPr>
          <w:p>
            <w:pPr>
              <w:pStyle w:val="0"/>
            </w:pPr>
            <w:r>
              <w:rPr>
                <w:sz w:val="20"/>
              </w:rPr>
              <w:t xml:space="preserve">Составлен(а) в текущем (базисном) уровне цен</w:t>
            </w:r>
          </w:p>
        </w:tc>
        <w:tc>
          <w:tcPr>
            <w:tcW w:w="1984" w:type="dxa"/>
            <w:vAlign w:val="bottom"/>
            <w:tcBorders>
              <w:top w:val="nil"/>
              <w:left w:val="nil"/>
              <w:bottom w:val="nil"/>
              <w:right w:val="nil"/>
            </w:tcBorders>
          </w:tcPr>
          <w:p>
            <w:pPr>
              <w:pStyle w:val="0"/>
            </w:pPr>
            <w:r>
              <w:rPr>
                <w:sz w:val="20"/>
              </w:rPr>
              <w:t xml:space="preserve">_________ (___)</w:t>
            </w:r>
          </w:p>
        </w:tc>
        <w:tc>
          <w:tcPr>
            <w:tcW w:w="1162" w:type="dxa"/>
            <w:vAlign w:val="bottom"/>
            <w:tcBorders>
              <w:top w:val="nil"/>
              <w:left w:val="nil"/>
              <w:bottom w:val="nil"/>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79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tcW w:w="2361" w:type="dxa"/>
            <w:tcBorders>
              <w:top w:val="nil"/>
              <w:left w:val="nil"/>
              <w:bottom w:val="nil"/>
              <w:right w:val="nil"/>
            </w:tcBorders>
          </w:tcPr>
          <w:p>
            <w:pPr>
              <w:pStyle w:val="0"/>
            </w:pPr>
            <w:r>
              <w:rPr>
                <w:sz w:val="20"/>
              </w:rPr>
              <w:t xml:space="preserve">Сметная стоимость</w:t>
            </w:r>
          </w:p>
        </w:tc>
        <w:tc>
          <w:tcPr>
            <w:gridSpan w:val="3"/>
            <w:tcW w:w="2664" w:type="dxa"/>
            <w:tcBorders>
              <w:top w:val="nil"/>
              <w:left w:val="nil"/>
              <w:bottom w:val="nil"/>
              <w:right w:val="nil"/>
            </w:tcBorders>
          </w:tcPr>
          <w:p>
            <w:pPr>
              <w:pStyle w:val="0"/>
              <w:jc w:val="both"/>
            </w:pPr>
            <w:r>
              <w:rPr>
                <w:sz w:val="20"/>
              </w:rPr>
              <w:t xml:space="preserve">__________ (________)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pPr>
            <w:r>
              <w:rPr>
                <w:sz w:val="20"/>
              </w:rPr>
              <w:t xml:space="preserve">Средства на оплату труда рабочих</w:t>
            </w:r>
          </w:p>
        </w:tc>
        <w:tc>
          <w:tcPr>
            <w:gridSpan w:val="3"/>
            <w:tcW w:w="1474" w:type="dxa"/>
            <w:tcBorders>
              <w:top w:val="nil"/>
              <w:left w:val="nil"/>
              <w:bottom w:val="nil"/>
              <w:right w:val="nil"/>
            </w:tcBorders>
          </w:tcPr>
          <w:p>
            <w:pPr>
              <w:pStyle w:val="0"/>
              <w:jc w:val="center"/>
            </w:pPr>
            <w:r>
              <w:rPr>
                <w:sz w:val="20"/>
              </w:rPr>
              <w:t xml:space="preserve">______ (___)</w:t>
            </w:r>
          </w:p>
        </w:tc>
        <w:tc>
          <w:tcPr>
            <w:tcW w:w="1077" w:type="dxa"/>
            <w:vAlign w:val="bottom"/>
            <w:tcBorders>
              <w:top w:val="nil"/>
              <w:left w:val="nil"/>
              <w:bottom w:val="nil"/>
              <w:right w:val="nil"/>
            </w:tcBorders>
          </w:tcPr>
          <w:p>
            <w:pPr>
              <w:pStyle w:val="0"/>
            </w:pPr>
            <w:r>
              <w:rPr>
                <w:sz w:val="20"/>
              </w:rPr>
              <w:t xml:space="preserve">тыс. руб.</w:t>
            </w:r>
          </w:p>
        </w:tc>
      </w:tr>
      <w:tr>
        <w:tc>
          <w:tcPr>
            <w:gridSpan w:val="4"/>
            <w:tcW w:w="5025" w:type="dxa"/>
            <w:vAlign w:val="bottom"/>
            <w:tcBorders>
              <w:top w:val="nil"/>
              <w:left w:val="nil"/>
              <w:bottom w:val="nil"/>
              <w:right w:val="nil"/>
            </w:tcBorders>
          </w:tcPr>
          <w:p>
            <w:pPr>
              <w:pStyle w:val="0"/>
              <w:ind w:left="566"/>
            </w:pPr>
            <w:r>
              <w:rPr>
                <w:sz w:val="20"/>
              </w:rPr>
              <w:t xml:space="preserve">в том числе:</w:t>
            </w:r>
          </w:p>
        </w:tc>
        <w:tc>
          <w:tcPr>
            <w:tcW w:w="1162" w:type="dxa"/>
            <w:vAlign w:val="bottom"/>
            <w:tcBorders>
              <w:top w:val="nil"/>
              <w:left w:val="nil"/>
              <w:bottom w:val="nil"/>
              <w:right w:val="nil"/>
            </w:tcBorders>
          </w:tcPr>
          <w:p>
            <w:pPr>
              <w:pStyle w:val="0"/>
            </w:pPr>
            <w:r>
              <w:rPr>
                <w:sz w:val="20"/>
              </w:rPr>
            </w:r>
          </w:p>
        </w:tc>
        <w:tc>
          <w:tcPr>
            <w:tcW w:w="737" w:type="dxa"/>
            <w:tcBorders>
              <w:top w:val="nil"/>
              <w:left w:val="nil"/>
              <w:bottom w:val="nil"/>
              <w:right w:val="nil"/>
            </w:tcBorders>
          </w:tcPr>
          <w:p>
            <w:pPr>
              <w:pStyle w:val="0"/>
            </w:pPr>
            <w:r>
              <w:rPr>
                <w:sz w:val="20"/>
              </w:rPr>
            </w:r>
          </w:p>
        </w:tc>
        <w:tc>
          <w:tcPr>
            <w:tcW w:w="4082" w:type="dxa"/>
            <w:tcBorders>
              <w:top w:val="nil"/>
              <w:left w:val="nil"/>
              <w:bottom w:val="nil"/>
              <w:right w:val="nil"/>
            </w:tcBorders>
          </w:tcPr>
          <w:p>
            <w:pPr>
              <w:pStyle w:val="0"/>
            </w:pPr>
            <w:r>
              <w:rPr>
                <w:sz w:val="20"/>
              </w:rPr>
            </w:r>
          </w:p>
        </w:tc>
        <w:tc>
          <w:tcPr>
            <w:gridSpan w:val="3"/>
            <w:tcW w:w="1474" w:type="dxa"/>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gridSpan w:val="2"/>
            <w:tcW w:w="2701" w:type="dxa"/>
            <w:vAlign w:val="bottom"/>
            <w:tcBorders>
              <w:top w:val="nil"/>
              <w:left w:val="nil"/>
              <w:bottom w:val="nil"/>
              <w:right w:val="nil"/>
            </w:tcBorders>
          </w:tcPr>
          <w:p>
            <w:pPr>
              <w:pStyle w:val="0"/>
              <w:ind w:left="566"/>
            </w:pPr>
            <w:r>
              <w:rPr>
                <w:sz w:val="20"/>
              </w:rPr>
              <w:t xml:space="preserve">ремонтно-реставрационных работ</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vAlign w:val="bottom"/>
            <w:tcBorders>
              <w:top w:val="nil"/>
              <w:left w:val="nil"/>
              <w:bottom w:val="nil"/>
              <w:right w:val="nil"/>
            </w:tcBorders>
          </w:tcPr>
          <w:p>
            <w:pPr>
              <w:pStyle w:val="0"/>
            </w:pPr>
            <w:r>
              <w:rPr>
                <w:sz w:val="20"/>
              </w:rPr>
            </w:r>
          </w:p>
        </w:tc>
        <w:tc>
          <w:tcPr>
            <w:gridSpan w:val="2"/>
            <w:tcW w:w="113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gridSpan w:val="2"/>
            <w:tcW w:w="2701" w:type="dxa"/>
            <w:tcBorders>
              <w:top w:val="nil"/>
              <w:left w:val="nil"/>
              <w:bottom w:val="nil"/>
              <w:right w:val="nil"/>
            </w:tcBorders>
          </w:tcPr>
          <w:p>
            <w:pPr>
              <w:pStyle w:val="0"/>
              <w:ind w:left="566"/>
            </w:pPr>
            <w:r>
              <w:rPr>
                <w:sz w:val="20"/>
              </w:rPr>
              <w:t xml:space="preserve">прочих затрат</w:t>
            </w:r>
          </w:p>
        </w:tc>
        <w:tc>
          <w:tcPr>
            <w:gridSpan w:val="2"/>
            <w:tcW w:w="2324" w:type="dxa"/>
            <w:tcBorders>
              <w:top w:val="nil"/>
              <w:left w:val="nil"/>
              <w:bottom w:val="nil"/>
              <w:right w:val="nil"/>
            </w:tcBorders>
          </w:tcPr>
          <w:p>
            <w:pPr>
              <w:pStyle w:val="0"/>
              <w:jc w:val="both"/>
            </w:pPr>
            <w:r>
              <w:rPr>
                <w:sz w:val="20"/>
              </w:rPr>
              <w:t xml:space="preserve">____________ (___)</w:t>
            </w:r>
          </w:p>
        </w:tc>
        <w:tc>
          <w:tcPr>
            <w:tcW w:w="1162" w:type="dxa"/>
            <w:vAlign w:val="bottom"/>
            <w:tcBorders>
              <w:top w:val="nil"/>
              <w:left w:val="nil"/>
              <w:bottom w:val="nil"/>
              <w:right w:val="nil"/>
            </w:tcBorders>
          </w:tcPr>
          <w:p>
            <w:pPr>
              <w:pStyle w:val="0"/>
              <w:jc w:val="center"/>
            </w:pPr>
            <w:r>
              <w:rPr>
                <w:sz w:val="20"/>
              </w:rPr>
              <w:t xml:space="preserve">тыс. руб.</w:t>
            </w:r>
          </w:p>
        </w:tc>
        <w:tc>
          <w:tcPr>
            <w:tcW w:w="737" w:type="dxa"/>
            <w:tcBorders>
              <w:top w:val="nil"/>
              <w:left w:val="nil"/>
              <w:bottom w:val="nil"/>
              <w:right w:val="nil"/>
            </w:tcBorders>
          </w:tcPr>
          <w:p>
            <w:pPr>
              <w:pStyle w:val="0"/>
            </w:pPr>
            <w:r>
              <w:rPr>
                <w:sz w:val="20"/>
              </w:rPr>
            </w:r>
          </w:p>
        </w:tc>
        <w:tc>
          <w:tcPr>
            <w:tcW w:w="4082" w:type="dxa"/>
            <w:vAlign w:val="bottom"/>
            <w:tcBorders>
              <w:top w:val="nil"/>
              <w:left w:val="nil"/>
              <w:bottom w:val="nil"/>
              <w:right w:val="nil"/>
            </w:tcBorders>
          </w:tcPr>
          <w:p>
            <w:pPr>
              <w:pStyle w:val="0"/>
            </w:pPr>
            <w:r>
              <w:rPr>
                <w:sz w:val="20"/>
              </w:rPr>
            </w:r>
          </w:p>
        </w:tc>
        <w:tc>
          <w:tcPr>
            <w:gridSpan w:val="2"/>
            <w:tcW w:w="1134"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1020"/>
        <w:gridCol w:w="1417"/>
        <w:gridCol w:w="3118"/>
        <w:gridCol w:w="1247"/>
        <w:gridCol w:w="680"/>
        <w:gridCol w:w="1247"/>
        <w:gridCol w:w="994"/>
        <w:gridCol w:w="680"/>
        <w:gridCol w:w="1128"/>
        <w:gridCol w:w="680"/>
        <w:gridCol w:w="821"/>
        <w:gridCol w:w="964"/>
      </w:tblGrid>
      <w:tr>
        <w:tblPrEx>
          <w:tblBorders>
            <w:left w:val="single" w:sz="4"/>
            <w:right w:val="single" w:sz="4"/>
            <w:insideV w:val="single" w:sz="4"/>
            <w:insideH w:val="single" w:sz="4"/>
          </w:tblBorders>
        </w:tblPrEx>
        <w:tc>
          <w:tcPr>
            <w:tcW w:w="1020" w:type="dxa"/>
            <w:tcBorders>
              <w:top w:val="single" w:sz="4"/>
              <w:bottom w:val="single" w:sz="4"/>
            </w:tcBorders>
            <w:vMerge w:val="restart"/>
          </w:tcPr>
          <w:p>
            <w:pPr>
              <w:pStyle w:val="0"/>
              <w:jc w:val="center"/>
            </w:pPr>
            <w:r>
              <w:rPr>
                <w:sz w:val="20"/>
              </w:rPr>
              <w:t xml:space="preserve">N п/п</w:t>
            </w:r>
          </w:p>
        </w:tc>
        <w:tc>
          <w:tcPr>
            <w:tcW w:w="1417" w:type="dxa"/>
            <w:tcBorders>
              <w:top w:val="single" w:sz="4"/>
              <w:bottom w:val="single" w:sz="4"/>
            </w:tcBorders>
            <w:vMerge w:val="restart"/>
          </w:tcPr>
          <w:p>
            <w:pPr>
              <w:pStyle w:val="0"/>
              <w:jc w:val="center"/>
            </w:pPr>
            <w:r>
              <w:rPr>
                <w:sz w:val="20"/>
              </w:rPr>
              <w:t xml:space="preserve">Обоснование</w:t>
            </w:r>
          </w:p>
        </w:tc>
        <w:tc>
          <w:tcPr>
            <w:tcW w:w="3118" w:type="dxa"/>
            <w:tcBorders>
              <w:top w:val="single" w:sz="4"/>
              <w:bottom w:val="single" w:sz="4"/>
            </w:tcBorders>
            <w:vMerge w:val="restart"/>
          </w:tcPr>
          <w:p>
            <w:pPr>
              <w:pStyle w:val="0"/>
              <w:jc w:val="center"/>
            </w:pPr>
            <w:r>
              <w:rPr>
                <w:sz w:val="20"/>
              </w:rPr>
              <w:t xml:space="preserve">Наименование работ и затрат</w:t>
            </w:r>
          </w:p>
        </w:tc>
        <w:tc>
          <w:tcPr>
            <w:tcW w:w="1247" w:type="dxa"/>
            <w:tcBorders>
              <w:top w:val="single" w:sz="4"/>
              <w:bottom w:val="single" w:sz="4"/>
            </w:tcBorders>
            <w:vMerge w:val="restart"/>
          </w:tcPr>
          <w:p>
            <w:pPr>
              <w:pStyle w:val="0"/>
              <w:jc w:val="center"/>
            </w:pPr>
            <w:r>
              <w:rPr>
                <w:sz w:val="20"/>
              </w:rPr>
              <w:t xml:space="preserve">Единица измерения</w:t>
            </w:r>
          </w:p>
        </w:tc>
        <w:tc>
          <w:tcPr>
            <w:gridSpan w:val="3"/>
            <w:tcW w:w="2921" w:type="dxa"/>
            <w:tcBorders>
              <w:top w:val="single" w:sz="4"/>
              <w:bottom w:val="single" w:sz="4"/>
            </w:tcBorders>
          </w:tcPr>
          <w:p>
            <w:pPr>
              <w:pStyle w:val="0"/>
              <w:jc w:val="center"/>
            </w:pPr>
            <w:r>
              <w:rPr>
                <w:sz w:val="20"/>
              </w:rPr>
              <w:t xml:space="preserve">Количество</w:t>
            </w:r>
          </w:p>
        </w:tc>
        <w:tc>
          <w:tcPr>
            <w:gridSpan w:val="3"/>
            <w:tcW w:w="2488" w:type="dxa"/>
            <w:tcBorders>
              <w:top w:val="single" w:sz="4"/>
              <w:bottom w:val="single" w:sz="4"/>
            </w:tcBorders>
          </w:tcPr>
          <w:p>
            <w:pPr>
              <w:pStyle w:val="0"/>
              <w:jc w:val="center"/>
            </w:pPr>
            <w:r>
              <w:rPr>
                <w:sz w:val="20"/>
              </w:rPr>
              <w:t xml:space="preserve">Сметная стоимость в базисном уровне цен (в текущем уровне цен (гр. 8) для ресурсов, отсутствующих в ФРСН), руб.</w:t>
            </w:r>
          </w:p>
        </w:tc>
        <w:tc>
          <w:tcPr>
            <w:tcW w:w="821" w:type="dxa"/>
            <w:tcBorders>
              <w:top w:val="single" w:sz="4"/>
              <w:bottom w:val="single" w:sz="4"/>
            </w:tcBorders>
            <w:vMerge w:val="restart"/>
          </w:tcPr>
          <w:p>
            <w:pPr>
              <w:pStyle w:val="0"/>
              <w:jc w:val="center"/>
            </w:pPr>
            <w:r>
              <w:rPr>
                <w:sz w:val="20"/>
              </w:rPr>
              <w:t xml:space="preserve">Индексы</w:t>
            </w:r>
          </w:p>
        </w:tc>
        <w:tc>
          <w:tcPr>
            <w:tcW w:w="964" w:type="dxa"/>
            <w:tcBorders>
              <w:top w:val="single" w:sz="4"/>
              <w:bottom w:val="single" w:sz="4"/>
            </w:tcBorders>
            <w:vMerge w:val="restart"/>
          </w:tcPr>
          <w:p>
            <w:pPr>
              <w:pStyle w:val="0"/>
              <w:jc w:val="center"/>
            </w:pPr>
            <w:r>
              <w:rPr>
                <w:sz w:val="20"/>
              </w:rPr>
              <w:t xml:space="preserve">Сметная стоимость в текущем уровне цен, руб.</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680" w:type="dxa"/>
            <w:tcBorders>
              <w:top w:val="single" w:sz="4"/>
              <w:bottom w:val="single" w:sz="4"/>
            </w:tcBorders>
          </w:tcPr>
          <w:p>
            <w:pPr>
              <w:pStyle w:val="0"/>
              <w:jc w:val="center"/>
            </w:pPr>
            <w:r>
              <w:rPr>
                <w:sz w:val="20"/>
              </w:rPr>
              <w:t xml:space="preserve">на единицу измерения</w:t>
            </w:r>
          </w:p>
        </w:tc>
        <w:tc>
          <w:tcPr>
            <w:tcW w:w="1247" w:type="dxa"/>
            <w:tcBorders>
              <w:top w:val="single" w:sz="4"/>
              <w:bottom w:val="single" w:sz="4"/>
            </w:tcBorders>
          </w:tcPr>
          <w:p>
            <w:pPr>
              <w:pStyle w:val="0"/>
              <w:jc w:val="center"/>
            </w:pPr>
            <w:r>
              <w:rPr>
                <w:sz w:val="20"/>
              </w:rPr>
              <w:t xml:space="preserve">коэффициенты</w:t>
            </w:r>
          </w:p>
        </w:tc>
        <w:tc>
          <w:tcPr>
            <w:tcW w:w="994" w:type="dxa"/>
            <w:tcBorders>
              <w:top w:val="single" w:sz="4"/>
              <w:bottom w:val="single" w:sz="4"/>
            </w:tcBorders>
          </w:tcPr>
          <w:p>
            <w:pPr>
              <w:pStyle w:val="0"/>
              <w:jc w:val="center"/>
            </w:pPr>
            <w:r>
              <w:rPr>
                <w:sz w:val="20"/>
              </w:rPr>
              <w:t xml:space="preserve">всего с учетом коэффициентов</w:t>
            </w:r>
          </w:p>
        </w:tc>
        <w:tc>
          <w:tcPr>
            <w:tcW w:w="680" w:type="dxa"/>
            <w:tcBorders>
              <w:top w:val="single" w:sz="4"/>
              <w:bottom w:val="single" w:sz="4"/>
            </w:tcBorders>
          </w:tcPr>
          <w:p>
            <w:pPr>
              <w:pStyle w:val="0"/>
              <w:jc w:val="center"/>
            </w:pPr>
            <w:r>
              <w:rPr>
                <w:sz w:val="20"/>
              </w:rPr>
              <w:t xml:space="preserve">на единицу измерения</w:t>
            </w:r>
          </w:p>
        </w:tc>
        <w:tc>
          <w:tcPr>
            <w:tcW w:w="1128" w:type="dxa"/>
            <w:tcBorders>
              <w:top w:val="single" w:sz="4"/>
              <w:bottom w:val="single" w:sz="4"/>
            </w:tcBorders>
          </w:tcPr>
          <w:p>
            <w:pPr>
              <w:pStyle w:val="0"/>
              <w:jc w:val="center"/>
            </w:pPr>
            <w:r>
              <w:rPr>
                <w:sz w:val="20"/>
              </w:rPr>
              <w:t xml:space="preserve">коэффициенты</w:t>
            </w:r>
          </w:p>
        </w:tc>
        <w:tc>
          <w:tcPr>
            <w:tcW w:w="680" w:type="dxa"/>
            <w:tcBorders>
              <w:top w:val="single" w:sz="4"/>
              <w:bottom w:val="single" w:sz="4"/>
            </w:tcBorders>
          </w:tcPr>
          <w:p>
            <w:pPr>
              <w:pStyle w:val="0"/>
              <w:jc w:val="center"/>
            </w:pPr>
            <w:r>
              <w:rPr>
                <w:sz w:val="20"/>
              </w:rPr>
              <w:t xml:space="preserve">всего</w:t>
            </w:r>
          </w:p>
        </w:tc>
        <w:tc>
          <w:tcPr>
            <w:tcBorders>
              <w:top w:val="single" w:sz="4"/>
              <w:bottom w:val="single" w:sz="4"/>
            </w:tcBorders>
            <w:vMerge w:val="continue"/>
          </w:tcPr>
          <w:p/>
        </w:tc>
        <w:tc>
          <w:tcPr>
            <w:tcBorders>
              <w:top w:val="single" w:sz="4"/>
              <w:bottom w:val="single" w:sz="4"/>
            </w:tcBorders>
            <w:vMerge w:val="continue"/>
          </w:tcPr>
          <w:p/>
        </w:tc>
      </w:tr>
      <w:tr>
        <w:tblPrEx>
          <w:tblBorders>
            <w:left w:val="single" w:sz="4"/>
            <w:right w:val="single" w:sz="4"/>
            <w:insideV w:val="single" w:sz="4"/>
            <w:insideH w:val="single" w:sz="4"/>
          </w:tblBorders>
        </w:tblPrEx>
        <w:tc>
          <w:tcPr>
            <w:tcW w:w="1020" w:type="dxa"/>
            <w:tcBorders>
              <w:top w:val="single" w:sz="4"/>
              <w:bottom w:val="single" w:sz="4"/>
            </w:tcBorders>
          </w:tcPr>
          <w:p>
            <w:pPr>
              <w:pStyle w:val="0"/>
              <w:jc w:val="center"/>
            </w:pPr>
            <w:r>
              <w:rPr>
                <w:sz w:val="20"/>
              </w:rPr>
              <w:t xml:space="preserve">1</w:t>
            </w:r>
          </w:p>
        </w:tc>
        <w:tc>
          <w:tcPr>
            <w:tcW w:w="1417" w:type="dxa"/>
            <w:tcBorders>
              <w:top w:val="single" w:sz="4"/>
              <w:bottom w:val="single" w:sz="4"/>
            </w:tcBorders>
          </w:tcPr>
          <w:p>
            <w:pPr>
              <w:pStyle w:val="0"/>
              <w:jc w:val="center"/>
            </w:pPr>
            <w:r>
              <w:rPr>
                <w:sz w:val="20"/>
              </w:rPr>
              <w:t xml:space="preserve">2</w:t>
            </w:r>
          </w:p>
        </w:tc>
        <w:tc>
          <w:tcPr>
            <w:tcW w:w="3118" w:type="dxa"/>
            <w:tcBorders>
              <w:top w:val="single" w:sz="4"/>
              <w:bottom w:val="single" w:sz="4"/>
            </w:tcBorders>
          </w:tcPr>
          <w:p>
            <w:pPr>
              <w:pStyle w:val="0"/>
              <w:jc w:val="center"/>
            </w:pPr>
            <w:r>
              <w:rPr>
                <w:sz w:val="20"/>
              </w:rPr>
              <w:t xml:space="preserve">3</w:t>
            </w:r>
          </w:p>
        </w:tc>
        <w:tc>
          <w:tcPr>
            <w:tcW w:w="1247" w:type="dxa"/>
            <w:tcBorders>
              <w:top w:val="single" w:sz="4"/>
              <w:bottom w:val="single" w:sz="4"/>
            </w:tcBorders>
          </w:tcPr>
          <w:p>
            <w:pPr>
              <w:pStyle w:val="0"/>
              <w:jc w:val="center"/>
            </w:pPr>
            <w:r>
              <w:rPr>
                <w:sz w:val="20"/>
              </w:rPr>
              <w:t xml:space="preserve">4</w:t>
            </w:r>
          </w:p>
        </w:tc>
        <w:tc>
          <w:tcPr>
            <w:tcW w:w="680" w:type="dxa"/>
            <w:tcBorders>
              <w:top w:val="single" w:sz="4"/>
              <w:bottom w:val="single" w:sz="4"/>
            </w:tcBorders>
          </w:tcPr>
          <w:p>
            <w:pPr>
              <w:pStyle w:val="0"/>
              <w:jc w:val="center"/>
            </w:pPr>
            <w:r>
              <w:rPr>
                <w:sz w:val="20"/>
              </w:rPr>
              <w:t xml:space="preserve">5</w:t>
            </w:r>
          </w:p>
        </w:tc>
        <w:tc>
          <w:tcPr>
            <w:tcW w:w="1247" w:type="dxa"/>
            <w:tcBorders>
              <w:top w:val="single" w:sz="4"/>
              <w:bottom w:val="single" w:sz="4"/>
            </w:tcBorders>
          </w:tcPr>
          <w:p>
            <w:pPr>
              <w:pStyle w:val="0"/>
              <w:jc w:val="center"/>
            </w:pPr>
            <w:r>
              <w:rPr>
                <w:sz w:val="20"/>
              </w:rPr>
              <w:t xml:space="preserve">6</w:t>
            </w:r>
          </w:p>
        </w:tc>
        <w:tc>
          <w:tcPr>
            <w:tcW w:w="994" w:type="dxa"/>
            <w:tcBorders>
              <w:top w:val="single" w:sz="4"/>
              <w:bottom w:val="single" w:sz="4"/>
            </w:tcBorders>
          </w:tcPr>
          <w:p>
            <w:pPr>
              <w:pStyle w:val="0"/>
              <w:jc w:val="center"/>
            </w:pPr>
            <w:r>
              <w:rPr>
                <w:sz w:val="20"/>
              </w:rPr>
              <w:t xml:space="preserve">7</w:t>
            </w:r>
          </w:p>
        </w:tc>
        <w:tc>
          <w:tcPr>
            <w:tcW w:w="680" w:type="dxa"/>
            <w:tcBorders>
              <w:top w:val="single" w:sz="4"/>
              <w:bottom w:val="single" w:sz="4"/>
            </w:tcBorders>
          </w:tcPr>
          <w:bookmarkStart w:id="3808" w:name="P3808"/>
          <w:bookmarkEnd w:id="3808"/>
          <w:p>
            <w:pPr>
              <w:pStyle w:val="0"/>
              <w:jc w:val="center"/>
            </w:pPr>
            <w:r>
              <w:rPr>
                <w:sz w:val="20"/>
              </w:rPr>
              <w:t xml:space="preserve">8</w:t>
            </w:r>
          </w:p>
        </w:tc>
        <w:tc>
          <w:tcPr>
            <w:tcW w:w="1128" w:type="dxa"/>
            <w:tcBorders>
              <w:top w:val="single" w:sz="4"/>
              <w:bottom w:val="single" w:sz="4"/>
            </w:tcBorders>
          </w:tcPr>
          <w:p>
            <w:pPr>
              <w:pStyle w:val="0"/>
              <w:jc w:val="center"/>
            </w:pPr>
            <w:r>
              <w:rPr>
                <w:sz w:val="20"/>
              </w:rPr>
              <w:t xml:space="preserve">9</w:t>
            </w:r>
          </w:p>
        </w:tc>
        <w:tc>
          <w:tcPr>
            <w:tcW w:w="680" w:type="dxa"/>
            <w:tcBorders>
              <w:top w:val="single" w:sz="4"/>
              <w:bottom w:val="single" w:sz="4"/>
            </w:tcBorders>
          </w:tcPr>
          <w:bookmarkStart w:id="3810" w:name="P3810"/>
          <w:bookmarkEnd w:id="3810"/>
          <w:p>
            <w:pPr>
              <w:pStyle w:val="0"/>
              <w:jc w:val="center"/>
            </w:pPr>
            <w:r>
              <w:rPr>
                <w:sz w:val="20"/>
              </w:rPr>
              <w:t xml:space="preserve">10</w:t>
            </w:r>
          </w:p>
        </w:tc>
        <w:tc>
          <w:tcPr>
            <w:tcW w:w="821" w:type="dxa"/>
            <w:tcBorders>
              <w:top w:val="single" w:sz="4"/>
              <w:bottom w:val="single" w:sz="4"/>
            </w:tcBorders>
          </w:tcPr>
          <w:bookmarkStart w:id="3811" w:name="P3811"/>
          <w:bookmarkEnd w:id="3811"/>
          <w:p>
            <w:pPr>
              <w:pStyle w:val="0"/>
              <w:jc w:val="center"/>
            </w:pPr>
            <w:r>
              <w:rPr>
                <w:sz w:val="20"/>
              </w:rPr>
              <w:t xml:space="preserve">11</w:t>
            </w:r>
          </w:p>
        </w:tc>
        <w:tc>
          <w:tcPr>
            <w:tcW w:w="964" w:type="dxa"/>
            <w:tcBorders>
              <w:top w:val="single" w:sz="4"/>
              <w:bottom w:val="single" w:sz="4"/>
            </w:tcBorders>
          </w:tcPr>
          <w:bookmarkStart w:id="3812" w:name="P3812"/>
          <w:bookmarkEnd w:id="3812"/>
          <w:p>
            <w:pPr>
              <w:pStyle w:val="0"/>
              <w:jc w:val="center"/>
            </w:pPr>
            <w:r>
              <w:rPr>
                <w:sz w:val="20"/>
              </w:rPr>
              <w:t xml:space="preserve">12</w:t>
            </w:r>
          </w:p>
        </w:tc>
      </w:tr>
      <w:tr>
        <w:tblPrEx>
          <w:tblBorders>
            <w:left w:val="single" w:sz="4"/>
            <w:right w:val="single" w:sz="4"/>
            <w:insideH w:val="single" w:sz="4"/>
          </w:tblBorders>
        </w:tblPrEx>
        <w:tc>
          <w:tcPr>
            <w:gridSpan w:val="12"/>
            <w:tcW w:w="13996" w:type="dxa"/>
            <w:vAlign w:val="bottom"/>
            <w:tcBorders>
              <w:top w:val="single" w:sz="4"/>
              <w:left w:val="single" w:sz="4"/>
              <w:bottom w:val="single" w:sz="4"/>
              <w:right w:val="single" w:sz="4"/>
            </w:tcBorders>
          </w:tcPr>
          <w:p>
            <w:pPr>
              <w:pStyle w:val="0"/>
            </w:pPr>
            <w:r>
              <w:rPr>
                <w:sz w:val="20"/>
              </w:rPr>
              <w:t xml:space="preserve">Раздел X. &lt;Наименование раздела&gt;</w:t>
            </w:r>
          </w:p>
        </w:tc>
      </w:tr>
      <w:tr>
        <w:tc>
          <w:tcPr>
            <w:tcW w:w="1020" w:type="dxa"/>
            <w:tcBorders>
              <w:top w:val="single" w:sz="4"/>
              <w:left w:val="nil"/>
              <w:bottom w:val="nil"/>
              <w:right w:val="nil"/>
            </w:tcBorders>
          </w:tcPr>
          <w:p>
            <w:pPr>
              <w:pStyle w:val="0"/>
              <w:jc w:val="center"/>
            </w:pPr>
            <w:r>
              <w:rPr>
                <w:sz w:val="20"/>
              </w:rPr>
              <w:t xml:space="preserve">&lt;пункт&gt;</w:t>
            </w:r>
          </w:p>
        </w:tc>
        <w:tc>
          <w:tcPr>
            <w:tcW w:w="1417" w:type="dxa"/>
            <w:tcBorders>
              <w:top w:val="single" w:sz="4"/>
              <w:left w:val="nil"/>
              <w:bottom w:val="nil"/>
              <w:right w:val="nil"/>
            </w:tcBorders>
          </w:tcPr>
          <w:p>
            <w:pPr>
              <w:pStyle w:val="0"/>
              <w:jc w:val="center"/>
            </w:pPr>
            <w:r>
              <w:rPr>
                <w:sz w:val="20"/>
              </w:rPr>
              <w:t xml:space="preserve">&lt;шифр расценки&gt;</w:t>
            </w:r>
          </w:p>
        </w:tc>
        <w:tc>
          <w:tcPr>
            <w:tcW w:w="3118" w:type="dxa"/>
            <w:tcBorders>
              <w:top w:val="single" w:sz="4"/>
              <w:left w:val="nil"/>
              <w:bottom w:val="nil"/>
              <w:right w:val="nil"/>
            </w:tcBorders>
          </w:tcPr>
          <w:p>
            <w:pPr>
              <w:pStyle w:val="0"/>
            </w:pPr>
            <w:r>
              <w:rPr>
                <w:sz w:val="20"/>
              </w:rPr>
              <w:t xml:space="preserve">&lt;Наименование расценки&gt;</w:t>
            </w:r>
          </w:p>
        </w:tc>
        <w:tc>
          <w:tcPr>
            <w:tcW w:w="1247" w:type="dxa"/>
            <w:tcBorders>
              <w:top w:val="single" w:sz="4"/>
              <w:left w:val="nil"/>
              <w:bottom w:val="nil"/>
              <w:right w:val="nil"/>
            </w:tcBorders>
          </w:tcPr>
          <w:p>
            <w:pPr>
              <w:pStyle w:val="0"/>
              <w:jc w:val="center"/>
            </w:pPr>
            <w:r>
              <w:rPr>
                <w:sz w:val="20"/>
              </w:rPr>
              <w:t xml:space="preserve">&lt;единица измерения расценки&gt;</w:t>
            </w:r>
          </w:p>
        </w:tc>
        <w:tc>
          <w:tcPr>
            <w:tcW w:w="680" w:type="dxa"/>
            <w:tcBorders>
              <w:top w:val="single" w:sz="4"/>
              <w:left w:val="nil"/>
              <w:bottom w:val="nil"/>
              <w:right w:val="nil"/>
            </w:tcBorders>
          </w:tcPr>
          <w:p>
            <w:pPr>
              <w:pStyle w:val="0"/>
              <w:jc w:val="center"/>
            </w:pPr>
            <w:r>
              <w:rPr>
                <w:sz w:val="20"/>
              </w:rPr>
              <w:t xml:space="preserve">&lt;X&gt;</w:t>
            </w:r>
          </w:p>
        </w:tc>
        <w:tc>
          <w:tcPr>
            <w:tcW w:w="1247" w:type="dxa"/>
            <w:tcBorders>
              <w:top w:val="single" w:sz="4"/>
              <w:left w:val="nil"/>
              <w:bottom w:val="nil"/>
              <w:right w:val="nil"/>
            </w:tcBorders>
          </w:tcPr>
          <w:p>
            <w:pPr>
              <w:pStyle w:val="0"/>
              <w:jc w:val="center"/>
            </w:pPr>
            <w:r>
              <w:rPr>
                <w:sz w:val="20"/>
              </w:rPr>
              <w:t xml:space="preserve">&lt;результирующий коэффициент&gt;</w:t>
            </w:r>
          </w:p>
        </w:tc>
        <w:tc>
          <w:tcPr>
            <w:tcW w:w="994" w:type="dxa"/>
            <w:tcBorders>
              <w:top w:val="single" w:sz="4"/>
              <w:left w:val="nil"/>
              <w:bottom w:val="nil"/>
              <w:right w:val="nil"/>
            </w:tcBorders>
          </w:tcPr>
          <w:p>
            <w:pPr>
              <w:pStyle w:val="0"/>
              <w:jc w:val="center"/>
            </w:pPr>
            <w:r>
              <w:rPr>
                <w:sz w:val="20"/>
              </w:rPr>
              <w:t xml:space="preserve">&lt;X&gt;</w:t>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1</w:t>
            </w:r>
          </w:p>
        </w:tc>
        <w:tc>
          <w:tcPr>
            <w:tcW w:w="3118" w:type="dxa"/>
            <w:tcBorders>
              <w:top w:val="nil"/>
              <w:left w:val="nil"/>
              <w:bottom w:val="nil"/>
              <w:right w:val="nil"/>
            </w:tcBorders>
          </w:tcPr>
          <w:bookmarkStart w:id="3852" w:name="P3852"/>
          <w:bookmarkEnd w:id="3852"/>
          <w:p>
            <w:pPr>
              <w:pStyle w:val="0"/>
            </w:pPr>
            <w:r>
              <w:rPr>
                <w:sz w:val="20"/>
              </w:rPr>
              <w:t xml:space="preserve">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2</w:t>
            </w:r>
          </w:p>
        </w:tc>
        <w:tc>
          <w:tcPr>
            <w:tcW w:w="3118" w:type="dxa"/>
            <w:tcBorders>
              <w:top w:val="nil"/>
              <w:left w:val="nil"/>
              <w:bottom w:val="nil"/>
              <w:right w:val="nil"/>
            </w:tcBorders>
          </w:tcPr>
          <w:bookmarkStart w:id="3864" w:name="P3864"/>
          <w:bookmarkEnd w:id="3864"/>
          <w:p>
            <w:pPr>
              <w:pStyle w:val="0"/>
            </w:pPr>
            <w:r>
              <w:rPr>
                <w:sz w:val="20"/>
              </w:rPr>
              <w:t xml:space="preserve">ЭМ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3</w:t>
            </w:r>
          </w:p>
        </w:tc>
        <w:tc>
          <w:tcPr>
            <w:tcW w:w="3118" w:type="dxa"/>
            <w:tcBorders>
              <w:top w:val="nil"/>
              <w:left w:val="nil"/>
              <w:bottom w:val="single" w:sz="4"/>
              <w:right w:val="nil"/>
            </w:tcBorders>
          </w:tcPr>
          <w:bookmarkStart w:id="3876" w:name="P3876"/>
          <w:bookmarkEnd w:id="3876"/>
          <w:p>
            <w:pPr>
              <w:pStyle w:val="0"/>
            </w:pPr>
            <w:r>
              <w:rPr>
                <w:sz w:val="20"/>
              </w:rPr>
              <w:t xml:space="preserve">в т.ч. ОТм</w:t>
            </w:r>
          </w:p>
        </w:tc>
        <w:tc>
          <w:tcPr>
            <w:tcW w:w="1247"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blPrEx>
          <w:tblBorders>
            <w:insideH w:val="single" w:sz="4"/>
          </w:tblBorders>
        </w:tblPrEx>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4</w:t>
            </w:r>
          </w:p>
        </w:tc>
        <w:tc>
          <w:tcPr>
            <w:tcW w:w="3118" w:type="dxa"/>
            <w:tcBorders>
              <w:top w:val="single" w:sz="4"/>
              <w:left w:val="nil"/>
              <w:bottom w:val="single" w:sz="4"/>
              <w:right w:val="nil"/>
            </w:tcBorders>
          </w:tcPr>
          <w:p>
            <w:pPr>
              <w:pStyle w:val="0"/>
            </w:pPr>
            <w:r>
              <w:rPr>
                <w:sz w:val="20"/>
              </w:rPr>
              <w:t xml:space="preserve">М</w:t>
            </w:r>
          </w:p>
        </w:tc>
        <w:tc>
          <w:tcPr>
            <w:tcW w:w="1247" w:type="dxa"/>
            <w:tcBorders>
              <w:top w:val="single" w:sz="4"/>
              <w:left w:val="nil"/>
              <w:bottom w:val="single" w:sz="4"/>
              <w:right w:val="nil"/>
            </w:tcBorders>
          </w:tcPr>
          <w:p>
            <w:pPr>
              <w:pStyle w:val="0"/>
            </w:pPr>
            <w:r>
              <w:rPr>
                <w:sz w:val="20"/>
              </w:rPr>
            </w:r>
          </w:p>
        </w:tc>
        <w:tc>
          <w:tcPr>
            <w:tcW w:w="680" w:type="dxa"/>
            <w:tcBorders>
              <w:top w:val="single" w:sz="4"/>
              <w:left w:val="nil"/>
              <w:bottom w:val="single" w:sz="4"/>
              <w:right w:val="nil"/>
            </w:tcBorders>
          </w:tcPr>
          <w:p>
            <w:pPr>
              <w:pStyle w:val="0"/>
            </w:pPr>
            <w:r>
              <w:rPr>
                <w:sz w:val="20"/>
              </w:rPr>
            </w:r>
          </w:p>
        </w:tc>
        <w:tc>
          <w:tcPr>
            <w:tcW w:w="1247" w:type="dxa"/>
            <w:tcBorders>
              <w:top w:val="single" w:sz="4"/>
              <w:left w:val="nil"/>
              <w:bottom w:val="single" w:sz="4"/>
              <w:right w:val="nil"/>
            </w:tcBorders>
          </w:tcPr>
          <w:p>
            <w:pPr>
              <w:pStyle w:val="0"/>
              <w:jc w:val="center"/>
            </w:pPr>
            <w:r>
              <w:rPr>
                <w:sz w:val="20"/>
              </w:rPr>
              <w:t xml:space="preserve">&lt;результирующий коэффициент&gt;</w:t>
            </w:r>
          </w:p>
        </w:tc>
        <w:tc>
          <w:tcPr>
            <w:tcW w:w="994" w:type="dxa"/>
            <w:tcBorders>
              <w:top w:val="single" w:sz="4"/>
              <w:left w:val="nil"/>
              <w:bottom w:val="single" w:sz="4"/>
              <w:right w:val="nil"/>
            </w:tcBorders>
          </w:tcPr>
          <w:p>
            <w:pPr>
              <w:pStyle w:val="0"/>
            </w:pPr>
            <w:r>
              <w:rPr>
                <w:sz w:val="20"/>
              </w:rPr>
            </w:r>
          </w:p>
        </w:tc>
        <w:tc>
          <w:tcPr>
            <w:tcW w:w="680" w:type="dxa"/>
            <w:tcBorders>
              <w:top w:val="single" w:sz="4"/>
              <w:left w:val="nil"/>
              <w:bottom w:val="single" w:sz="4"/>
              <w:right w:val="nil"/>
            </w:tcBorders>
          </w:tcPr>
          <w:p>
            <w:pPr>
              <w:pStyle w:val="0"/>
              <w:jc w:val="center"/>
            </w:pPr>
            <w:r>
              <w:rPr>
                <w:sz w:val="20"/>
              </w:rPr>
              <w:t xml:space="preserve">&lt;X&gt;</w:t>
            </w:r>
          </w:p>
        </w:tc>
        <w:tc>
          <w:tcPr>
            <w:tcW w:w="1128" w:type="dxa"/>
            <w:tcBorders>
              <w:top w:val="single" w:sz="4"/>
              <w:left w:val="nil"/>
              <w:bottom w:val="single" w:sz="4"/>
              <w:right w:val="nil"/>
            </w:tcBorders>
          </w:tcPr>
          <w:p>
            <w:pPr>
              <w:pStyle w:val="0"/>
              <w:jc w:val="center"/>
            </w:pPr>
            <w:r>
              <w:rPr>
                <w:sz w:val="20"/>
              </w:rPr>
              <w:t xml:space="preserve">&lt;результирующий коэффициент&gt;</w:t>
            </w:r>
          </w:p>
        </w:tc>
        <w:tc>
          <w:tcPr>
            <w:tcW w:w="680" w:type="dxa"/>
            <w:tcBorders>
              <w:top w:val="single" w:sz="4"/>
              <w:left w:val="nil"/>
              <w:bottom w:val="single" w:sz="4"/>
              <w:right w:val="nil"/>
            </w:tcBorders>
          </w:tcPr>
          <w:p>
            <w:pPr>
              <w:pStyle w:val="0"/>
              <w:jc w:val="center"/>
            </w:pPr>
            <w:r>
              <w:rPr>
                <w:sz w:val="20"/>
              </w:rPr>
              <w:t xml:space="preserve">&lt;X&gt;</w:t>
            </w:r>
          </w:p>
        </w:tc>
        <w:tc>
          <w:tcPr>
            <w:tcW w:w="821" w:type="dxa"/>
            <w:tcBorders>
              <w:top w:val="single" w:sz="4"/>
              <w:left w:val="nil"/>
              <w:bottom w:val="single" w:sz="4"/>
              <w:right w:val="nil"/>
            </w:tcBorders>
          </w:tcPr>
          <w:p>
            <w:pPr>
              <w:pStyle w:val="0"/>
            </w:pPr>
            <w:r>
              <w:rPr>
                <w:sz w:val="20"/>
              </w:rPr>
            </w:r>
          </w:p>
        </w:tc>
        <w:tc>
          <w:tcPr>
            <w:tcW w:w="964" w:type="dxa"/>
            <w:tcBorders>
              <w:top w:val="single" w:sz="4"/>
              <w:left w:val="nil"/>
              <w:bottom w:val="single" w:sz="4"/>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single" w:sz="4"/>
              <w:left w:val="nil"/>
              <w:bottom w:val="nil"/>
              <w:right w:val="nil"/>
            </w:tcBorders>
          </w:tcPr>
          <w:bookmarkStart w:id="3900" w:name="P3900"/>
          <w:bookmarkEnd w:id="3900"/>
          <w:p>
            <w:pPr>
              <w:pStyle w:val="0"/>
            </w:pPr>
            <w:r>
              <w:rPr>
                <w:sz w:val="20"/>
              </w:rPr>
              <w:t xml:space="preserve">Итого по расценке</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bookmarkStart w:id="3912" w:name="P3912"/>
          <w:bookmarkEnd w:id="3912"/>
          <w:p>
            <w:pPr>
              <w:pStyle w:val="0"/>
            </w:pPr>
            <w:r>
              <w:rPr>
                <w:sz w:val="20"/>
              </w:rPr>
              <w:t xml:space="preserve">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bookmarkStart w:id="3924" w:name="P3924"/>
          <w:bookmarkEnd w:id="3924"/>
          <w:p>
            <w:pPr>
              <w:pStyle w:val="0"/>
            </w:pPr>
            <w:r>
              <w:rPr>
                <w:sz w:val="20"/>
              </w:rPr>
              <w:t xml:space="preserve">НР &lt;вид работ&gt;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jc w:val="center"/>
            </w:pPr>
            <w:r>
              <w:rPr>
                <w:sz w:val="20"/>
              </w:rPr>
              <w:t xml:space="preserve">&lt;норматив НР&gt;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bookmarkStart w:id="3936" w:name="P3936"/>
          <w:bookmarkEnd w:id="3936"/>
          <w:p>
            <w:pPr>
              <w:pStyle w:val="0"/>
            </w:pPr>
            <w:r>
              <w:rPr>
                <w:sz w:val="20"/>
              </w:rPr>
              <w:t xml:space="preserve">СП &lt;вид работ&gt;</w:t>
            </w:r>
          </w:p>
        </w:tc>
        <w:tc>
          <w:tcPr>
            <w:tcW w:w="1247" w:type="dxa"/>
            <w:tcBorders>
              <w:top w:val="nil"/>
              <w:left w:val="nil"/>
              <w:bottom w:val="single" w:sz="4"/>
              <w:right w:val="nil"/>
            </w:tcBorders>
          </w:tcPr>
          <w:p>
            <w:pPr>
              <w:pStyle w:val="0"/>
              <w:jc w:val="center"/>
            </w:pPr>
            <w:r>
              <w:rPr>
                <w:sz w:val="20"/>
              </w:rPr>
              <w:t xml:space="preserve">%</w:t>
            </w:r>
          </w:p>
        </w:tc>
        <w:tc>
          <w:tcPr>
            <w:tcW w:w="680" w:type="dxa"/>
            <w:tcBorders>
              <w:top w:val="nil"/>
              <w:left w:val="nil"/>
              <w:bottom w:val="single" w:sz="4"/>
              <w:right w:val="nil"/>
            </w:tcBorders>
          </w:tcPr>
          <w:p>
            <w:pPr>
              <w:pStyle w:val="0"/>
              <w:jc w:val="center"/>
            </w:pPr>
            <w:r>
              <w:rPr>
                <w:sz w:val="20"/>
              </w:rPr>
              <w:t xml:space="preserve">&lt;норматив СП&gt;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&lt;код ресурса&gt;</w:t>
            </w:r>
          </w:p>
        </w:tc>
        <w:tc>
          <w:tcPr>
            <w:tcW w:w="3118" w:type="dxa"/>
            <w:tcBorders>
              <w:top w:val="nil"/>
              <w:left w:val="nil"/>
              <w:bottom w:val="single" w:sz="4"/>
              <w:right w:val="nil"/>
            </w:tcBorders>
          </w:tcPr>
          <w:p>
            <w:pPr>
              <w:pStyle w:val="0"/>
            </w:pPr>
            <w:r>
              <w:rPr>
                <w:sz w:val="20"/>
              </w:rPr>
              <w:t xml:space="preserve">&lt;Наименование ресурса&gt;</w:t>
            </w:r>
          </w:p>
        </w:tc>
        <w:tc>
          <w:tcPr>
            <w:tcW w:w="1247" w:type="dxa"/>
            <w:tcBorders>
              <w:top w:val="nil"/>
              <w:left w:val="nil"/>
              <w:bottom w:val="single" w:sz="4"/>
              <w:right w:val="nil"/>
            </w:tcBorders>
          </w:tcPr>
          <w:p>
            <w:pPr>
              <w:pStyle w:val="0"/>
              <w:jc w:val="center"/>
            </w:pPr>
            <w:r>
              <w:rPr>
                <w:sz w:val="20"/>
              </w:rPr>
              <w:t xml:space="preserve">&lt;единица измерения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&lt;Наименование ресурса, отсутствующего в ФРСН&gt;</w:t>
            </w:r>
          </w:p>
        </w:tc>
        <w:tc>
          <w:tcPr>
            <w:tcW w:w="1247" w:type="dxa"/>
            <w:tcBorders>
              <w:top w:val="nil"/>
              <w:left w:val="nil"/>
              <w:bottom w:val="single" w:sz="4"/>
              <w:right w:val="nil"/>
            </w:tcBorders>
          </w:tcPr>
          <w:p>
            <w:pPr>
              <w:pStyle w:val="0"/>
              <w:jc w:val="center"/>
            </w:pPr>
            <w:r>
              <w:rPr>
                <w:sz w:val="20"/>
              </w:rPr>
              <w:t xml:space="preserve">&lt;единица измерения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&lt;Прочие затраты&gt; </w:t>
            </w:r>
            <w:hyperlink w:history="0" w:anchor="P4264"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1247" w:type="dxa"/>
            <w:tcBorders>
              <w:top w:val="nil"/>
              <w:left w:val="nil"/>
              <w:bottom w:val="single" w:sz="4"/>
              <w:right w:val="nil"/>
            </w:tcBorders>
          </w:tcPr>
          <w:p>
            <w:pPr>
              <w:pStyle w:val="0"/>
              <w:jc w:val="center"/>
            </w:pPr>
            <w:r>
              <w:rPr>
                <w:sz w:val="20"/>
              </w:rPr>
              <w:t xml:space="preserve">&lt;единица измерения&gt;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gridSpan w:val="7"/>
            <w:tcW w:w="9094" w:type="dxa"/>
            <w:tcBorders>
              <w:top w:val="single" w:sz="4"/>
              <w:left w:val="nil"/>
              <w:bottom w:val="nil"/>
              <w:right w:val="nil"/>
            </w:tcBorders>
          </w:tcPr>
          <w:p>
            <w:pPr>
              <w:pStyle w:val="0"/>
            </w:pPr>
            <w:r>
              <w:rPr>
                <w:sz w:val="20"/>
              </w:rPr>
              <w:t xml:space="preserve">Всего по позиции</w:t>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pPr>
            <w:r>
              <w:rPr>
                <w:sz w:val="20"/>
              </w:rPr>
              <w:t xml:space="preserve">Итого прямые затраты по Разделу X</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ind w:left="283"/>
            </w:pPr>
            <w:r>
              <w:rPr>
                <w:sz w:val="20"/>
              </w:rPr>
              <w:t xml:space="preserve">оплата труда (ОТ)</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ind w:left="283"/>
            </w:pPr>
            <w:r>
              <w:rPr>
                <w:sz w:val="20"/>
              </w:rPr>
              <w:t xml:space="preserve">в том числе</w:t>
            </w:r>
          </w:p>
        </w:tc>
        <w:tc>
          <w:tcPr>
            <w:tcW w:w="680" w:type="dxa"/>
            <w:vAlign w:val="bottom"/>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ind w:left="283"/>
            </w:pPr>
            <w:r>
              <w:rPr>
                <w:sz w:val="20"/>
              </w:rPr>
              <w:t xml:space="preserve">материальные ресурсы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ФОТ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pPr>
            <w:r>
              <w:rPr>
                <w:sz w:val="20"/>
              </w:rPr>
              <w:t xml:space="preserve">Итого накладные расходы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pPr>
            <w:r>
              <w:rPr>
                <w:sz w:val="20"/>
              </w:rPr>
              <w:t xml:space="preserve">Итого сметная прибыль</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прочие затраты </w:t>
            </w:r>
            <w:hyperlink w:history="0" w:anchor="P4264"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Итого по разделу Раздел X</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vAlign w:val="bottom"/>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gridSpan w:val="7"/>
            <w:tcW w:w="9094" w:type="dxa"/>
            <w:tcBorders>
              <w:top w:val="nil"/>
              <w:left w:val="nil"/>
              <w:bottom w:val="single" w:sz="4"/>
              <w:right w:val="nil"/>
            </w:tcBorders>
          </w:tcPr>
          <w:p>
            <w:pPr>
              <w:pStyle w:val="0"/>
              <w:ind w:left="283"/>
            </w:pPr>
            <w:r>
              <w:rPr>
                <w:sz w:val="20"/>
              </w:rPr>
              <w:t xml:space="preserve">материальные ресурсы, отсутствующие в ФРСН</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gridSpan w:val="7"/>
            <w:tcW w:w="9094" w:type="dxa"/>
            <w:tcBorders>
              <w:top w:val="single" w:sz="4"/>
              <w:left w:val="nil"/>
              <w:bottom w:val="nil"/>
              <w:right w:val="nil"/>
            </w:tcBorders>
          </w:tcPr>
          <w:p>
            <w:pPr>
              <w:pStyle w:val="0"/>
            </w:pPr>
            <w:r>
              <w:rPr>
                <w:sz w:val="20"/>
              </w:rPr>
              <w:t xml:space="preserve">ИТОГИ ПО СМЕТЕ</w:t>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4128" w:name="P4128"/>
          <w:bookmarkEnd w:id="4128"/>
          <w:p>
            <w:pPr>
              <w:pStyle w:val="0"/>
            </w:pPr>
            <w:r>
              <w:rPr>
                <w:sz w:val="20"/>
              </w:rPr>
              <w:t xml:space="preserve">ВСЕГО ремонтно-реставрационные работы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vAlign w:val="center"/>
            <w:tcBorders>
              <w:top w:val="nil"/>
              <w:left w:val="nil"/>
              <w:bottom w:val="nil"/>
              <w:right w:val="nil"/>
            </w:tcBorders>
          </w:tcPr>
          <w:p>
            <w:pPr>
              <w:pStyle w:val="0"/>
            </w:pPr>
            <w:r>
              <w:rPr>
                <w:sz w:val="20"/>
              </w:rPr>
            </w:r>
          </w:p>
        </w:tc>
        <w:tc>
          <w:tcPr>
            <w:tcW w:w="821" w:type="dxa"/>
            <w:vAlign w:val="center"/>
            <w:tcBorders>
              <w:top w:val="nil"/>
              <w:left w:val="nil"/>
              <w:bottom w:val="nil"/>
              <w:right w:val="nil"/>
            </w:tcBorders>
          </w:tcPr>
          <w:p>
            <w:pPr>
              <w:pStyle w:val="0"/>
            </w:pPr>
            <w:r>
              <w:rPr>
                <w:sz w:val="20"/>
              </w:rPr>
            </w:r>
          </w:p>
        </w:tc>
        <w:tc>
          <w:tcPr>
            <w:tcW w:w="964" w:type="dxa"/>
            <w:vAlign w:val="center"/>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4140" w:name="P4140"/>
          <w:bookmarkEnd w:id="4140"/>
          <w:p>
            <w:pPr>
              <w:pStyle w:val="0"/>
              <w:ind w:firstLine="283"/>
            </w:pPr>
            <w:r>
              <w:rPr>
                <w:sz w:val="20"/>
              </w:rPr>
              <w:t xml:space="preserve">ремонтно-реставрационные работы в базисном уровне цен 1984 года с пересчетом в уровень цен сметно-нормативной базы 2001 года</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bookmarkStart w:id="4146" w:name="P4146"/>
          <w:bookmarkEnd w:id="4146"/>
          <w:p>
            <w:pPr>
              <w:pStyle w:val="0"/>
              <w:ind w:firstLine="283"/>
            </w:pPr>
            <w:r>
              <w:rPr>
                <w:sz w:val="20"/>
              </w:rPr>
              <w:t xml:space="preserve">ремонтно-реставрационные работы в уровне цен сметно-нормативной базы 2001 года с пересчетом в текущий уровень цен</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прямые затраты</w:t>
            </w:r>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vAlign w:val="bottom"/>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(ОТ)</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эксплуатация машин и механизмов</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в том числе</w:t>
            </w:r>
          </w:p>
        </w:tc>
        <w:tc>
          <w:tcPr>
            <w:tcW w:w="680" w:type="dxa"/>
            <w:vAlign w:val="bottom"/>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оплата труда машинистов (ОТм)</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ind w:left="283"/>
            </w:pPr>
            <w:r>
              <w:rPr>
                <w:sz w:val="20"/>
              </w:rPr>
              <w:t xml:space="preserve">материальные ресурсы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ФОТ (справочно)</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накладные расходы</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сметная прибыль</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pPr>
            <w:r>
              <w:rPr>
                <w:sz w:val="20"/>
              </w:rPr>
              <w:t xml:space="preserve">ВСЕГО прочие затраты </w:t>
            </w:r>
            <w:hyperlink w:history="0" w:anchor="P4264"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680" w:type="dxa"/>
            <w:vAlign w:val="bottom"/>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ВСЕГО по смете</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vAlign w:val="bottom"/>
            <w:tcBorders>
              <w:top w:val="nil"/>
              <w:left w:val="nil"/>
              <w:bottom w:val="nil"/>
              <w:right w:val="nil"/>
            </w:tcBorders>
          </w:tcPr>
          <w:p>
            <w:pPr>
              <w:pStyle w:val="0"/>
            </w:pPr>
            <w:r>
              <w:rPr>
                <w:sz w:val="20"/>
              </w:rPr>
              <w:t xml:space="preserve">Справочно</w:t>
            </w:r>
          </w:p>
        </w:tc>
        <w:tc>
          <w:tcPr>
            <w:tcW w:w="680" w:type="dxa"/>
            <w:vAlign w:val="bottom"/>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vAlign w:val="bottom"/>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7"/>
            <w:tcW w:w="9094" w:type="dxa"/>
            <w:tcBorders>
              <w:top w:val="nil"/>
              <w:left w:val="nil"/>
              <w:bottom w:val="nil"/>
              <w:right w:val="nil"/>
            </w:tcBorders>
          </w:tcPr>
          <w:p>
            <w:pPr>
              <w:pStyle w:val="0"/>
            </w:pPr>
            <w:r>
              <w:rPr>
                <w:sz w:val="20"/>
              </w:rPr>
              <w:t xml:space="preserve">материальные ресурсы, отсутствующие в ФРСН</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1304"/>
        <w:gridCol w:w="7767"/>
      </w:tblGrid>
      <w:tr>
        <w:tc>
          <w:tcPr>
            <w:tcW w:w="1304" w:type="dxa"/>
            <w:vAlign w:val="bottom"/>
            <w:tcBorders>
              <w:top w:val="nil"/>
              <w:left w:val="nil"/>
              <w:bottom w:val="nil"/>
              <w:right w:val="nil"/>
            </w:tcBorders>
          </w:tcPr>
          <w:p>
            <w:pPr>
              <w:pStyle w:val="0"/>
            </w:pPr>
            <w:r>
              <w:rPr>
                <w:sz w:val="20"/>
              </w:rPr>
              <w:t xml:space="preserve">Составил</w:t>
            </w:r>
          </w:p>
        </w:tc>
        <w:tc>
          <w:tcPr>
            <w:tcW w:w="7767" w:type="dxa"/>
            <w:tcBorders>
              <w:top w:val="nil"/>
              <w:left w:val="nil"/>
              <w:bottom w:val="single" w:sz="4"/>
              <w:right w:val="nil"/>
            </w:tcBorders>
          </w:tcPr>
          <w:p>
            <w:pPr>
              <w:pStyle w:val="0"/>
            </w:pPr>
            <w:r>
              <w:rPr>
                <w:sz w:val="20"/>
              </w:rPr>
            </w:r>
          </w:p>
        </w:tc>
      </w:tr>
      <w:tr>
        <w:tc>
          <w:tcPr>
            <w:tcW w:w="1304" w:type="dxa"/>
            <w:tcBorders>
              <w:top w:val="nil"/>
              <w:left w:val="nil"/>
              <w:bottom w:val="nil"/>
              <w:right w:val="nil"/>
            </w:tcBorders>
          </w:tcPr>
          <w:p>
            <w:pPr>
              <w:pStyle w:val="0"/>
            </w:pPr>
            <w:r>
              <w:rPr>
                <w:sz w:val="20"/>
              </w:rPr>
            </w:r>
          </w:p>
        </w:tc>
        <w:tc>
          <w:tcPr>
            <w:tcW w:w="7767" w:type="dxa"/>
            <w:tcBorders>
              <w:top w:val="single" w:sz="4"/>
              <w:left w:val="nil"/>
              <w:bottom w:val="nil"/>
              <w:right w:val="nil"/>
            </w:tcBorders>
          </w:tcPr>
          <w:p>
            <w:pPr>
              <w:pStyle w:val="0"/>
              <w:jc w:val="right"/>
            </w:pPr>
            <w:r>
              <w:rPr>
                <w:sz w:val="20"/>
              </w:rPr>
              <w:t xml:space="preserve">[должность, подпись (инициалы, фамилия)]</w:t>
            </w:r>
          </w:p>
        </w:tc>
      </w:tr>
      <w:tr>
        <w:tc>
          <w:tcPr>
            <w:tcW w:w="1304" w:type="dxa"/>
            <w:vAlign w:val="bottom"/>
            <w:tcBorders>
              <w:top w:val="nil"/>
              <w:left w:val="nil"/>
              <w:bottom w:val="nil"/>
              <w:right w:val="nil"/>
            </w:tcBorders>
          </w:tcPr>
          <w:p>
            <w:pPr>
              <w:pStyle w:val="0"/>
            </w:pPr>
            <w:r>
              <w:rPr>
                <w:sz w:val="20"/>
              </w:rPr>
              <w:t xml:space="preserve">Проверил</w:t>
            </w:r>
          </w:p>
        </w:tc>
        <w:tc>
          <w:tcPr>
            <w:tcW w:w="7767" w:type="dxa"/>
            <w:tcBorders>
              <w:top w:val="nil"/>
              <w:left w:val="nil"/>
              <w:bottom w:val="single" w:sz="4"/>
              <w:right w:val="nil"/>
            </w:tcBorders>
          </w:tcPr>
          <w:p>
            <w:pPr>
              <w:pStyle w:val="0"/>
            </w:pPr>
            <w:r>
              <w:rPr>
                <w:sz w:val="20"/>
              </w:rPr>
            </w:r>
          </w:p>
        </w:tc>
      </w:tr>
      <w:tr>
        <w:tc>
          <w:tcPr>
            <w:tcW w:w="1304" w:type="dxa"/>
            <w:tcBorders>
              <w:top w:val="nil"/>
              <w:left w:val="nil"/>
              <w:bottom w:val="nil"/>
              <w:right w:val="nil"/>
            </w:tcBorders>
          </w:tcPr>
          <w:p>
            <w:pPr>
              <w:pStyle w:val="0"/>
            </w:pPr>
            <w:r>
              <w:rPr>
                <w:sz w:val="20"/>
              </w:rPr>
            </w:r>
          </w:p>
        </w:tc>
        <w:tc>
          <w:tcPr>
            <w:tcW w:w="7767" w:type="dxa"/>
            <w:vAlign w:val="bottom"/>
            <w:tcBorders>
              <w:top w:val="single" w:sz="4"/>
              <w:left w:val="nil"/>
              <w:bottom w:val="nil"/>
              <w:right w:val="nil"/>
            </w:tcBorders>
          </w:tcPr>
          <w:p>
            <w:pPr>
              <w:pStyle w:val="0"/>
              <w:jc w:val="right"/>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w:t>
      </w:r>
    </w:p>
    <w:bookmarkStart w:id="4263" w:name="P4263"/>
    <w:bookmarkEnd w:id="4263"/>
    <w:p>
      <w:pPr>
        <w:pStyle w:val="0"/>
        <w:spacing w:before="200" w:line-rule="auto"/>
        <w:ind w:firstLine="540"/>
        <w:jc w:val="both"/>
      </w:pPr>
      <w:r>
        <w:rPr>
          <w:sz w:val="20"/>
        </w:rPr>
        <w:t xml:space="preserve">&lt;1&gt;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w:t>
      </w:r>
    </w:p>
    <w:bookmarkStart w:id="4264" w:name="P4264"/>
    <w:bookmarkEnd w:id="4264"/>
    <w:p>
      <w:pPr>
        <w:pStyle w:val="0"/>
        <w:spacing w:before="200" w:line-rule="auto"/>
        <w:ind w:firstLine="540"/>
        <w:jc w:val="both"/>
      </w:pPr>
      <w:r>
        <w:rPr>
          <w:sz w:val="20"/>
        </w:rPr>
        <w:t xml:space="preserve">&lt;2&gt; Под прочими затратами понимаются затраты, учитываемые в соответствии с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пунктом 184</w:t>
        </w:r>
      </w:hyperlink>
      <w:r>
        <w:rPr>
          <w:sz w:val="20"/>
        </w:rPr>
        <w:t xml:space="preserve"> Методики.</w:t>
      </w:r>
    </w:p>
    <w:p>
      <w:pPr>
        <w:pStyle w:val="0"/>
        <w:jc w:val="both"/>
      </w:pPr>
      <w:r>
        <w:rPr>
          <w:sz w:val="20"/>
        </w:rPr>
      </w:r>
    </w:p>
    <w:p>
      <w:pPr>
        <w:pStyle w:val="0"/>
        <w:jc w:val="both"/>
      </w:pPr>
      <w:r>
        <w:rPr>
          <w:sz w:val="20"/>
        </w:rPr>
      </w:r>
    </w:p>
    <w:p>
      <w:pPr>
        <w:pStyle w:val="0"/>
        <w:jc w:val="both"/>
      </w:pPr>
      <w:r>
        <w:rPr>
          <w:sz w:val="20"/>
        </w:rPr>
      </w:r>
    </w:p>
    <w:bookmarkStart w:id="4268" w:name="P4268"/>
    <w:bookmarkEnd w:id="4268"/>
    <w:p>
      <w:pPr>
        <w:pStyle w:val="0"/>
        <w:outlineLvl w:val="2"/>
        <w:jc w:val="center"/>
      </w:pPr>
      <w:r>
        <w:rPr>
          <w:sz w:val="20"/>
        </w:rPr>
        <w:t xml:space="preserve">Форма N 4 локального сметного расчета (сметы)</w:t>
      </w:r>
    </w:p>
    <w:p>
      <w:pPr>
        <w:pStyle w:val="0"/>
        <w:jc w:val="center"/>
      </w:pPr>
      <w:r>
        <w:rPr>
          <w:sz w:val="20"/>
        </w:rPr>
        <w:t xml:space="preserve">для базисно-индексного метода с применением индексов</w:t>
      </w:r>
    </w:p>
    <w:p>
      <w:pPr>
        <w:pStyle w:val="0"/>
        <w:jc w:val="center"/>
      </w:pPr>
      <w:r>
        <w:rPr>
          <w:sz w:val="20"/>
        </w:rPr>
        <w:t xml:space="preserve">к элементам прямых затрат</w:t>
      </w:r>
    </w:p>
    <w:p>
      <w:pPr>
        <w:pStyle w:val="0"/>
        <w:jc w:val="both"/>
      </w:pPr>
      <w:r>
        <w:rPr>
          <w:sz w:val="20"/>
        </w:rPr>
      </w:r>
    </w:p>
    <w:tbl>
      <w:tblPr>
        <w:tblInd w:w="0" w:type="dxa"/>
        <w:tblLayout w:type="fixed"/>
        <w:tblCellMar>
          <w:top w:w="102" w:type="dxa"/>
          <w:left w:w="62" w:type="dxa"/>
          <w:bottom w:w="102" w:type="dxa"/>
          <w:right w:w="62" w:type="dxa"/>
        </w:tblCellMar>
      </w:tblPr>
      <w:tblGrid>
        <w:gridCol w:w="5197"/>
        <w:gridCol w:w="3874"/>
      </w:tblGrid>
      <w:tr>
        <w:tc>
          <w:tcPr>
            <w:tcW w:w="5197" w:type="dxa"/>
            <w:tcBorders>
              <w:top w:val="nil"/>
              <w:left w:val="nil"/>
              <w:bottom w:val="nil"/>
              <w:right w:val="nil"/>
            </w:tcBorders>
          </w:tcPr>
          <w:p>
            <w:pPr>
              <w:pStyle w:val="0"/>
              <w:jc w:val="both"/>
            </w:pPr>
            <w:r>
              <w:rPr>
                <w:sz w:val="20"/>
              </w:rPr>
              <w:t xml:space="preserve">Наименование программного продукта</w:t>
            </w:r>
          </w:p>
        </w:tc>
        <w:tc>
          <w:tcPr>
            <w:tcW w:w="3874" w:type="dxa"/>
            <w:tcBorders>
              <w:top w:val="nil"/>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Наименование редакции сметных нормативов</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Реквизиты приказа Минстроя России об утверждении дополнений и изменений к сметным нормативам</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с </w:t>
            </w:r>
            <w:hyperlink w:history="0" r:id="rId207"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пунктом 85</w:t>
              </w:r>
            </w:hyperlink>
            <w:r>
              <w:rPr>
                <w:sz w:val="20"/>
              </w:rPr>
              <w:t xml:space="preserve">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N 326/пр </w:t>
            </w:r>
            <w:hyperlink w:history="0" w:anchor="P4925" w:tooltip="&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
              <w:r>
                <w:rPr>
                  <w:sz w:val="20"/>
                  <w:color w:val="0000ff"/>
                </w:rPr>
                <w:t xml:space="preserve">&lt;1&gt;</w:t>
              </w:r>
            </w:hyperlink>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Реквизиты нормативного правового акта об утверждении оплаты труда, утверждаемый в соответствии с </w:t>
            </w:r>
            <w:hyperlink w:history="0" r:id="rId208"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пунктом 22(1)</w:t>
              </w:r>
            </w:hyperlink>
            <w:r>
              <w:rPr>
                <w:sz w:val="20"/>
              </w:rPr>
              <w:t xml:space="preserve"> Правилами мониторинга цен, утвержденными постановлением Правительства Российской Федерации от 23 декабря 2016 N 1452</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pPr>
            <w:r>
              <w:rPr>
                <w:sz w:val="20"/>
              </w:rPr>
              <w:t xml:space="preserve">Наименование субъекта Российской Федерации</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pPr>
            <w:r>
              <w:rPr>
                <w:sz w:val="20"/>
              </w:rPr>
              <w:t xml:space="preserve">Наименование зоны субъекта Российской Федерации</w:t>
            </w:r>
          </w:p>
        </w:tc>
        <w:tc>
          <w:tcPr>
            <w:tcW w:w="3874" w:type="dxa"/>
            <w:tcBorders>
              <w:top w:val="single" w:sz="4"/>
              <w:left w:val="nil"/>
              <w:bottom w:val="single" w:sz="4"/>
              <w:right w:val="nil"/>
            </w:tcBorders>
          </w:tcPr>
          <w:p>
            <w:pPr>
              <w:pStyle w:val="0"/>
            </w:pPr>
            <w:r>
              <w:rPr>
                <w:sz w:val="20"/>
              </w:rPr>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(наименование стройки)</w:t>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(наименование объекта капитального строительства)</w:t>
            </w:r>
          </w:p>
        </w:tc>
      </w:tr>
      <w:tr>
        <w:tc>
          <w:tcPr>
            <w:gridSpan w:val="2"/>
            <w:tcW w:w="9071" w:type="dxa"/>
            <w:tcBorders>
              <w:top w:val="nil"/>
              <w:left w:val="nil"/>
              <w:bottom w:val="nil"/>
              <w:right w:val="nil"/>
            </w:tcBorders>
          </w:tcPr>
          <w:p>
            <w:pPr>
              <w:pStyle w:val="0"/>
              <w:jc w:val="center"/>
            </w:pPr>
            <w:r>
              <w:rPr>
                <w:sz w:val="20"/>
              </w:rPr>
              <w:t xml:space="preserve">ЛОКАЛЬНЫЙ СМЕТНЫЙ РАСЧЕТ (СМЕТА) N ____</w:t>
            </w:r>
          </w:p>
        </w:tc>
      </w:tr>
      <w:tr>
        <w:tc>
          <w:tcPr>
            <w:gridSpan w:val="2"/>
            <w:tcW w:w="9071" w:type="dxa"/>
            <w:tcBorders>
              <w:top w:val="nil"/>
              <w:left w:val="nil"/>
              <w:bottom w:val="single" w:sz="4"/>
              <w:right w:val="nil"/>
            </w:tcBorders>
          </w:tcPr>
          <w:p>
            <w:pPr>
              <w:pStyle w:val="0"/>
            </w:pPr>
            <w:r>
              <w:rPr>
                <w:sz w:val="20"/>
              </w:rPr>
            </w:r>
          </w:p>
        </w:tc>
      </w:tr>
      <w:tr>
        <w:tblPrEx>
          <w:tblBorders>
            <w:insideH w:val="single" w:sz="4"/>
          </w:tblBorders>
        </w:tblPrEx>
        <w:tc>
          <w:tcPr>
            <w:gridSpan w:val="2"/>
            <w:tcW w:w="9071" w:type="dxa"/>
            <w:tcBorders>
              <w:top w:val="single" w:sz="4"/>
              <w:left w:val="nil"/>
              <w:bottom w:val="nil"/>
              <w:right w:val="nil"/>
            </w:tcBorders>
          </w:tcPr>
          <w:p>
            <w:pPr>
              <w:pStyle w:val="0"/>
              <w:jc w:val="center"/>
            </w:pPr>
            <w:r>
              <w:rPr>
                <w:sz w:val="20"/>
              </w:rPr>
              <w:t xml:space="preserve">(наименование работ и затрат)</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378"/>
        <w:gridCol w:w="5083"/>
        <w:gridCol w:w="2618"/>
      </w:tblGrid>
      <w:tr>
        <w:tc>
          <w:tcPr>
            <w:tcW w:w="1378" w:type="dxa"/>
            <w:tcBorders>
              <w:top w:val="nil"/>
              <w:left w:val="nil"/>
              <w:bottom w:val="nil"/>
              <w:right w:val="nil"/>
            </w:tcBorders>
          </w:tcPr>
          <w:p>
            <w:pPr>
              <w:pStyle w:val="0"/>
            </w:pPr>
            <w:r>
              <w:rPr>
                <w:sz w:val="20"/>
              </w:rPr>
              <w:t xml:space="preserve">Составлен</w:t>
            </w:r>
          </w:p>
        </w:tc>
        <w:tc>
          <w:tcPr>
            <w:tcW w:w="5083" w:type="dxa"/>
            <w:tcBorders>
              <w:top w:val="nil"/>
              <w:left w:val="nil"/>
              <w:bottom w:val="single" w:sz="4"/>
              <w:right w:val="nil"/>
            </w:tcBorders>
          </w:tcPr>
          <w:p>
            <w:pPr>
              <w:pStyle w:val="0"/>
              <w:jc w:val="center"/>
            </w:pPr>
            <w:r>
              <w:rPr>
                <w:sz w:val="20"/>
              </w:rPr>
              <w:t xml:space="preserve">базисно-индексным</w:t>
            </w:r>
          </w:p>
        </w:tc>
        <w:tc>
          <w:tcPr>
            <w:tcW w:w="2618" w:type="dxa"/>
            <w:tcBorders>
              <w:top w:val="nil"/>
              <w:left w:val="nil"/>
              <w:bottom w:val="nil"/>
              <w:right w:val="nil"/>
            </w:tcBorders>
          </w:tcPr>
          <w:p>
            <w:pPr>
              <w:pStyle w:val="0"/>
            </w:pPr>
            <w:r>
              <w:rPr>
                <w:sz w:val="20"/>
              </w:rPr>
              <w:t xml:space="preserve">методом</w:t>
            </w:r>
          </w:p>
        </w:tc>
      </w:tr>
      <w:tr>
        <w:tc>
          <w:tcPr>
            <w:tcW w:w="1378" w:type="dxa"/>
            <w:tcBorders>
              <w:top w:val="nil"/>
              <w:left w:val="nil"/>
              <w:bottom w:val="nil"/>
              <w:right w:val="nil"/>
            </w:tcBorders>
          </w:tcPr>
          <w:p>
            <w:pPr>
              <w:pStyle w:val="0"/>
            </w:pPr>
            <w:r>
              <w:rPr>
                <w:sz w:val="20"/>
              </w:rPr>
              <w:t xml:space="preserve">Основание</w:t>
            </w:r>
          </w:p>
        </w:tc>
        <w:tc>
          <w:tcPr>
            <w:gridSpan w:val="2"/>
            <w:tcW w:w="7701" w:type="dxa"/>
            <w:tcBorders>
              <w:top w:val="nil"/>
              <w:left w:val="nil"/>
              <w:bottom w:val="single" w:sz="4"/>
              <w:right w:val="nil"/>
            </w:tcBorders>
          </w:tcPr>
          <w:p>
            <w:pPr>
              <w:pStyle w:val="0"/>
            </w:pPr>
            <w:r>
              <w:rPr>
                <w:sz w:val="20"/>
              </w:rPr>
            </w:r>
          </w:p>
        </w:tc>
      </w:tr>
      <w:tr>
        <w:tc>
          <w:tcPr>
            <w:tcW w:w="1378" w:type="dxa"/>
            <w:tcBorders>
              <w:top w:val="nil"/>
              <w:left w:val="nil"/>
              <w:bottom w:val="nil"/>
              <w:right w:val="nil"/>
            </w:tcBorders>
          </w:tcPr>
          <w:p>
            <w:pPr>
              <w:pStyle w:val="0"/>
            </w:pPr>
            <w:r>
              <w:rPr>
                <w:sz w:val="20"/>
              </w:rPr>
            </w:r>
          </w:p>
        </w:tc>
        <w:tc>
          <w:tcPr>
            <w:gridSpan w:val="2"/>
            <w:tcW w:w="7701" w:type="dxa"/>
            <w:tcBorders>
              <w:top w:val="single" w:sz="4"/>
              <w:left w:val="nil"/>
              <w:bottom w:val="nil"/>
              <w:right w:val="nil"/>
            </w:tcBorders>
          </w:tcPr>
          <w:p>
            <w:pPr>
              <w:pStyle w:val="0"/>
              <w:jc w:val="center"/>
            </w:pPr>
            <w:r>
              <w:rPr>
                <w:sz w:val="20"/>
              </w:rPr>
              <w:t xml:space="preserve">(проектная и (или) иная техническая документация)</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1417"/>
        <w:gridCol w:w="1133"/>
        <w:gridCol w:w="283"/>
        <w:gridCol w:w="340"/>
        <w:gridCol w:w="510"/>
        <w:gridCol w:w="340"/>
        <w:gridCol w:w="850"/>
        <w:gridCol w:w="340"/>
        <w:gridCol w:w="1190"/>
        <w:gridCol w:w="340"/>
        <w:gridCol w:w="2267"/>
        <w:gridCol w:w="1417"/>
        <w:gridCol w:w="340"/>
        <w:gridCol w:w="1417"/>
        <w:gridCol w:w="340"/>
        <w:gridCol w:w="1077"/>
      </w:tblGrid>
      <w:tr>
        <w:tc>
          <w:tcPr>
            <w:gridSpan w:val="4"/>
            <w:tcW w:w="3173" w:type="dxa"/>
            <w:vAlign w:val="bottom"/>
            <w:tcBorders>
              <w:top w:val="nil"/>
              <w:left w:val="nil"/>
              <w:bottom w:val="nil"/>
              <w:right w:val="nil"/>
            </w:tcBorders>
          </w:tcPr>
          <w:p>
            <w:pPr>
              <w:pStyle w:val="0"/>
            </w:pPr>
            <w:r>
              <w:rPr>
                <w:sz w:val="20"/>
              </w:rPr>
              <w:t xml:space="preserve">Составлен(а) в текущем (базисном) уровне цен</w:t>
            </w:r>
          </w:p>
        </w:tc>
        <w:tc>
          <w:tcPr>
            <w:gridSpan w:val="3"/>
            <w:tcW w:w="1700"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1190"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c>
          <w:tcPr>
            <w:tcW w:w="2267" w:type="dxa"/>
            <w:vAlign w:val="bottom"/>
            <w:tcBorders>
              <w:top w:val="nil"/>
              <w:left w:val="nil"/>
              <w:bottom w:val="nil"/>
              <w:right w:val="nil"/>
            </w:tcBorders>
          </w:tcPr>
          <w:p>
            <w:pPr>
              <w:pStyle w:val="0"/>
            </w:pPr>
            <w:r>
              <w:rPr>
                <w:sz w:val="20"/>
              </w:rPr>
            </w:r>
          </w:p>
        </w:tc>
        <w:tc>
          <w:tcPr>
            <w:tcW w:w="1417"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417"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tcW w:w="1417" w:type="dxa"/>
            <w:vAlign w:val="bottom"/>
            <w:tcBorders>
              <w:top w:val="nil"/>
              <w:left w:val="nil"/>
              <w:bottom w:val="nil"/>
              <w:right w:val="nil"/>
            </w:tcBorders>
          </w:tcPr>
          <w:p>
            <w:pPr>
              <w:pStyle w:val="0"/>
            </w:pPr>
            <w:r>
              <w:rPr>
                <w:sz w:val="20"/>
              </w:rPr>
              <w:t xml:space="preserve">Сметная стоимость</w:t>
            </w:r>
          </w:p>
        </w:tc>
        <w:tc>
          <w:tcPr>
            <w:gridSpan w:val="2"/>
            <w:tcW w:w="1416"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gridSpan w:val="3"/>
            <w:tcW w:w="1700"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jc w:val="both"/>
            </w:pPr>
            <w:r>
              <w:rPr>
                <w:sz w:val="20"/>
              </w:rPr>
              <w:t xml:space="preserve">)</w:t>
            </w:r>
          </w:p>
        </w:tc>
        <w:tc>
          <w:tcPr>
            <w:tcW w:w="1190" w:type="dxa"/>
            <w:vAlign w:val="bottom"/>
            <w:tcBorders>
              <w:top w:val="single" w:sz="4"/>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7" w:type="dxa"/>
            <w:vAlign w:val="bottom"/>
            <w:tcBorders>
              <w:top w:val="nil"/>
              <w:left w:val="nil"/>
              <w:bottom w:val="nil"/>
              <w:right w:val="nil"/>
            </w:tcBorders>
          </w:tcPr>
          <w:p>
            <w:pPr>
              <w:pStyle w:val="0"/>
              <w:jc w:val="both"/>
            </w:pPr>
            <w:r>
              <w:rPr>
                <w:sz w:val="20"/>
              </w:rPr>
              <w:t xml:space="preserve">Средства на оплату труда рабочих</w:t>
            </w:r>
          </w:p>
        </w:tc>
        <w:tc>
          <w:tcPr>
            <w:tcW w:w="1417"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1417"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c>
          <w:tcPr>
            <w:tcW w:w="1077" w:type="dxa"/>
            <w:vAlign w:val="bottom"/>
            <w:tcBorders>
              <w:top w:val="nil"/>
              <w:left w:val="nil"/>
              <w:bottom w:val="nil"/>
              <w:right w:val="nil"/>
            </w:tcBorders>
          </w:tcPr>
          <w:p>
            <w:pPr>
              <w:pStyle w:val="0"/>
            </w:pPr>
            <w:r>
              <w:rPr>
                <w:sz w:val="20"/>
              </w:rPr>
              <w:t xml:space="preserve">тыс. руб.</w:t>
            </w:r>
          </w:p>
        </w:tc>
      </w:tr>
      <w:tr>
        <w:tc>
          <w:tcPr>
            <w:gridSpan w:val="5"/>
            <w:tcW w:w="3683" w:type="dxa"/>
            <w:vAlign w:val="bottom"/>
            <w:tcBorders>
              <w:top w:val="nil"/>
              <w:left w:val="nil"/>
              <w:bottom w:val="nil"/>
              <w:right w:val="nil"/>
            </w:tcBorders>
          </w:tcPr>
          <w:p>
            <w:pPr>
              <w:pStyle w:val="0"/>
              <w:ind w:left="566"/>
            </w:pPr>
            <w:r>
              <w:rPr>
                <w:sz w:val="20"/>
              </w:rPr>
              <w:t xml:space="preserve">в том числе:</w:t>
            </w:r>
          </w:p>
        </w:tc>
        <w:tc>
          <w:tcPr>
            <w:tcW w:w="34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190" w:type="dxa"/>
            <w:tcBorders>
              <w:top w:val="nil"/>
              <w:left w:val="nil"/>
              <w:bottom w:val="nil"/>
              <w:right w:val="nil"/>
            </w:tcBorders>
          </w:tcPr>
          <w:p>
            <w:pPr>
              <w:pStyle w:val="0"/>
            </w:pPr>
            <w:r>
              <w:rPr>
                <w:sz w:val="20"/>
              </w:rPr>
            </w:r>
          </w:p>
        </w:tc>
        <w:tc>
          <w:tcPr>
            <w:gridSpan w:val="7"/>
            <w:tcW w:w="7198" w:type="dxa"/>
            <w:tcBorders>
              <w:top w:val="nil"/>
              <w:left w:val="nil"/>
              <w:bottom w:val="nil"/>
              <w:right w:val="nil"/>
            </w:tcBorders>
          </w:tcPr>
          <w:p>
            <w:pPr>
              <w:pStyle w:val="0"/>
            </w:pPr>
            <w:r>
              <w:rPr>
                <w:sz w:val="20"/>
              </w:rPr>
            </w:r>
          </w:p>
        </w:tc>
      </w:tr>
      <w:tr>
        <w:tc>
          <w:tcPr>
            <w:gridSpan w:val="2"/>
            <w:tcW w:w="2550" w:type="dxa"/>
            <w:vAlign w:val="bottom"/>
            <w:tcBorders>
              <w:top w:val="nil"/>
              <w:left w:val="nil"/>
              <w:bottom w:val="nil"/>
              <w:right w:val="nil"/>
            </w:tcBorders>
          </w:tcPr>
          <w:p>
            <w:pPr>
              <w:pStyle w:val="0"/>
              <w:ind w:left="566"/>
            </w:pPr>
            <w:r>
              <w:rPr>
                <w:sz w:val="20"/>
              </w:rPr>
              <w:t xml:space="preserve">в том числе: ремонтно-реставрационных работ</w:t>
            </w:r>
          </w:p>
        </w:tc>
        <w:tc>
          <w:tcPr>
            <w:gridSpan w:val="3"/>
            <w:tcW w:w="1133"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850"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c>
          <w:tcPr>
            <w:tcW w:w="1190" w:type="dxa"/>
            <w:vAlign w:val="bottom"/>
            <w:tcBorders>
              <w:top w:val="nil"/>
              <w:left w:val="nil"/>
              <w:bottom w:val="nil"/>
              <w:right w:val="nil"/>
            </w:tcBorders>
          </w:tcPr>
          <w:p>
            <w:pPr>
              <w:pStyle w:val="0"/>
              <w:jc w:val="both"/>
            </w:pPr>
            <w:r>
              <w:rPr>
                <w:sz w:val="20"/>
              </w:rPr>
              <w:t xml:space="preserve">тыс. руб.</w:t>
            </w:r>
          </w:p>
        </w:tc>
        <w:tc>
          <w:tcPr>
            <w:gridSpan w:val="7"/>
            <w:tcW w:w="7198" w:type="dxa"/>
            <w:tcBorders>
              <w:top w:val="nil"/>
              <w:left w:val="nil"/>
              <w:bottom w:val="nil"/>
              <w:right w:val="nil"/>
            </w:tcBorders>
          </w:tcPr>
          <w:p>
            <w:pPr>
              <w:pStyle w:val="0"/>
            </w:pPr>
            <w:r>
              <w:rPr>
                <w:sz w:val="20"/>
              </w:rPr>
            </w:r>
          </w:p>
        </w:tc>
      </w:tr>
      <w:tr>
        <w:tc>
          <w:tcPr>
            <w:gridSpan w:val="2"/>
            <w:tcW w:w="2550" w:type="dxa"/>
            <w:vAlign w:val="bottom"/>
            <w:tcBorders>
              <w:top w:val="nil"/>
              <w:left w:val="nil"/>
              <w:bottom w:val="nil"/>
              <w:right w:val="nil"/>
            </w:tcBorders>
          </w:tcPr>
          <w:p>
            <w:pPr>
              <w:pStyle w:val="0"/>
              <w:ind w:left="566"/>
            </w:pPr>
            <w:r>
              <w:rPr>
                <w:sz w:val="20"/>
              </w:rPr>
              <w:t xml:space="preserve">прочих затрат</w:t>
            </w:r>
          </w:p>
        </w:tc>
        <w:tc>
          <w:tcPr>
            <w:gridSpan w:val="3"/>
            <w:tcW w:w="1133"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jc w:val="right"/>
            </w:pPr>
            <w:r>
              <w:rPr>
                <w:sz w:val="20"/>
              </w:rPr>
              <w:t xml:space="preserve">(</w:t>
            </w:r>
          </w:p>
        </w:tc>
        <w:tc>
          <w:tcPr>
            <w:tcW w:w="850"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t xml:space="preserve">)</w:t>
            </w:r>
          </w:p>
        </w:tc>
        <w:tc>
          <w:tcPr>
            <w:tcW w:w="1190" w:type="dxa"/>
            <w:vAlign w:val="bottom"/>
            <w:tcBorders>
              <w:top w:val="nil"/>
              <w:left w:val="nil"/>
              <w:bottom w:val="nil"/>
              <w:right w:val="nil"/>
            </w:tcBorders>
          </w:tcPr>
          <w:p>
            <w:pPr>
              <w:pStyle w:val="0"/>
              <w:jc w:val="both"/>
            </w:pPr>
            <w:r>
              <w:rPr>
                <w:sz w:val="20"/>
              </w:rPr>
              <w:t xml:space="preserve">тыс. руб.</w:t>
            </w:r>
          </w:p>
        </w:tc>
        <w:tc>
          <w:tcPr>
            <w:gridSpan w:val="7"/>
            <w:tcW w:w="7198"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1020"/>
        <w:gridCol w:w="1417"/>
        <w:gridCol w:w="3118"/>
        <w:gridCol w:w="1247"/>
        <w:gridCol w:w="680"/>
        <w:gridCol w:w="1247"/>
        <w:gridCol w:w="994"/>
        <w:gridCol w:w="680"/>
        <w:gridCol w:w="1128"/>
        <w:gridCol w:w="680"/>
        <w:gridCol w:w="821"/>
        <w:gridCol w:w="964"/>
      </w:tblGrid>
      <w:tr>
        <w:tblPrEx>
          <w:tblBorders>
            <w:left w:val="single" w:sz="4"/>
            <w:right w:val="single" w:sz="4"/>
            <w:insideV w:val="single" w:sz="4"/>
            <w:insideH w:val="single" w:sz="4"/>
          </w:tblBorders>
        </w:tblPrEx>
        <w:tc>
          <w:tcPr>
            <w:tcW w:w="1020" w:type="dxa"/>
            <w:tcBorders>
              <w:top w:val="single" w:sz="4"/>
              <w:bottom w:val="single" w:sz="4"/>
            </w:tcBorders>
            <w:vMerge w:val="restart"/>
          </w:tcPr>
          <w:p>
            <w:pPr>
              <w:pStyle w:val="0"/>
              <w:jc w:val="center"/>
            </w:pPr>
            <w:r>
              <w:rPr>
                <w:sz w:val="20"/>
              </w:rPr>
              <w:t xml:space="preserve">N п/п</w:t>
            </w:r>
          </w:p>
        </w:tc>
        <w:tc>
          <w:tcPr>
            <w:tcW w:w="1417" w:type="dxa"/>
            <w:tcBorders>
              <w:top w:val="single" w:sz="4"/>
              <w:bottom w:val="single" w:sz="4"/>
            </w:tcBorders>
            <w:vMerge w:val="restart"/>
          </w:tcPr>
          <w:p>
            <w:pPr>
              <w:pStyle w:val="0"/>
              <w:jc w:val="center"/>
            </w:pPr>
            <w:r>
              <w:rPr>
                <w:sz w:val="20"/>
              </w:rPr>
              <w:t xml:space="preserve">Обоснование</w:t>
            </w:r>
          </w:p>
        </w:tc>
        <w:tc>
          <w:tcPr>
            <w:tcW w:w="3118" w:type="dxa"/>
            <w:tcBorders>
              <w:top w:val="single" w:sz="4"/>
              <w:bottom w:val="single" w:sz="4"/>
            </w:tcBorders>
            <w:vMerge w:val="restart"/>
          </w:tcPr>
          <w:p>
            <w:pPr>
              <w:pStyle w:val="0"/>
              <w:jc w:val="center"/>
            </w:pPr>
            <w:r>
              <w:rPr>
                <w:sz w:val="20"/>
              </w:rPr>
              <w:t xml:space="preserve">Наименование работ и затрат</w:t>
            </w:r>
          </w:p>
        </w:tc>
        <w:tc>
          <w:tcPr>
            <w:tcW w:w="1247" w:type="dxa"/>
            <w:tcBorders>
              <w:top w:val="single" w:sz="4"/>
              <w:bottom w:val="single" w:sz="4"/>
            </w:tcBorders>
            <w:vMerge w:val="restart"/>
          </w:tcPr>
          <w:p>
            <w:pPr>
              <w:pStyle w:val="0"/>
              <w:jc w:val="center"/>
            </w:pPr>
            <w:r>
              <w:rPr>
                <w:sz w:val="20"/>
              </w:rPr>
              <w:t xml:space="preserve">Единица измерения</w:t>
            </w:r>
          </w:p>
        </w:tc>
        <w:tc>
          <w:tcPr>
            <w:gridSpan w:val="3"/>
            <w:tcW w:w="2921" w:type="dxa"/>
            <w:tcBorders>
              <w:top w:val="single" w:sz="4"/>
              <w:bottom w:val="single" w:sz="4"/>
            </w:tcBorders>
          </w:tcPr>
          <w:p>
            <w:pPr>
              <w:pStyle w:val="0"/>
              <w:jc w:val="center"/>
            </w:pPr>
            <w:r>
              <w:rPr>
                <w:sz w:val="20"/>
              </w:rPr>
              <w:t xml:space="preserve">Количество</w:t>
            </w:r>
          </w:p>
        </w:tc>
        <w:tc>
          <w:tcPr>
            <w:gridSpan w:val="3"/>
            <w:tcW w:w="2488" w:type="dxa"/>
            <w:tcBorders>
              <w:top w:val="single" w:sz="4"/>
              <w:bottom w:val="single" w:sz="4"/>
            </w:tcBorders>
          </w:tcPr>
          <w:p>
            <w:pPr>
              <w:pStyle w:val="0"/>
              <w:jc w:val="center"/>
            </w:pPr>
            <w:r>
              <w:rPr>
                <w:sz w:val="20"/>
              </w:rPr>
              <w:t xml:space="preserve">Сметная стоимость в базисном уровне цен (в текущем уровне цен (гр. 8) для ресурсов отсутствующих в ФРСН), руб.</w:t>
            </w:r>
          </w:p>
        </w:tc>
        <w:tc>
          <w:tcPr>
            <w:tcW w:w="821" w:type="dxa"/>
            <w:tcBorders>
              <w:top w:val="single" w:sz="4"/>
              <w:bottom w:val="single" w:sz="4"/>
            </w:tcBorders>
            <w:vMerge w:val="restart"/>
          </w:tcPr>
          <w:p>
            <w:pPr>
              <w:pStyle w:val="0"/>
              <w:jc w:val="center"/>
            </w:pPr>
            <w:r>
              <w:rPr>
                <w:sz w:val="20"/>
              </w:rPr>
              <w:t xml:space="preserve">Индексы</w:t>
            </w:r>
          </w:p>
        </w:tc>
        <w:tc>
          <w:tcPr>
            <w:tcW w:w="964" w:type="dxa"/>
            <w:tcBorders>
              <w:top w:val="single" w:sz="4"/>
              <w:bottom w:val="single" w:sz="4"/>
            </w:tcBorders>
            <w:vMerge w:val="restart"/>
          </w:tcPr>
          <w:p>
            <w:pPr>
              <w:pStyle w:val="0"/>
              <w:jc w:val="center"/>
            </w:pPr>
            <w:r>
              <w:rPr>
                <w:sz w:val="20"/>
              </w:rPr>
              <w:t xml:space="preserve">Сметная стоимость в текущем уровне цен, руб.</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680" w:type="dxa"/>
            <w:tcBorders>
              <w:top w:val="single" w:sz="4"/>
              <w:bottom w:val="single" w:sz="4"/>
            </w:tcBorders>
          </w:tcPr>
          <w:p>
            <w:pPr>
              <w:pStyle w:val="0"/>
              <w:jc w:val="center"/>
            </w:pPr>
            <w:r>
              <w:rPr>
                <w:sz w:val="20"/>
              </w:rPr>
              <w:t xml:space="preserve">на единицу измерения</w:t>
            </w:r>
          </w:p>
        </w:tc>
        <w:tc>
          <w:tcPr>
            <w:tcW w:w="1247" w:type="dxa"/>
            <w:tcBorders>
              <w:top w:val="single" w:sz="4"/>
              <w:bottom w:val="single" w:sz="4"/>
            </w:tcBorders>
          </w:tcPr>
          <w:p>
            <w:pPr>
              <w:pStyle w:val="0"/>
              <w:jc w:val="center"/>
            </w:pPr>
            <w:r>
              <w:rPr>
                <w:sz w:val="20"/>
              </w:rPr>
              <w:t xml:space="preserve">коэффициенты</w:t>
            </w:r>
          </w:p>
        </w:tc>
        <w:tc>
          <w:tcPr>
            <w:tcW w:w="994" w:type="dxa"/>
            <w:tcBorders>
              <w:top w:val="single" w:sz="4"/>
              <w:bottom w:val="single" w:sz="4"/>
            </w:tcBorders>
          </w:tcPr>
          <w:p>
            <w:pPr>
              <w:pStyle w:val="0"/>
              <w:jc w:val="center"/>
            </w:pPr>
            <w:r>
              <w:rPr>
                <w:sz w:val="20"/>
              </w:rPr>
              <w:t xml:space="preserve">всего с учетом коэффициентов</w:t>
            </w:r>
          </w:p>
        </w:tc>
        <w:tc>
          <w:tcPr>
            <w:tcW w:w="680" w:type="dxa"/>
            <w:tcBorders>
              <w:top w:val="single" w:sz="4"/>
              <w:bottom w:val="single" w:sz="4"/>
            </w:tcBorders>
          </w:tcPr>
          <w:p>
            <w:pPr>
              <w:pStyle w:val="0"/>
              <w:jc w:val="center"/>
            </w:pPr>
            <w:r>
              <w:rPr>
                <w:sz w:val="20"/>
              </w:rPr>
              <w:t xml:space="preserve">на единицу измерения</w:t>
            </w:r>
          </w:p>
        </w:tc>
        <w:tc>
          <w:tcPr>
            <w:tcW w:w="1128" w:type="dxa"/>
            <w:tcBorders>
              <w:top w:val="single" w:sz="4"/>
              <w:bottom w:val="single" w:sz="4"/>
            </w:tcBorders>
          </w:tcPr>
          <w:p>
            <w:pPr>
              <w:pStyle w:val="0"/>
              <w:jc w:val="center"/>
            </w:pPr>
            <w:r>
              <w:rPr>
                <w:sz w:val="20"/>
              </w:rPr>
              <w:t xml:space="preserve">коэффициенты</w:t>
            </w:r>
          </w:p>
        </w:tc>
        <w:tc>
          <w:tcPr>
            <w:tcW w:w="680" w:type="dxa"/>
            <w:tcBorders>
              <w:top w:val="single" w:sz="4"/>
              <w:bottom w:val="single" w:sz="4"/>
            </w:tcBorders>
          </w:tcPr>
          <w:p>
            <w:pPr>
              <w:pStyle w:val="0"/>
              <w:jc w:val="center"/>
            </w:pPr>
            <w:r>
              <w:rPr>
                <w:sz w:val="20"/>
              </w:rPr>
              <w:t xml:space="preserve">всего</w:t>
            </w:r>
          </w:p>
        </w:tc>
        <w:tc>
          <w:tcPr>
            <w:tcBorders>
              <w:top w:val="single" w:sz="4"/>
              <w:bottom w:val="single" w:sz="4"/>
            </w:tcBorders>
            <w:vMerge w:val="continue"/>
          </w:tcPr>
          <w:p/>
        </w:tc>
        <w:tc>
          <w:tcPr>
            <w:tcBorders>
              <w:top w:val="single" w:sz="4"/>
              <w:bottom w:val="single" w:sz="4"/>
            </w:tcBorders>
            <w:vMerge w:val="continue"/>
          </w:tcPr>
          <w:p/>
        </w:tc>
      </w:tr>
      <w:tr>
        <w:tblPrEx>
          <w:tblBorders>
            <w:left w:val="single" w:sz="4"/>
            <w:right w:val="single" w:sz="4"/>
            <w:insideV w:val="single" w:sz="4"/>
            <w:insideH w:val="single" w:sz="4"/>
          </w:tblBorders>
        </w:tblPrEx>
        <w:tc>
          <w:tcPr>
            <w:tcW w:w="1020" w:type="dxa"/>
            <w:tcBorders>
              <w:top w:val="single" w:sz="4"/>
              <w:bottom w:val="single" w:sz="4"/>
            </w:tcBorders>
          </w:tcPr>
          <w:p>
            <w:pPr>
              <w:pStyle w:val="0"/>
              <w:jc w:val="center"/>
            </w:pPr>
            <w:r>
              <w:rPr>
                <w:sz w:val="20"/>
              </w:rPr>
              <w:t xml:space="preserve">1</w:t>
            </w:r>
          </w:p>
        </w:tc>
        <w:tc>
          <w:tcPr>
            <w:tcW w:w="1417" w:type="dxa"/>
            <w:tcBorders>
              <w:top w:val="single" w:sz="4"/>
              <w:bottom w:val="single" w:sz="4"/>
            </w:tcBorders>
          </w:tcPr>
          <w:p>
            <w:pPr>
              <w:pStyle w:val="0"/>
              <w:jc w:val="center"/>
            </w:pPr>
            <w:r>
              <w:rPr>
                <w:sz w:val="20"/>
              </w:rPr>
              <w:t xml:space="preserve">2</w:t>
            </w:r>
          </w:p>
        </w:tc>
        <w:tc>
          <w:tcPr>
            <w:tcW w:w="3118" w:type="dxa"/>
            <w:tcBorders>
              <w:top w:val="single" w:sz="4"/>
              <w:bottom w:val="single" w:sz="4"/>
            </w:tcBorders>
          </w:tcPr>
          <w:p>
            <w:pPr>
              <w:pStyle w:val="0"/>
              <w:jc w:val="center"/>
            </w:pPr>
            <w:r>
              <w:rPr>
                <w:sz w:val="20"/>
              </w:rPr>
              <w:t xml:space="preserve">3</w:t>
            </w:r>
          </w:p>
        </w:tc>
        <w:tc>
          <w:tcPr>
            <w:tcW w:w="1247" w:type="dxa"/>
            <w:tcBorders>
              <w:top w:val="single" w:sz="4"/>
              <w:bottom w:val="single" w:sz="4"/>
            </w:tcBorders>
          </w:tcPr>
          <w:p>
            <w:pPr>
              <w:pStyle w:val="0"/>
              <w:jc w:val="center"/>
            </w:pPr>
            <w:r>
              <w:rPr>
                <w:sz w:val="20"/>
              </w:rPr>
              <w:t xml:space="preserve">4</w:t>
            </w:r>
          </w:p>
        </w:tc>
        <w:tc>
          <w:tcPr>
            <w:tcW w:w="680" w:type="dxa"/>
            <w:tcBorders>
              <w:top w:val="single" w:sz="4"/>
              <w:bottom w:val="single" w:sz="4"/>
            </w:tcBorders>
          </w:tcPr>
          <w:p>
            <w:pPr>
              <w:pStyle w:val="0"/>
              <w:jc w:val="center"/>
            </w:pPr>
            <w:r>
              <w:rPr>
                <w:sz w:val="20"/>
              </w:rPr>
              <w:t xml:space="preserve">5</w:t>
            </w:r>
          </w:p>
        </w:tc>
        <w:tc>
          <w:tcPr>
            <w:tcW w:w="1247" w:type="dxa"/>
            <w:tcBorders>
              <w:top w:val="single" w:sz="4"/>
              <w:bottom w:val="single" w:sz="4"/>
            </w:tcBorders>
          </w:tcPr>
          <w:p>
            <w:pPr>
              <w:pStyle w:val="0"/>
              <w:jc w:val="center"/>
            </w:pPr>
            <w:r>
              <w:rPr>
                <w:sz w:val="20"/>
              </w:rPr>
              <w:t xml:space="preserve">6</w:t>
            </w:r>
          </w:p>
        </w:tc>
        <w:tc>
          <w:tcPr>
            <w:tcW w:w="994" w:type="dxa"/>
            <w:tcBorders>
              <w:top w:val="single" w:sz="4"/>
              <w:bottom w:val="single" w:sz="4"/>
            </w:tcBorders>
          </w:tcPr>
          <w:p>
            <w:pPr>
              <w:pStyle w:val="0"/>
              <w:jc w:val="center"/>
            </w:pPr>
            <w:r>
              <w:rPr>
                <w:sz w:val="20"/>
              </w:rPr>
              <w:t xml:space="preserve">7</w:t>
            </w:r>
          </w:p>
        </w:tc>
        <w:tc>
          <w:tcPr>
            <w:tcW w:w="680" w:type="dxa"/>
            <w:tcBorders>
              <w:top w:val="single" w:sz="4"/>
              <w:bottom w:val="single" w:sz="4"/>
            </w:tcBorders>
          </w:tcPr>
          <w:p>
            <w:pPr>
              <w:pStyle w:val="0"/>
              <w:jc w:val="center"/>
            </w:pPr>
            <w:r>
              <w:rPr>
                <w:sz w:val="20"/>
              </w:rPr>
              <w:t xml:space="preserve">8</w:t>
            </w:r>
          </w:p>
        </w:tc>
        <w:tc>
          <w:tcPr>
            <w:tcW w:w="1128" w:type="dxa"/>
            <w:tcBorders>
              <w:top w:val="single" w:sz="4"/>
              <w:bottom w:val="single" w:sz="4"/>
            </w:tcBorders>
          </w:tcPr>
          <w:p>
            <w:pPr>
              <w:pStyle w:val="0"/>
              <w:jc w:val="center"/>
            </w:pPr>
            <w:r>
              <w:rPr>
                <w:sz w:val="20"/>
              </w:rPr>
              <w:t xml:space="preserve">9</w:t>
            </w:r>
          </w:p>
        </w:tc>
        <w:tc>
          <w:tcPr>
            <w:tcW w:w="680" w:type="dxa"/>
            <w:tcBorders>
              <w:top w:val="single" w:sz="4"/>
              <w:bottom w:val="single" w:sz="4"/>
            </w:tcBorders>
          </w:tcPr>
          <w:bookmarkStart w:id="4370" w:name="P4370"/>
          <w:bookmarkEnd w:id="4370"/>
          <w:p>
            <w:pPr>
              <w:pStyle w:val="0"/>
              <w:jc w:val="center"/>
            </w:pPr>
            <w:r>
              <w:rPr>
                <w:sz w:val="20"/>
              </w:rPr>
              <w:t xml:space="preserve">10</w:t>
            </w:r>
          </w:p>
        </w:tc>
        <w:tc>
          <w:tcPr>
            <w:tcW w:w="821" w:type="dxa"/>
            <w:tcBorders>
              <w:top w:val="single" w:sz="4"/>
              <w:bottom w:val="single" w:sz="4"/>
            </w:tcBorders>
          </w:tcPr>
          <w:bookmarkStart w:id="4371" w:name="P4371"/>
          <w:bookmarkEnd w:id="4371"/>
          <w:p>
            <w:pPr>
              <w:pStyle w:val="0"/>
              <w:jc w:val="center"/>
            </w:pPr>
            <w:r>
              <w:rPr>
                <w:sz w:val="20"/>
              </w:rPr>
              <w:t xml:space="preserve">11</w:t>
            </w:r>
          </w:p>
        </w:tc>
        <w:tc>
          <w:tcPr>
            <w:tcW w:w="964" w:type="dxa"/>
            <w:tcBorders>
              <w:top w:val="single" w:sz="4"/>
              <w:bottom w:val="single" w:sz="4"/>
            </w:tcBorders>
          </w:tcPr>
          <w:bookmarkStart w:id="4372" w:name="P4372"/>
          <w:bookmarkEnd w:id="4372"/>
          <w:p>
            <w:pPr>
              <w:pStyle w:val="0"/>
              <w:jc w:val="center"/>
            </w:pPr>
            <w:r>
              <w:rPr>
                <w:sz w:val="20"/>
              </w:rPr>
              <w:t xml:space="preserve">12</w:t>
            </w:r>
          </w:p>
        </w:tc>
      </w:tr>
      <w:tr>
        <w:tblPrEx>
          <w:tblBorders>
            <w:left w:val="single" w:sz="4"/>
            <w:right w:val="single" w:sz="4"/>
            <w:insideH w:val="single" w:sz="4"/>
          </w:tblBorders>
        </w:tblPrEx>
        <w:tc>
          <w:tcPr>
            <w:gridSpan w:val="12"/>
            <w:tcW w:w="13996" w:type="dxa"/>
            <w:tcBorders>
              <w:top w:val="single" w:sz="4"/>
              <w:left w:val="single" w:sz="4"/>
              <w:bottom w:val="single" w:sz="4"/>
              <w:right w:val="single" w:sz="4"/>
            </w:tcBorders>
          </w:tcPr>
          <w:p>
            <w:pPr>
              <w:pStyle w:val="0"/>
            </w:pPr>
            <w:r>
              <w:rPr>
                <w:sz w:val="20"/>
              </w:rPr>
              <w:t xml:space="preserve">Раздел X. &lt;Наименование раздела&gt;</w:t>
            </w:r>
          </w:p>
        </w:tc>
      </w:tr>
      <w:tr>
        <w:tc>
          <w:tcPr>
            <w:tcW w:w="1020" w:type="dxa"/>
            <w:tcBorders>
              <w:top w:val="single" w:sz="4"/>
              <w:left w:val="nil"/>
              <w:bottom w:val="nil"/>
              <w:right w:val="nil"/>
            </w:tcBorders>
          </w:tcPr>
          <w:p>
            <w:pPr>
              <w:pStyle w:val="0"/>
              <w:jc w:val="center"/>
            </w:pPr>
            <w:r>
              <w:rPr>
                <w:sz w:val="20"/>
              </w:rPr>
              <w:t xml:space="preserve">&lt;пункт&gt;</w:t>
            </w:r>
          </w:p>
        </w:tc>
        <w:tc>
          <w:tcPr>
            <w:tcW w:w="1417" w:type="dxa"/>
            <w:tcBorders>
              <w:top w:val="single" w:sz="4"/>
              <w:left w:val="nil"/>
              <w:bottom w:val="nil"/>
              <w:right w:val="nil"/>
            </w:tcBorders>
          </w:tcPr>
          <w:p>
            <w:pPr>
              <w:pStyle w:val="0"/>
              <w:jc w:val="center"/>
            </w:pPr>
            <w:r>
              <w:rPr>
                <w:sz w:val="20"/>
              </w:rPr>
              <w:t xml:space="preserve">&lt;шифр расценки&gt;</w:t>
            </w:r>
          </w:p>
        </w:tc>
        <w:tc>
          <w:tcPr>
            <w:tcW w:w="3118" w:type="dxa"/>
            <w:tcBorders>
              <w:top w:val="single" w:sz="4"/>
              <w:left w:val="nil"/>
              <w:bottom w:val="nil"/>
              <w:right w:val="nil"/>
            </w:tcBorders>
          </w:tcPr>
          <w:p>
            <w:pPr>
              <w:pStyle w:val="0"/>
            </w:pPr>
            <w:r>
              <w:rPr>
                <w:sz w:val="20"/>
              </w:rPr>
              <w:t xml:space="preserve">&lt;Наименование расценки&gt;</w:t>
            </w:r>
          </w:p>
        </w:tc>
        <w:tc>
          <w:tcPr>
            <w:tcW w:w="1247" w:type="dxa"/>
            <w:tcBorders>
              <w:top w:val="single" w:sz="4"/>
              <w:left w:val="nil"/>
              <w:bottom w:val="nil"/>
              <w:right w:val="nil"/>
            </w:tcBorders>
          </w:tcPr>
          <w:p>
            <w:pPr>
              <w:pStyle w:val="0"/>
              <w:jc w:val="center"/>
            </w:pPr>
            <w:r>
              <w:rPr>
                <w:sz w:val="20"/>
              </w:rPr>
              <w:t xml:space="preserve">&lt;единица измерения расценки&gt;</w:t>
            </w:r>
          </w:p>
        </w:tc>
        <w:tc>
          <w:tcPr>
            <w:tcW w:w="680" w:type="dxa"/>
            <w:tcBorders>
              <w:top w:val="single" w:sz="4"/>
              <w:left w:val="nil"/>
              <w:bottom w:val="nil"/>
              <w:right w:val="nil"/>
            </w:tcBorders>
          </w:tcPr>
          <w:p>
            <w:pPr>
              <w:pStyle w:val="0"/>
              <w:jc w:val="center"/>
            </w:pPr>
            <w:r>
              <w:rPr>
                <w:sz w:val="20"/>
              </w:rPr>
              <w:t xml:space="preserve">&lt;X&gt;</w:t>
            </w:r>
          </w:p>
        </w:tc>
        <w:tc>
          <w:tcPr>
            <w:tcW w:w="1247" w:type="dxa"/>
            <w:tcBorders>
              <w:top w:val="single" w:sz="4"/>
              <w:left w:val="nil"/>
              <w:bottom w:val="nil"/>
              <w:right w:val="nil"/>
            </w:tcBorders>
          </w:tcPr>
          <w:p>
            <w:pPr>
              <w:pStyle w:val="0"/>
              <w:jc w:val="center"/>
            </w:pPr>
            <w:r>
              <w:rPr>
                <w:sz w:val="20"/>
              </w:rPr>
              <w:t xml:space="preserve">&lt;результирующий коэффициент&gt;</w:t>
            </w:r>
          </w:p>
        </w:tc>
        <w:tc>
          <w:tcPr>
            <w:tcW w:w="994" w:type="dxa"/>
            <w:tcBorders>
              <w:top w:val="single" w:sz="4"/>
              <w:left w:val="nil"/>
              <w:bottom w:val="nil"/>
              <w:right w:val="nil"/>
            </w:tcBorders>
          </w:tcPr>
          <w:p>
            <w:pPr>
              <w:pStyle w:val="0"/>
              <w:jc w:val="center"/>
            </w:pPr>
            <w:r>
              <w:rPr>
                <w:sz w:val="20"/>
              </w:rPr>
              <w:t xml:space="preserve">&lt;X&gt;</w:t>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1</w:t>
            </w:r>
          </w:p>
        </w:tc>
        <w:tc>
          <w:tcPr>
            <w:tcW w:w="3118" w:type="dxa"/>
            <w:tcBorders>
              <w:top w:val="nil"/>
              <w:left w:val="nil"/>
              <w:bottom w:val="nil"/>
              <w:right w:val="nil"/>
            </w:tcBorders>
          </w:tcPr>
          <w:bookmarkStart w:id="4412" w:name="P4412"/>
          <w:bookmarkEnd w:id="4412"/>
          <w:p>
            <w:pPr>
              <w:pStyle w:val="0"/>
            </w:pPr>
            <w:r>
              <w:rPr>
                <w:sz w:val="20"/>
              </w:rPr>
              <w:t xml:space="preserve">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2</w:t>
            </w:r>
          </w:p>
        </w:tc>
        <w:tc>
          <w:tcPr>
            <w:tcW w:w="3118" w:type="dxa"/>
            <w:tcBorders>
              <w:top w:val="nil"/>
              <w:left w:val="nil"/>
              <w:bottom w:val="nil"/>
              <w:right w:val="nil"/>
            </w:tcBorders>
          </w:tcPr>
          <w:bookmarkStart w:id="4424" w:name="P4424"/>
          <w:bookmarkEnd w:id="4424"/>
          <w:p>
            <w:pPr>
              <w:pStyle w:val="0"/>
            </w:pPr>
            <w:r>
              <w:rPr>
                <w:sz w:val="20"/>
              </w:rPr>
              <w:t xml:space="preserve">ЭМ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3</w:t>
            </w:r>
          </w:p>
        </w:tc>
        <w:tc>
          <w:tcPr>
            <w:tcW w:w="3118" w:type="dxa"/>
            <w:tcBorders>
              <w:top w:val="nil"/>
              <w:left w:val="nil"/>
              <w:bottom w:val="nil"/>
              <w:right w:val="nil"/>
            </w:tcBorders>
          </w:tcPr>
          <w:p>
            <w:pPr>
              <w:pStyle w:val="0"/>
            </w:pPr>
            <w:r>
              <w:rPr>
                <w:sz w:val="20"/>
              </w:rPr>
              <w:t xml:space="preserve">в т.ч. ОТм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&lt;индекс&gt;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right"/>
            </w:pPr>
            <w:r>
              <w:rPr>
                <w:sz w:val="20"/>
              </w:rPr>
              <w:t xml:space="preserve">4</w:t>
            </w:r>
          </w:p>
        </w:tc>
        <w:tc>
          <w:tcPr>
            <w:tcW w:w="3118" w:type="dxa"/>
            <w:tcBorders>
              <w:top w:val="nil"/>
              <w:left w:val="nil"/>
              <w:bottom w:val="single" w:sz="4"/>
              <w:right w:val="nil"/>
            </w:tcBorders>
          </w:tcPr>
          <w:bookmarkStart w:id="4448" w:name="P4448"/>
          <w:bookmarkEnd w:id="4448"/>
          <w:p>
            <w:pPr>
              <w:pStyle w:val="0"/>
            </w:pPr>
            <w:r>
              <w:rPr>
                <w:sz w:val="20"/>
              </w:rPr>
              <w:t xml:space="preserve">М</w:t>
            </w:r>
          </w:p>
        </w:tc>
        <w:tc>
          <w:tcPr>
            <w:tcW w:w="1247"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single" w:sz="4"/>
              <w:left w:val="nil"/>
              <w:bottom w:val="nil"/>
              <w:right w:val="nil"/>
            </w:tcBorders>
          </w:tcPr>
          <w:bookmarkStart w:id="4460" w:name="P4460"/>
          <w:bookmarkEnd w:id="4460"/>
          <w:p>
            <w:pPr>
              <w:pStyle w:val="0"/>
            </w:pPr>
            <w:r>
              <w:rPr>
                <w:sz w:val="20"/>
              </w:rPr>
              <w:t xml:space="preserve">Итого по расценке</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bookmarkStart w:id="4484" w:name="P4484"/>
          <w:bookmarkEnd w:id="4484"/>
          <w:p>
            <w:pPr>
              <w:pStyle w:val="0"/>
            </w:pPr>
            <w:r>
              <w:rPr>
                <w:sz w:val="20"/>
              </w:rPr>
              <w:t xml:space="preserve">НР &lt;вид работ&gt;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jc w:val="center"/>
            </w:pPr>
            <w:r>
              <w:rPr>
                <w:sz w:val="20"/>
              </w:rPr>
              <w:t xml:space="preserve">&lt;норматив НР&gt;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bookmarkStart w:id="4496" w:name="P4496"/>
          <w:bookmarkEnd w:id="4496"/>
          <w:p>
            <w:pPr>
              <w:pStyle w:val="0"/>
            </w:pPr>
            <w:r>
              <w:rPr>
                <w:sz w:val="20"/>
              </w:rPr>
              <w:t xml:space="preserve">СП &lt;вид работ&gt;</w:t>
            </w:r>
          </w:p>
        </w:tc>
        <w:tc>
          <w:tcPr>
            <w:tcW w:w="1247" w:type="dxa"/>
            <w:tcBorders>
              <w:top w:val="nil"/>
              <w:left w:val="nil"/>
              <w:bottom w:val="single" w:sz="4"/>
              <w:right w:val="nil"/>
            </w:tcBorders>
          </w:tcPr>
          <w:p>
            <w:pPr>
              <w:pStyle w:val="0"/>
              <w:jc w:val="center"/>
            </w:pPr>
            <w:r>
              <w:rPr>
                <w:sz w:val="20"/>
              </w:rPr>
              <w:t xml:space="preserve">%</w:t>
            </w:r>
          </w:p>
        </w:tc>
        <w:tc>
          <w:tcPr>
            <w:tcW w:w="680" w:type="dxa"/>
            <w:tcBorders>
              <w:top w:val="nil"/>
              <w:left w:val="nil"/>
              <w:bottom w:val="single" w:sz="4"/>
              <w:right w:val="nil"/>
            </w:tcBorders>
          </w:tcPr>
          <w:p>
            <w:pPr>
              <w:pStyle w:val="0"/>
              <w:jc w:val="center"/>
            </w:pPr>
            <w:r>
              <w:rPr>
                <w:sz w:val="20"/>
              </w:rPr>
              <w:t xml:space="preserve">&lt;норматив СП&gt;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&lt;код ресурса&gt;</w:t>
            </w:r>
          </w:p>
        </w:tc>
        <w:tc>
          <w:tcPr>
            <w:tcW w:w="3118" w:type="dxa"/>
            <w:tcBorders>
              <w:top w:val="nil"/>
              <w:left w:val="nil"/>
              <w:bottom w:val="single" w:sz="4"/>
              <w:right w:val="nil"/>
            </w:tcBorders>
          </w:tcPr>
          <w:p>
            <w:pPr>
              <w:pStyle w:val="0"/>
            </w:pPr>
            <w:r>
              <w:rPr>
                <w:sz w:val="20"/>
              </w:rPr>
              <w:t xml:space="preserve">&lt;Наименование ресурса&gt;</w:t>
            </w:r>
          </w:p>
        </w:tc>
        <w:tc>
          <w:tcPr>
            <w:tcW w:w="1247" w:type="dxa"/>
            <w:tcBorders>
              <w:top w:val="nil"/>
              <w:left w:val="nil"/>
              <w:bottom w:val="single" w:sz="4"/>
              <w:right w:val="nil"/>
            </w:tcBorders>
          </w:tcPr>
          <w:p>
            <w:pPr>
              <w:pStyle w:val="0"/>
              <w:jc w:val="center"/>
            </w:pPr>
            <w:r>
              <w:rPr>
                <w:sz w:val="20"/>
              </w:rPr>
              <w:t xml:space="preserve">&lt;единица измерения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&lt;Наименование ресурса, отсутствующего в ФРСН&gt;</w:t>
            </w:r>
          </w:p>
        </w:tc>
        <w:tc>
          <w:tcPr>
            <w:tcW w:w="1247" w:type="dxa"/>
            <w:tcBorders>
              <w:top w:val="nil"/>
              <w:left w:val="nil"/>
              <w:bottom w:val="single" w:sz="4"/>
              <w:right w:val="nil"/>
            </w:tcBorders>
          </w:tcPr>
          <w:p>
            <w:pPr>
              <w:pStyle w:val="0"/>
              <w:jc w:val="center"/>
            </w:pPr>
            <w:r>
              <w:rPr>
                <w:sz w:val="20"/>
              </w:rPr>
              <w:t xml:space="preserve">&lt;единица измерения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&lt;Прочие затраты&gt; </w:t>
            </w:r>
            <w:hyperlink w:history="0" w:anchor="P4926"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1247" w:type="dxa"/>
            <w:tcBorders>
              <w:top w:val="nil"/>
              <w:left w:val="nil"/>
              <w:bottom w:val="single" w:sz="4"/>
              <w:right w:val="nil"/>
            </w:tcBorders>
          </w:tcPr>
          <w:p>
            <w:pPr>
              <w:pStyle w:val="0"/>
              <w:jc w:val="center"/>
            </w:pPr>
            <w:r>
              <w:rPr>
                <w:sz w:val="20"/>
              </w:rPr>
              <w:t xml:space="preserve">&lt;единица измерения&gt;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&lt;индекс&gt;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прямые затраты по Разделу X</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накладные расходы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сметная прибыль</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прочие затраты </w:t>
            </w:r>
            <w:hyperlink w:history="0" w:anchor="P4926"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по разделу Раздел X</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tcW w:w="3118" w:type="dxa"/>
            <w:tcBorders>
              <w:top w:val="nil"/>
              <w:left w:val="nil"/>
              <w:bottom w:val="single" w:sz="4"/>
              <w:right w:val="nil"/>
            </w:tcBorders>
          </w:tcPr>
          <w:p>
            <w:pPr>
              <w:pStyle w:val="0"/>
              <w:ind w:left="283"/>
            </w:pPr>
            <w:r>
              <w:rPr>
                <w:sz w:val="20"/>
              </w:rPr>
              <w:t xml:space="preserve">материальные ресурсы, отсутствующие в ФРСН</w:t>
            </w:r>
          </w:p>
        </w:tc>
        <w:tc>
          <w:tcPr>
            <w:tcW w:w="1247"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ИТОГИ ПО СМЕТЕ</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ремонтно-реставрационные работы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ФОТ (справочно)</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прочие затраты &lt;1&gt;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по смете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Справочно</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материальные ресурсы, отсутствующие в ФРСН</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1345"/>
        <w:gridCol w:w="7701"/>
      </w:tblGrid>
      <w:tr>
        <w:tc>
          <w:tcPr>
            <w:tcW w:w="1345" w:type="dxa"/>
            <w:tcBorders>
              <w:top w:val="nil"/>
              <w:left w:val="nil"/>
              <w:bottom w:val="nil"/>
              <w:right w:val="nil"/>
            </w:tcBorders>
          </w:tcPr>
          <w:p>
            <w:pPr>
              <w:pStyle w:val="0"/>
              <w:ind w:left="283"/>
            </w:pPr>
            <w:r>
              <w:rPr>
                <w:sz w:val="20"/>
              </w:rPr>
              <w:t xml:space="preserve">Составил</w:t>
            </w:r>
          </w:p>
        </w:tc>
        <w:tc>
          <w:tcPr>
            <w:tcW w:w="7701" w:type="dxa"/>
            <w:tcBorders>
              <w:top w:val="nil"/>
              <w:left w:val="nil"/>
              <w:bottom w:val="single" w:sz="4"/>
              <w:right w:val="nil"/>
            </w:tcBorders>
          </w:tcPr>
          <w:p>
            <w:pPr>
              <w:pStyle w:val="0"/>
            </w:pPr>
            <w:r>
              <w:rPr>
                <w:sz w:val="20"/>
              </w:rPr>
            </w:r>
          </w:p>
        </w:tc>
      </w:tr>
      <w:tr>
        <w:tc>
          <w:tcPr>
            <w:tcW w:w="1345" w:type="dxa"/>
            <w:tcBorders>
              <w:top w:val="nil"/>
              <w:left w:val="nil"/>
              <w:bottom w:val="nil"/>
              <w:right w:val="nil"/>
            </w:tcBorders>
          </w:tcPr>
          <w:p>
            <w:pPr>
              <w:pStyle w:val="0"/>
            </w:pPr>
            <w:r>
              <w:rPr>
                <w:sz w:val="20"/>
              </w:rPr>
            </w:r>
          </w:p>
        </w:tc>
        <w:tc>
          <w:tcPr>
            <w:tcW w:w="7701" w:type="dxa"/>
            <w:tcBorders>
              <w:top w:val="single" w:sz="4"/>
              <w:left w:val="nil"/>
              <w:bottom w:val="nil"/>
              <w:right w:val="nil"/>
            </w:tcBorders>
          </w:tcPr>
          <w:p>
            <w:pPr>
              <w:pStyle w:val="0"/>
              <w:jc w:val="center"/>
            </w:pPr>
            <w:r>
              <w:rPr>
                <w:sz w:val="20"/>
              </w:rPr>
              <w:t xml:space="preserve">[должность, подпись (инициалы, фамилия)]</w:t>
            </w:r>
          </w:p>
        </w:tc>
      </w:tr>
      <w:tr>
        <w:tc>
          <w:tcPr>
            <w:tcW w:w="1345" w:type="dxa"/>
            <w:tcBorders>
              <w:top w:val="nil"/>
              <w:left w:val="nil"/>
              <w:bottom w:val="nil"/>
              <w:right w:val="nil"/>
            </w:tcBorders>
          </w:tcPr>
          <w:p>
            <w:pPr>
              <w:pStyle w:val="0"/>
              <w:ind w:left="283"/>
            </w:pPr>
            <w:r>
              <w:rPr>
                <w:sz w:val="20"/>
              </w:rPr>
              <w:t xml:space="preserve">Проверил</w:t>
            </w:r>
          </w:p>
        </w:tc>
        <w:tc>
          <w:tcPr>
            <w:tcW w:w="7701" w:type="dxa"/>
            <w:tcBorders>
              <w:top w:val="nil"/>
              <w:left w:val="nil"/>
              <w:bottom w:val="single" w:sz="4"/>
              <w:right w:val="nil"/>
            </w:tcBorders>
          </w:tcPr>
          <w:p>
            <w:pPr>
              <w:pStyle w:val="0"/>
            </w:pPr>
            <w:r>
              <w:rPr>
                <w:sz w:val="20"/>
              </w:rPr>
            </w:r>
          </w:p>
        </w:tc>
      </w:tr>
      <w:tr>
        <w:tc>
          <w:tcPr>
            <w:tcW w:w="1345" w:type="dxa"/>
            <w:tcBorders>
              <w:top w:val="nil"/>
              <w:left w:val="nil"/>
              <w:bottom w:val="nil"/>
              <w:right w:val="nil"/>
            </w:tcBorders>
          </w:tcPr>
          <w:p>
            <w:pPr>
              <w:pStyle w:val="0"/>
            </w:pPr>
            <w:r>
              <w:rPr>
                <w:sz w:val="20"/>
              </w:rPr>
            </w:r>
          </w:p>
        </w:tc>
        <w:tc>
          <w:tcPr>
            <w:tcW w:w="7701" w:type="dxa"/>
            <w:tcBorders>
              <w:top w:val="single" w:sz="4"/>
              <w:left w:val="nil"/>
              <w:bottom w:val="nil"/>
              <w:right w:val="nil"/>
            </w:tcBorders>
          </w:tcPr>
          <w:p>
            <w:pPr>
              <w:pStyle w:val="0"/>
              <w:jc w:val="center"/>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w:t>
      </w:r>
    </w:p>
    <w:bookmarkStart w:id="4925" w:name="P4925"/>
    <w:bookmarkEnd w:id="4925"/>
    <w:p>
      <w:pPr>
        <w:pStyle w:val="0"/>
        <w:spacing w:before="200" w:line-rule="auto"/>
        <w:ind w:firstLine="540"/>
        <w:jc w:val="both"/>
      </w:pPr>
      <w:r>
        <w:rPr>
          <w:sz w:val="20"/>
        </w:rPr>
        <w:t xml:space="preserve">&lt;1&gt;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w:t>
      </w:r>
    </w:p>
    <w:bookmarkStart w:id="4926" w:name="P4926"/>
    <w:bookmarkEnd w:id="4926"/>
    <w:p>
      <w:pPr>
        <w:pStyle w:val="0"/>
        <w:spacing w:before="200" w:line-rule="auto"/>
        <w:ind w:firstLine="540"/>
        <w:jc w:val="both"/>
      </w:pPr>
      <w:r>
        <w:rPr>
          <w:sz w:val="20"/>
        </w:rPr>
        <w:t xml:space="preserve">&lt;2&gt; Под прочими затратами понимаются затраты, учитываемые в соответствии с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пунктом 184</w:t>
        </w:r>
      </w:hyperlink>
      <w:r>
        <w:rPr>
          <w:sz w:val="20"/>
        </w:rPr>
        <w:t xml:space="preserve"> Методики.</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0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4951" w:name="P4951"/>
    <w:bookmarkEnd w:id="4951"/>
    <w:p>
      <w:pPr>
        <w:pStyle w:val="0"/>
        <w:jc w:val="center"/>
      </w:pPr>
      <w:r>
        <w:rPr>
          <w:sz w:val="20"/>
        </w:rPr>
        <w:t xml:space="preserve">ФОРМА</w:t>
      </w:r>
    </w:p>
    <w:p>
      <w:pPr>
        <w:pStyle w:val="0"/>
        <w:jc w:val="center"/>
      </w:pPr>
      <w:r>
        <w:rPr>
          <w:sz w:val="20"/>
        </w:rPr>
        <w:t xml:space="preserve">ЛОКАЛЬНОГО СМЕТНОГО РАСЧЕТА (СМЕТЫ)</w:t>
      </w:r>
    </w:p>
    <w:p>
      <w:pPr>
        <w:pStyle w:val="0"/>
        <w:jc w:val="center"/>
      </w:pPr>
      <w:r>
        <w:rPr>
          <w:sz w:val="20"/>
        </w:rPr>
        <w:t xml:space="preserve">ДЛЯ РЕСУРСНО-ИНДЕКСНОГО МЕТОДА</w:t>
      </w:r>
    </w:p>
    <w:p>
      <w:pPr>
        <w:pStyle w:val="0"/>
        <w:jc w:val="both"/>
      </w:pPr>
      <w:r>
        <w:rPr>
          <w:sz w:val="20"/>
        </w:rPr>
      </w:r>
    </w:p>
    <w:tbl>
      <w:tblPr>
        <w:tblInd w:w="0" w:type="dxa"/>
        <w:tblLayout w:type="fixed"/>
        <w:tblCellMar>
          <w:top w:w="102" w:type="dxa"/>
          <w:left w:w="62" w:type="dxa"/>
          <w:bottom w:w="102" w:type="dxa"/>
          <w:right w:w="62" w:type="dxa"/>
        </w:tblCellMar>
      </w:tblPr>
      <w:tblGrid>
        <w:gridCol w:w="5197"/>
        <w:gridCol w:w="3874"/>
      </w:tblGrid>
      <w:tr>
        <w:tc>
          <w:tcPr>
            <w:tcW w:w="5197" w:type="dxa"/>
            <w:tcBorders>
              <w:top w:val="nil"/>
              <w:left w:val="nil"/>
              <w:bottom w:val="nil"/>
              <w:right w:val="nil"/>
            </w:tcBorders>
          </w:tcPr>
          <w:p>
            <w:pPr>
              <w:pStyle w:val="0"/>
              <w:jc w:val="both"/>
            </w:pPr>
            <w:r>
              <w:rPr>
                <w:sz w:val="20"/>
              </w:rPr>
              <w:t xml:space="preserve">Наименование программного продукта</w:t>
            </w:r>
          </w:p>
        </w:tc>
        <w:tc>
          <w:tcPr>
            <w:tcW w:w="3874" w:type="dxa"/>
            <w:tcBorders>
              <w:top w:val="nil"/>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Наименование редакции сметных нормативов</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Реквизиты приказа Минстроя России об утверждении дополнений и изменений к сметным нормативам</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Реквизиты письма Минстроя России об индексах изменения сметной стоимости строительства, включаемые в федеральный реестр сметных нормативов и размещаемые в федеральной государственной информационной системе ценообразования в строительстве, подготовленного в соответствии </w:t>
            </w:r>
            <w:hyperlink w:history="0" r:id="rId210" w:tooltip="Приказ Минстроя России от 05.06.2019 N 326/пр (ред. от 20.02.2021) &quot;Об утверждении Методики расчета индексов изменения сметной стоимости строительства&quot; (Зарегистрировано в Минюсте России 10.09.2019 N 55869) {КонсультантПлюс}">
              <w:r>
                <w:rPr>
                  <w:sz w:val="20"/>
                  <w:color w:val="0000ff"/>
                </w:rPr>
                <w:t xml:space="preserve">пунктом 85</w:t>
              </w:r>
            </w:hyperlink>
            <w:r>
              <w:rPr>
                <w:sz w:val="20"/>
              </w:rPr>
              <w:t xml:space="preserve"> Методики расчета индексов изменения сметной стоимости строительства, утвержденной приказом Министерства строительства и жилищно-коммунального хозяйства Российской Федерации от 5 июня 2019 г. N 326/пр </w:t>
            </w:r>
            <w:hyperlink w:history="0" w:anchor="P6746" w:tooltip="&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
              <w:r>
                <w:rPr>
                  <w:sz w:val="20"/>
                  <w:color w:val="0000ff"/>
                </w:rPr>
                <w:t xml:space="preserve">&lt;1&gt;</w:t>
              </w:r>
            </w:hyperlink>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Реквизиты нормативного правового акта об утверждении оплаты труда, утверждаемый в соответствии с </w:t>
            </w:r>
            <w:hyperlink w:history="0" r:id="rId211"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пунктом 22(1)</w:t>
              </w:r>
            </w:hyperlink>
            <w:r>
              <w:rPr>
                <w:sz w:val="20"/>
              </w:rPr>
              <w:t xml:space="preserve"> Правилами мониторинга цен, утвержденными постановлением Правительства Российской Федерации от 23 декабря 2016 N 1452</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pPr>
            <w:r>
              <w:rPr>
                <w:sz w:val="20"/>
              </w:rPr>
              <w:t xml:space="preserve">Обоснование принятых текущих цен на строительные ресурсы</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pPr>
            <w:r>
              <w:rPr>
                <w:sz w:val="20"/>
              </w:rPr>
              <w:t xml:space="preserve">Наименование субъекта Российской Федерации</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pPr>
            <w:r>
              <w:rPr>
                <w:sz w:val="20"/>
              </w:rPr>
              <w:t xml:space="preserve">Наименование зоны субъекта Российской Федерации</w:t>
            </w:r>
          </w:p>
        </w:tc>
        <w:tc>
          <w:tcPr>
            <w:tcW w:w="3874" w:type="dxa"/>
            <w:tcBorders>
              <w:top w:val="single" w:sz="4"/>
              <w:left w:val="nil"/>
              <w:bottom w:val="single" w:sz="4"/>
              <w:right w:val="nil"/>
            </w:tcBorders>
          </w:tcPr>
          <w:p>
            <w:pPr>
              <w:pStyle w:val="0"/>
            </w:pPr>
            <w:r>
              <w:rPr>
                <w:sz w:val="20"/>
              </w:rPr>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(наименование стройки)</w:t>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(наименование объекта капитального строительства)</w:t>
            </w:r>
          </w:p>
        </w:tc>
      </w:tr>
      <w:tr>
        <w:tc>
          <w:tcPr>
            <w:gridSpan w:val="2"/>
            <w:tcW w:w="9071" w:type="dxa"/>
            <w:tcBorders>
              <w:top w:val="nil"/>
              <w:left w:val="nil"/>
              <w:bottom w:val="nil"/>
              <w:right w:val="nil"/>
            </w:tcBorders>
          </w:tcPr>
          <w:p>
            <w:pPr>
              <w:pStyle w:val="0"/>
              <w:jc w:val="center"/>
            </w:pPr>
            <w:r>
              <w:rPr>
                <w:sz w:val="20"/>
              </w:rPr>
              <w:t xml:space="preserve">ЛОКАЛЬНЫЙ СМЕТНЫЙ РАСЧЕТ (СМЕТА) N ____</w:t>
            </w:r>
          </w:p>
        </w:tc>
      </w:tr>
      <w:tr>
        <w:tc>
          <w:tcPr>
            <w:gridSpan w:val="2"/>
            <w:tcW w:w="9071" w:type="dxa"/>
            <w:tcBorders>
              <w:top w:val="nil"/>
              <w:left w:val="nil"/>
              <w:bottom w:val="single" w:sz="4"/>
              <w:right w:val="nil"/>
            </w:tcBorders>
          </w:tcPr>
          <w:p>
            <w:pPr>
              <w:pStyle w:val="0"/>
            </w:pPr>
            <w:r>
              <w:rPr>
                <w:sz w:val="20"/>
              </w:rPr>
            </w:r>
          </w:p>
        </w:tc>
      </w:tr>
      <w:tr>
        <w:tblPrEx>
          <w:tblBorders>
            <w:insideH w:val="single" w:sz="4"/>
          </w:tblBorders>
        </w:tblPrEx>
        <w:tc>
          <w:tcPr>
            <w:gridSpan w:val="2"/>
            <w:tcW w:w="9071" w:type="dxa"/>
            <w:tcBorders>
              <w:top w:val="single" w:sz="4"/>
              <w:left w:val="nil"/>
              <w:bottom w:val="nil"/>
              <w:right w:val="nil"/>
            </w:tcBorders>
          </w:tcPr>
          <w:p>
            <w:pPr>
              <w:pStyle w:val="0"/>
              <w:jc w:val="center"/>
            </w:pPr>
            <w:r>
              <w:rPr>
                <w:sz w:val="20"/>
              </w:rPr>
              <w:t xml:space="preserve">(наименование работ и затрат)</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378"/>
        <w:gridCol w:w="5083"/>
        <w:gridCol w:w="2618"/>
      </w:tblGrid>
      <w:tr>
        <w:tc>
          <w:tcPr>
            <w:tcW w:w="1378" w:type="dxa"/>
            <w:tcBorders>
              <w:top w:val="nil"/>
              <w:left w:val="nil"/>
              <w:bottom w:val="nil"/>
              <w:right w:val="nil"/>
            </w:tcBorders>
          </w:tcPr>
          <w:p>
            <w:pPr>
              <w:pStyle w:val="0"/>
            </w:pPr>
            <w:r>
              <w:rPr>
                <w:sz w:val="20"/>
              </w:rPr>
              <w:t xml:space="preserve">Составлен</w:t>
            </w:r>
          </w:p>
        </w:tc>
        <w:tc>
          <w:tcPr>
            <w:tcW w:w="5083" w:type="dxa"/>
            <w:tcBorders>
              <w:top w:val="nil"/>
              <w:left w:val="nil"/>
              <w:bottom w:val="single" w:sz="4"/>
              <w:right w:val="nil"/>
            </w:tcBorders>
          </w:tcPr>
          <w:p>
            <w:pPr>
              <w:pStyle w:val="0"/>
              <w:jc w:val="center"/>
            </w:pPr>
            <w:r>
              <w:rPr>
                <w:sz w:val="20"/>
              </w:rPr>
              <w:t xml:space="preserve">ресурсно-индексным</w:t>
            </w:r>
          </w:p>
        </w:tc>
        <w:tc>
          <w:tcPr>
            <w:tcW w:w="2618" w:type="dxa"/>
            <w:tcBorders>
              <w:top w:val="nil"/>
              <w:left w:val="nil"/>
              <w:bottom w:val="nil"/>
              <w:right w:val="nil"/>
            </w:tcBorders>
          </w:tcPr>
          <w:p>
            <w:pPr>
              <w:pStyle w:val="0"/>
            </w:pPr>
            <w:r>
              <w:rPr>
                <w:sz w:val="20"/>
              </w:rPr>
              <w:t xml:space="preserve">методом</w:t>
            </w:r>
          </w:p>
        </w:tc>
      </w:tr>
      <w:tr>
        <w:tc>
          <w:tcPr>
            <w:tcW w:w="1378" w:type="dxa"/>
            <w:tcBorders>
              <w:top w:val="nil"/>
              <w:left w:val="nil"/>
              <w:bottom w:val="nil"/>
              <w:right w:val="nil"/>
            </w:tcBorders>
          </w:tcPr>
          <w:p>
            <w:pPr>
              <w:pStyle w:val="0"/>
            </w:pPr>
            <w:r>
              <w:rPr>
                <w:sz w:val="20"/>
              </w:rPr>
              <w:t xml:space="preserve">Основание</w:t>
            </w:r>
          </w:p>
        </w:tc>
        <w:tc>
          <w:tcPr>
            <w:gridSpan w:val="2"/>
            <w:tcW w:w="7701" w:type="dxa"/>
            <w:tcBorders>
              <w:top w:val="nil"/>
              <w:left w:val="nil"/>
              <w:bottom w:val="single" w:sz="4"/>
              <w:right w:val="nil"/>
            </w:tcBorders>
          </w:tcPr>
          <w:p>
            <w:pPr>
              <w:pStyle w:val="0"/>
            </w:pPr>
            <w:r>
              <w:rPr>
                <w:sz w:val="20"/>
              </w:rPr>
            </w:r>
          </w:p>
        </w:tc>
      </w:tr>
      <w:tr>
        <w:tc>
          <w:tcPr>
            <w:tcW w:w="1378" w:type="dxa"/>
            <w:tcBorders>
              <w:top w:val="nil"/>
              <w:left w:val="nil"/>
              <w:bottom w:val="nil"/>
              <w:right w:val="nil"/>
            </w:tcBorders>
          </w:tcPr>
          <w:p>
            <w:pPr>
              <w:pStyle w:val="0"/>
            </w:pPr>
            <w:r>
              <w:rPr>
                <w:sz w:val="20"/>
              </w:rPr>
            </w:r>
          </w:p>
        </w:tc>
        <w:tc>
          <w:tcPr>
            <w:gridSpan w:val="2"/>
            <w:tcW w:w="7701" w:type="dxa"/>
            <w:tcBorders>
              <w:top w:val="single" w:sz="4"/>
              <w:left w:val="nil"/>
              <w:bottom w:val="nil"/>
              <w:right w:val="nil"/>
            </w:tcBorders>
          </w:tcPr>
          <w:p>
            <w:pPr>
              <w:pStyle w:val="0"/>
              <w:jc w:val="center"/>
            </w:pPr>
            <w:r>
              <w:rPr>
                <w:sz w:val="20"/>
              </w:rPr>
              <w:t xml:space="preserve">(проектная и (или) иная техническая документация)</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2835"/>
        <w:gridCol w:w="567"/>
        <w:gridCol w:w="1983"/>
        <w:gridCol w:w="1190"/>
        <w:gridCol w:w="340"/>
        <w:gridCol w:w="2268"/>
        <w:gridCol w:w="1417"/>
        <w:gridCol w:w="1077"/>
      </w:tblGrid>
      <w:tr>
        <w:tc>
          <w:tcPr>
            <w:gridSpan w:val="2"/>
            <w:tcW w:w="3402" w:type="dxa"/>
            <w:vAlign w:val="bottom"/>
            <w:tcBorders>
              <w:top w:val="nil"/>
              <w:left w:val="nil"/>
              <w:bottom w:val="nil"/>
              <w:right w:val="nil"/>
            </w:tcBorders>
          </w:tcPr>
          <w:p>
            <w:pPr>
              <w:pStyle w:val="0"/>
            </w:pPr>
            <w:r>
              <w:rPr>
                <w:sz w:val="20"/>
              </w:rPr>
              <w:t xml:space="preserve">Составлен(а) в текущем (базисном) уровне цен</w:t>
            </w:r>
          </w:p>
        </w:tc>
        <w:tc>
          <w:tcPr>
            <w:tcW w:w="1983" w:type="dxa"/>
            <w:vAlign w:val="bottom"/>
            <w:tcBorders>
              <w:top w:val="nil"/>
              <w:left w:val="nil"/>
              <w:bottom w:val="single" w:sz="4"/>
              <w:right w:val="nil"/>
            </w:tcBorders>
          </w:tcPr>
          <w:p>
            <w:pPr>
              <w:pStyle w:val="0"/>
            </w:pPr>
            <w:r>
              <w:rPr>
                <w:sz w:val="20"/>
              </w:rPr>
            </w:r>
          </w:p>
        </w:tc>
        <w:tc>
          <w:tcPr>
            <w:tcW w:w="1190"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r>
          </w:p>
        </w:tc>
        <w:tc>
          <w:tcPr>
            <w:tcW w:w="1417"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gridSpan w:val="2"/>
            <w:tcW w:w="3402" w:type="dxa"/>
            <w:tcBorders>
              <w:top w:val="nil"/>
              <w:left w:val="nil"/>
              <w:bottom w:val="nil"/>
              <w:right w:val="nil"/>
            </w:tcBorders>
          </w:tcPr>
          <w:p>
            <w:pPr>
              <w:pStyle w:val="0"/>
            </w:pPr>
            <w:r>
              <w:rPr>
                <w:sz w:val="20"/>
              </w:rPr>
            </w:r>
          </w:p>
        </w:tc>
        <w:tc>
          <w:tcPr>
            <w:tcW w:w="1983" w:type="dxa"/>
            <w:tcBorders>
              <w:top w:val="single" w:sz="4"/>
              <w:left w:val="nil"/>
              <w:bottom w:val="nil"/>
              <w:right w:val="nil"/>
            </w:tcBorders>
          </w:tcPr>
          <w:p>
            <w:pPr>
              <w:pStyle w:val="0"/>
            </w:pPr>
            <w:r>
              <w:rPr>
                <w:sz w:val="20"/>
              </w:rPr>
            </w:r>
          </w:p>
        </w:tc>
        <w:tc>
          <w:tcPr>
            <w:tcW w:w="119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68"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2835" w:type="dxa"/>
            <w:vAlign w:val="bottom"/>
            <w:tcBorders>
              <w:top w:val="nil"/>
              <w:left w:val="nil"/>
              <w:bottom w:val="nil"/>
              <w:right w:val="nil"/>
            </w:tcBorders>
          </w:tcPr>
          <w:p>
            <w:pPr>
              <w:pStyle w:val="0"/>
            </w:pPr>
            <w:r>
              <w:rPr>
                <w:sz w:val="20"/>
              </w:rPr>
              <w:t xml:space="preserve">Сметная стоимость</w:t>
            </w:r>
          </w:p>
        </w:tc>
        <w:tc>
          <w:tcPr>
            <w:gridSpan w:val="2"/>
            <w:tcW w:w="2550" w:type="dxa"/>
            <w:vAlign w:val="bottom"/>
            <w:tcBorders>
              <w:top w:val="nil"/>
              <w:left w:val="nil"/>
              <w:bottom w:val="single" w:sz="4"/>
              <w:right w:val="nil"/>
            </w:tcBorders>
          </w:tcPr>
          <w:p>
            <w:pPr>
              <w:pStyle w:val="0"/>
            </w:pPr>
            <w:r>
              <w:rPr>
                <w:sz w:val="20"/>
              </w:rPr>
            </w:r>
          </w:p>
        </w:tc>
        <w:tc>
          <w:tcPr>
            <w:tcW w:w="1190" w:type="dxa"/>
            <w:vAlign w:val="bottom"/>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jc w:val="both"/>
            </w:pPr>
            <w:r>
              <w:rPr>
                <w:sz w:val="20"/>
              </w:rPr>
              <w:t xml:space="preserve">Средства на оплату труда рабочих</w:t>
            </w:r>
          </w:p>
        </w:tc>
        <w:tc>
          <w:tcPr>
            <w:tcW w:w="1417" w:type="dxa"/>
            <w:vAlign w:val="bottom"/>
            <w:tcBorders>
              <w:top w:val="nil"/>
              <w:left w:val="nil"/>
              <w:bottom w:val="single" w:sz="4"/>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тыс. руб.</w:t>
            </w:r>
          </w:p>
        </w:tc>
      </w:tr>
      <w:tr>
        <w:tc>
          <w:tcPr>
            <w:gridSpan w:val="2"/>
            <w:tcW w:w="3402" w:type="dxa"/>
            <w:vAlign w:val="bottom"/>
            <w:tcBorders>
              <w:top w:val="nil"/>
              <w:left w:val="nil"/>
              <w:bottom w:val="nil"/>
              <w:right w:val="nil"/>
            </w:tcBorders>
          </w:tcPr>
          <w:p>
            <w:pPr>
              <w:pStyle w:val="0"/>
              <w:ind w:left="1132"/>
            </w:pPr>
            <w:r>
              <w:rPr>
                <w:sz w:val="20"/>
              </w:rPr>
              <w:t xml:space="preserve">в том числе:</w:t>
            </w:r>
          </w:p>
        </w:tc>
        <w:tc>
          <w:tcPr>
            <w:tcW w:w="1983" w:type="dxa"/>
            <w:vAlign w:val="bottom"/>
            <w:tcBorders>
              <w:top w:val="single" w:sz="4"/>
              <w:left w:val="nil"/>
              <w:bottom w:val="nil"/>
              <w:right w:val="nil"/>
            </w:tcBorders>
          </w:tcPr>
          <w:p>
            <w:pPr>
              <w:pStyle w:val="0"/>
            </w:pPr>
            <w:r>
              <w:rPr>
                <w:sz w:val="20"/>
              </w:rPr>
            </w:r>
          </w:p>
        </w:tc>
        <w:tc>
          <w:tcPr>
            <w:tcW w:w="1190"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t xml:space="preserve">Средства на оплату труда машинистов</w:t>
            </w:r>
          </w:p>
        </w:tc>
        <w:tc>
          <w:tcPr>
            <w:tcW w:w="1417" w:type="dxa"/>
            <w:vAlign w:val="bottom"/>
            <w:tcBorders>
              <w:top w:val="single" w:sz="4"/>
              <w:left w:val="nil"/>
              <w:bottom w:val="single" w:sz="4"/>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тыс. руб.</w:t>
            </w:r>
          </w:p>
        </w:tc>
      </w:tr>
      <w:tr>
        <w:tc>
          <w:tcPr>
            <w:gridSpan w:val="2"/>
            <w:tcW w:w="3402" w:type="dxa"/>
            <w:vAlign w:val="bottom"/>
            <w:tcBorders>
              <w:top w:val="nil"/>
              <w:left w:val="nil"/>
              <w:bottom w:val="nil"/>
              <w:right w:val="nil"/>
            </w:tcBorders>
          </w:tcPr>
          <w:p>
            <w:pPr>
              <w:pStyle w:val="0"/>
              <w:ind w:left="1132"/>
            </w:pPr>
            <w:r>
              <w:rPr>
                <w:sz w:val="20"/>
              </w:rPr>
              <w:t xml:space="preserve">строительных работ</w:t>
            </w:r>
          </w:p>
        </w:tc>
        <w:tc>
          <w:tcPr>
            <w:tcW w:w="1983" w:type="dxa"/>
            <w:vAlign w:val="bottom"/>
            <w:tcBorders>
              <w:top w:val="nil"/>
              <w:left w:val="nil"/>
              <w:bottom w:val="single" w:sz="4"/>
              <w:right w:val="nil"/>
            </w:tcBorders>
          </w:tcPr>
          <w:p>
            <w:pPr>
              <w:pStyle w:val="0"/>
            </w:pPr>
            <w:r>
              <w:rPr>
                <w:sz w:val="20"/>
              </w:rPr>
            </w:r>
          </w:p>
        </w:tc>
        <w:tc>
          <w:tcPr>
            <w:tcW w:w="1190" w:type="dxa"/>
            <w:vAlign w:val="center"/>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t xml:space="preserve">Нормативные затраты труда рабочих</w:t>
            </w:r>
          </w:p>
        </w:tc>
        <w:tc>
          <w:tcPr>
            <w:tcW w:w="1417" w:type="dxa"/>
            <w:vAlign w:val="bottom"/>
            <w:tcBorders>
              <w:top w:val="single" w:sz="4"/>
              <w:left w:val="nil"/>
              <w:bottom w:val="single" w:sz="4"/>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чел.-ч.</w:t>
            </w:r>
          </w:p>
        </w:tc>
      </w:tr>
      <w:tr>
        <w:tc>
          <w:tcPr>
            <w:gridSpan w:val="2"/>
            <w:tcW w:w="3402" w:type="dxa"/>
            <w:vAlign w:val="bottom"/>
            <w:tcBorders>
              <w:top w:val="nil"/>
              <w:left w:val="nil"/>
              <w:bottom w:val="nil"/>
              <w:right w:val="nil"/>
            </w:tcBorders>
          </w:tcPr>
          <w:p>
            <w:pPr>
              <w:pStyle w:val="0"/>
              <w:ind w:left="1132"/>
            </w:pPr>
            <w:r>
              <w:rPr>
                <w:sz w:val="20"/>
              </w:rPr>
              <w:t xml:space="preserve">монтажных работ</w:t>
            </w:r>
          </w:p>
        </w:tc>
        <w:tc>
          <w:tcPr>
            <w:tcW w:w="1983" w:type="dxa"/>
            <w:vAlign w:val="bottom"/>
            <w:tcBorders>
              <w:top w:val="single" w:sz="4"/>
              <w:left w:val="nil"/>
              <w:bottom w:val="single" w:sz="4"/>
              <w:right w:val="nil"/>
            </w:tcBorders>
          </w:tcPr>
          <w:p>
            <w:pPr>
              <w:pStyle w:val="0"/>
            </w:pPr>
            <w:r>
              <w:rPr>
                <w:sz w:val="20"/>
              </w:rPr>
            </w:r>
          </w:p>
        </w:tc>
        <w:tc>
          <w:tcPr>
            <w:tcW w:w="1190" w:type="dxa"/>
            <w:vAlign w:val="center"/>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t xml:space="preserve">Нормативные затраты труда машинистов</w:t>
            </w:r>
          </w:p>
        </w:tc>
        <w:tc>
          <w:tcPr>
            <w:tcW w:w="1417" w:type="dxa"/>
            <w:vAlign w:val="bottom"/>
            <w:tcBorders>
              <w:top w:val="single" w:sz="4"/>
              <w:left w:val="nil"/>
              <w:bottom w:val="single" w:sz="4"/>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чел.-ч.</w:t>
            </w:r>
          </w:p>
        </w:tc>
      </w:tr>
      <w:tr>
        <w:tc>
          <w:tcPr>
            <w:gridSpan w:val="2"/>
            <w:tcW w:w="3402" w:type="dxa"/>
            <w:vAlign w:val="bottom"/>
            <w:tcBorders>
              <w:top w:val="nil"/>
              <w:left w:val="nil"/>
              <w:bottom w:val="nil"/>
              <w:right w:val="nil"/>
            </w:tcBorders>
          </w:tcPr>
          <w:p>
            <w:pPr>
              <w:pStyle w:val="0"/>
              <w:ind w:left="1132"/>
            </w:pPr>
            <w:r>
              <w:rPr>
                <w:sz w:val="20"/>
              </w:rPr>
              <w:t xml:space="preserve">оборудования</w:t>
            </w:r>
          </w:p>
        </w:tc>
        <w:tc>
          <w:tcPr>
            <w:tcW w:w="1983" w:type="dxa"/>
            <w:vAlign w:val="bottom"/>
            <w:tcBorders>
              <w:top w:val="single" w:sz="4"/>
              <w:left w:val="nil"/>
              <w:bottom w:val="single" w:sz="4"/>
              <w:right w:val="nil"/>
            </w:tcBorders>
          </w:tcPr>
          <w:p>
            <w:pPr>
              <w:pStyle w:val="0"/>
            </w:pPr>
            <w:r>
              <w:rPr>
                <w:sz w:val="20"/>
              </w:rPr>
            </w:r>
          </w:p>
        </w:tc>
        <w:tc>
          <w:tcPr>
            <w:tcW w:w="1190" w:type="dxa"/>
            <w:vAlign w:val="center"/>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r>
          </w:p>
        </w:tc>
        <w:tc>
          <w:tcPr>
            <w:tcW w:w="1417" w:type="dxa"/>
            <w:vAlign w:val="bottom"/>
            <w:tcBorders>
              <w:top w:val="single" w:sz="4"/>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gridSpan w:val="2"/>
            <w:tcW w:w="3402" w:type="dxa"/>
            <w:vAlign w:val="bottom"/>
            <w:tcBorders>
              <w:top w:val="nil"/>
              <w:left w:val="nil"/>
              <w:bottom w:val="nil"/>
              <w:right w:val="nil"/>
            </w:tcBorders>
          </w:tcPr>
          <w:bookmarkStart w:id="5036" w:name="P5036"/>
          <w:bookmarkEnd w:id="5036"/>
          <w:p>
            <w:pPr>
              <w:pStyle w:val="0"/>
              <w:ind w:left="1132"/>
            </w:pPr>
            <w:r>
              <w:rPr>
                <w:sz w:val="20"/>
              </w:rPr>
              <w:t xml:space="preserve">прочих затрат</w:t>
            </w:r>
          </w:p>
        </w:tc>
        <w:tc>
          <w:tcPr>
            <w:tcW w:w="1983" w:type="dxa"/>
            <w:vAlign w:val="bottom"/>
            <w:tcBorders>
              <w:top w:val="single" w:sz="4"/>
              <w:left w:val="nil"/>
              <w:bottom w:val="single" w:sz="4"/>
              <w:right w:val="nil"/>
            </w:tcBorders>
          </w:tcPr>
          <w:p>
            <w:pPr>
              <w:pStyle w:val="0"/>
            </w:pPr>
            <w:r>
              <w:rPr>
                <w:sz w:val="20"/>
              </w:rPr>
            </w:r>
          </w:p>
        </w:tc>
        <w:tc>
          <w:tcPr>
            <w:tcW w:w="1190" w:type="dxa"/>
            <w:vAlign w:val="center"/>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r>
          </w:p>
        </w:tc>
        <w:tc>
          <w:tcPr>
            <w:tcW w:w="1417"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1020"/>
        <w:gridCol w:w="1417"/>
        <w:gridCol w:w="3118"/>
        <w:gridCol w:w="1247"/>
        <w:gridCol w:w="680"/>
        <w:gridCol w:w="1247"/>
        <w:gridCol w:w="994"/>
        <w:gridCol w:w="680"/>
        <w:gridCol w:w="1128"/>
        <w:gridCol w:w="680"/>
        <w:gridCol w:w="821"/>
        <w:gridCol w:w="964"/>
      </w:tblGrid>
      <w:tr>
        <w:tblPrEx>
          <w:tblBorders>
            <w:left w:val="single" w:sz="4"/>
            <w:right w:val="single" w:sz="4"/>
            <w:insideV w:val="single" w:sz="4"/>
            <w:insideH w:val="single" w:sz="4"/>
          </w:tblBorders>
        </w:tblPrEx>
        <w:tc>
          <w:tcPr>
            <w:tcW w:w="1020" w:type="dxa"/>
            <w:tcBorders>
              <w:top w:val="single" w:sz="4"/>
              <w:bottom w:val="single" w:sz="4"/>
            </w:tcBorders>
            <w:vMerge w:val="restart"/>
          </w:tcPr>
          <w:p>
            <w:pPr>
              <w:pStyle w:val="0"/>
              <w:jc w:val="center"/>
            </w:pPr>
            <w:r>
              <w:rPr>
                <w:sz w:val="20"/>
              </w:rPr>
              <w:t xml:space="preserve">N п/п</w:t>
            </w:r>
          </w:p>
        </w:tc>
        <w:tc>
          <w:tcPr>
            <w:tcW w:w="1417" w:type="dxa"/>
            <w:tcBorders>
              <w:top w:val="single" w:sz="4"/>
              <w:bottom w:val="single" w:sz="4"/>
            </w:tcBorders>
            <w:vMerge w:val="restart"/>
          </w:tcPr>
          <w:p>
            <w:pPr>
              <w:pStyle w:val="0"/>
              <w:jc w:val="center"/>
            </w:pPr>
            <w:r>
              <w:rPr>
                <w:sz w:val="20"/>
              </w:rPr>
              <w:t xml:space="preserve">Обоснование</w:t>
            </w:r>
          </w:p>
        </w:tc>
        <w:tc>
          <w:tcPr>
            <w:tcW w:w="3118" w:type="dxa"/>
            <w:tcBorders>
              <w:top w:val="single" w:sz="4"/>
              <w:bottom w:val="single" w:sz="4"/>
            </w:tcBorders>
            <w:vMerge w:val="restart"/>
          </w:tcPr>
          <w:p>
            <w:pPr>
              <w:pStyle w:val="0"/>
              <w:jc w:val="center"/>
            </w:pPr>
            <w:r>
              <w:rPr>
                <w:sz w:val="20"/>
              </w:rPr>
              <w:t xml:space="preserve">Наименование работ и затрат</w:t>
            </w:r>
          </w:p>
        </w:tc>
        <w:tc>
          <w:tcPr>
            <w:tcW w:w="1247" w:type="dxa"/>
            <w:tcBorders>
              <w:top w:val="single" w:sz="4"/>
              <w:bottom w:val="single" w:sz="4"/>
            </w:tcBorders>
            <w:vMerge w:val="restart"/>
          </w:tcPr>
          <w:p>
            <w:pPr>
              <w:pStyle w:val="0"/>
              <w:jc w:val="center"/>
            </w:pPr>
            <w:r>
              <w:rPr>
                <w:sz w:val="20"/>
              </w:rPr>
              <w:t xml:space="preserve">Единица измерения</w:t>
            </w:r>
          </w:p>
        </w:tc>
        <w:tc>
          <w:tcPr>
            <w:gridSpan w:val="3"/>
            <w:tcW w:w="2921" w:type="dxa"/>
            <w:tcBorders>
              <w:top w:val="single" w:sz="4"/>
              <w:bottom w:val="single" w:sz="4"/>
            </w:tcBorders>
          </w:tcPr>
          <w:p>
            <w:pPr>
              <w:pStyle w:val="0"/>
              <w:jc w:val="center"/>
            </w:pPr>
            <w:r>
              <w:rPr>
                <w:sz w:val="20"/>
              </w:rPr>
              <w:t xml:space="preserve">Количество</w:t>
            </w:r>
          </w:p>
        </w:tc>
        <w:tc>
          <w:tcPr>
            <w:gridSpan w:val="5"/>
            <w:tcW w:w="4273" w:type="dxa"/>
            <w:tcBorders>
              <w:top w:val="single" w:sz="4"/>
              <w:bottom w:val="single" w:sz="4"/>
            </w:tcBorders>
          </w:tcPr>
          <w:p>
            <w:pPr>
              <w:pStyle w:val="0"/>
              <w:jc w:val="center"/>
            </w:pPr>
            <w:r>
              <w:rPr>
                <w:sz w:val="20"/>
              </w:rPr>
              <w:t xml:space="preserve">Сметная стоимость, руб.</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680" w:type="dxa"/>
            <w:tcBorders>
              <w:top w:val="single" w:sz="4"/>
              <w:bottom w:val="single" w:sz="4"/>
            </w:tcBorders>
          </w:tcPr>
          <w:p>
            <w:pPr>
              <w:pStyle w:val="0"/>
              <w:jc w:val="center"/>
            </w:pPr>
            <w:r>
              <w:rPr>
                <w:sz w:val="20"/>
              </w:rPr>
              <w:t xml:space="preserve">на единицу измерения</w:t>
            </w:r>
          </w:p>
        </w:tc>
        <w:tc>
          <w:tcPr>
            <w:tcW w:w="1247" w:type="dxa"/>
            <w:tcBorders>
              <w:top w:val="single" w:sz="4"/>
              <w:bottom w:val="single" w:sz="4"/>
            </w:tcBorders>
          </w:tcPr>
          <w:p>
            <w:pPr>
              <w:pStyle w:val="0"/>
              <w:jc w:val="center"/>
            </w:pPr>
            <w:r>
              <w:rPr>
                <w:sz w:val="20"/>
              </w:rPr>
              <w:t xml:space="preserve">коэффициенты</w:t>
            </w:r>
          </w:p>
        </w:tc>
        <w:tc>
          <w:tcPr>
            <w:tcW w:w="994" w:type="dxa"/>
            <w:tcBorders>
              <w:top w:val="single" w:sz="4"/>
              <w:bottom w:val="single" w:sz="4"/>
            </w:tcBorders>
          </w:tcPr>
          <w:p>
            <w:pPr>
              <w:pStyle w:val="0"/>
              <w:jc w:val="center"/>
            </w:pPr>
            <w:r>
              <w:rPr>
                <w:sz w:val="20"/>
              </w:rPr>
              <w:t xml:space="preserve">всего с учетом коэффициентов</w:t>
            </w:r>
          </w:p>
        </w:tc>
        <w:tc>
          <w:tcPr>
            <w:tcW w:w="680" w:type="dxa"/>
            <w:tcBorders>
              <w:top w:val="single" w:sz="4"/>
              <w:bottom w:val="single" w:sz="4"/>
            </w:tcBorders>
          </w:tcPr>
          <w:p>
            <w:pPr>
              <w:pStyle w:val="0"/>
              <w:jc w:val="center"/>
            </w:pPr>
            <w:r>
              <w:rPr>
                <w:sz w:val="20"/>
              </w:rPr>
              <w:t xml:space="preserve">на единицу измерения в базисном уровне цен</w:t>
            </w:r>
          </w:p>
        </w:tc>
        <w:tc>
          <w:tcPr>
            <w:tcW w:w="1128" w:type="dxa"/>
            <w:tcBorders>
              <w:top w:val="single" w:sz="4"/>
              <w:bottom w:val="single" w:sz="4"/>
            </w:tcBorders>
          </w:tcPr>
          <w:p>
            <w:pPr>
              <w:pStyle w:val="0"/>
              <w:jc w:val="center"/>
            </w:pPr>
            <w:r>
              <w:rPr>
                <w:sz w:val="20"/>
              </w:rPr>
              <w:t xml:space="preserve">индекс</w:t>
            </w:r>
          </w:p>
        </w:tc>
        <w:tc>
          <w:tcPr>
            <w:tcW w:w="680" w:type="dxa"/>
            <w:tcBorders>
              <w:top w:val="single" w:sz="4"/>
              <w:bottom w:val="single" w:sz="4"/>
            </w:tcBorders>
          </w:tcPr>
          <w:p>
            <w:pPr>
              <w:pStyle w:val="0"/>
              <w:jc w:val="center"/>
            </w:pPr>
            <w:r>
              <w:rPr>
                <w:sz w:val="20"/>
              </w:rPr>
              <w:t xml:space="preserve">на единицу измерения в текущем уровне цен</w:t>
            </w:r>
          </w:p>
        </w:tc>
        <w:tc>
          <w:tcPr>
            <w:tcW w:w="821" w:type="dxa"/>
            <w:tcBorders>
              <w:top w:val="single" w:sz="4"/>
              <w:bottom w:val="single" w:sz="4"/>
            </w:tcBorders>
          </w:tcPr>
          <w:p>
            <w:pPr>
              <w:pStyle w:val="0"/>
              <w:jc w:val="center"/>
            </w:pPr>
            <w:r>
              <w:rPr>
                <w:sz w:val="20"/>
              </w:rPr>
              <w:t xml:space="preserve">коэффициенты</w:t>
            </w:r>
          </w:p>
        </w:tc>
        <w:tc>
          <w:tcPr>
            <w:tcW w:w="964" w:type="dxa"/>
            <w:tcBorders>
              <w:top w:val="single" w:sz="4"/>
              <w:bottom w:val="single" w:sz="4"/>
            </w:tcBorders>
          </w:tcPr>
          <w:p>
            <w:pPr>
              <w:pStyle w:val="0"/>
              <w:jc w:val="center"/>
            </w:pPr>
            <w:r>
              <w:rPr>
                <w:sz w:val="20"/>
              </w:rPr>
              <w:t xml:space="preserve">всего в текущем уровне цен</w:t>
            </w:r>
          </w:p>
        </w:tc>
      </w:tr>
      <w:tr>
        <w:tblPrEx>
          <w:tblBorders>
            <w:left w:val="single" w:sz="4"/>
            <w:right w:val="single" w:sz="4"/>
            <w:insideV w:val="single" w:sz="4"/>
            <w:insideH w:val="single" w:sz="4"/>
          </w:tblBorders>
        </w:tblPrEx>
        <w:tc>
          <w:tcPr>
            <w:tcW w:w="1020" w:type="dxa"/>
            <w:tcBorders>
              <w:top w:val="single" w:sz="4"/>
              <w:bottom w:val="single" w:sz="4"/>
            </w:tcBorders>
          </w:tcPr>
          <w:bookmarkStart w:id="5058" w:name="P5058"/>
          <w:bookmarkEnd w:id="5058"/>
          <w:p>
            <w:pPr>
              <w:pStyle w:val="0"/>
              <w:jc w:val="center"/>
            </w:pPr>
            <w:r>
              <w:rPr>
                <w:sz w:val="20"/>
              </w:rPr>
              <w:t xml:space="preserve">1</w:t>
            </w:r>
          </w:p>
        </w:tc>
        <w:tc>
          <w:tcPr>
            <w:tcW w:w="1417" w:type="dxa"/>
            <w:tcBorders>
              <w:top w:val="single" w:sz="4"/>
              <w:bottom w:val="single" w:sz="4"/>
            </w:tcBorders>
          </w:tcPr>
          <w:bookmarkStart w:id="5059" w:name="P5059"/>
          <w:bookmarkEnd w:id="5059"/>
          <w:p>
            <w:pPr>
              <w:pStyle w:val="0"/>
              <w:jc w:val="center"/>
            </w:pPr>
            <w:r>
              <w:rPr>
                <w:sz w:val="20"/>
              </w:rPr>
              <w:t xml:space="preserve">2</w:t>
            </w:r>
          </w:p>
        </w:tc>
        <w:tc>
          <w:tcPr>
            <w:tcW w:w="3118" w:type="dxa"/>
            <w:tcBorders>
              <w:top w:val="single" w:sz="4"/>
              <w:bottom w:val="single" w:sz="4"/>
            </w:tcBorders>
          </w:tcPr>
          <w:bookmarkStart w:id="5060" w:name="P5060"/>
          <w:bookmarkEnd w:id="5060"/>
          <w:p>
            <w:pPr>
              <w:pStyle w:val="0"/>
              <w:jc w:val="center"/>
            </w:pPr>
            <w:r>
              <w:rPr>
                <w:sz w:val="20"/>
              </w:rPr>
              <w:t xml:space="preserve">3</w:t>
            </w:r>
          </w:p>
        </w:tc>
        <w:tc>
          <w:tcPr>
            <w:tcW w:w="1247" w:type="dxa"/>
            <w:tcBorders>
              <w:top w:val="single" w:sz="4"/>
              <w:bottom w:val="single" w:sz="4"/>
            </w:tcBorders>
          </w:tcPr>
          <w:bookmarkStart w:id="5061" w:name="P5061"/>
          <w:bookmarkEnd w:id="5061"/>
          <w:p>
            <w:pPr>
              <w:pStyle w:val="0"/>
              <w:jc w:val="center"/>
            </w:pPr>
            <w:r>
              <w:rPr>
                <w:sz w:val="20"/>
              </w:rPr>
              <w:t xml:space="preserve">4</w:t>
            </w:r>
          </w:p>
        </w:tc>
        <w:tc>
          <w:tcPr>
            <w:tcW w:w="680" w:type="dxa"/>
            <w:tcBorders>
              <w:top w:val="single" w:sz="4"/>
              <w:bottom w:val="single" w:sz="4"/>
            </w:tcBorders>
          </w:tcPr>
          <w:bookmarkStart w:id="5062" w:name="P5062"/>
          <w:bookmarkEnd w:id="5062"/>
          <w:p>
            <w:pPr>
              <w:pStyle w:val="0"/>
              <w:jc w:val="center"/>
            </w:pPr>
            <w:r>
              <w:rPr>
                <w:sz w:val="20"/>
              </w:rPr>
              <w:t xml:space="preserve">5</w:t>
            </w:r>
          </w:p>
        </w:tc>
        <w:tc>
          <w:tcPr>
            <w:tcW w:w="1247" w:type="dxa"/>
            <w:tcBorders>
              <w:top w:val="single" w:sz="4"/>
              <w:bottom w:val="single" w:sz="4"/>
            </w:tcBorders>
          </w:tcPr>
          <w:bookmarkStart w:id="5063" w:name="P5063"/>
          <w:bookmarkEnd w:id="5063"/>
          <w:p>
            <w:pPr>
              <w:pStyle w:val="0"/>
              <w:jc w:val="center"/>
            </w:pPr>
            <w:r>
              <w:rPr>
                <w:sz w:val="20"/>
              </w:rPr>
              <w:t xml:space="preserve">6</w:t>
            </w:r>
          </w:p>
        </w:tc>
        <w:tc>
          <w:tcPr>
            <w:tcW w:w="994" w:type="dxa"/>
            <w:tcBorders>
              <w:top w:val="single" w:sz="4"/>
              <w:bottom w:val="single" w:sz="4"/>
            </w:tcBorders>
          </w:tcPr>
          <w:bookmarkStart w:id="5064" w:name="P5064"/>
          <w:bookmarkEnd w:id="5064"/>
          <w:p>
            <w:pPr>
              <w:pStyle w:val="0"/>
              <w:jc w:val="center"/>
            </w:pPr>
            <w:r>
              <w:rPr>
                <w:sz w:val="20"/>
              </w:rPr>
              <w:t xml:space="preserve">7</w:t>
            </w:r>
          </w:p>
        </w:tc>
        <w:tc>
          <w:tcPr>
            <w:tcW w:w="680" w:type="dxa"/>
            <w:tcBorders>
              <w:top w:val="single" w:sz="4"/>
              <w:bottom w:val="single" w:sz="4"/>
            </w:tcBorders>
          </w:tcPr>
          <w:bookmarkStart w:id="5065" w:name="P5065"/>
          <w:bookmarkEnd w:id="5065"/>
          <w:p>
            <w:pPr>
              <w:pStyle w:val="0"/>
              <w:jc w:val="center"/>
            </w:pPr>
            <w:r>
              <w:rPr>
                <w:sz w:val="20"/>
              </w:rPr>
              <w:t xml:space="preserve">8</w:t>
            </w:r>
          </w:p>
        </w:tc>
        <w:tc>
          <w:tcPr>
            <w:tcW w:w="1128" w:type="dxa"/>
            <w:tcBorders>
              <w:top w:val="single" w:sz="4"/>
              <w:bottom w:val="single" w:sz="4"/>
            </w:tcBorders>
          </w:tcPr>
          <w:bookmarkStart w:id="5066" w:name="P5066"/>
          <w:bookmarkEnd w:id="5066"/>
          <w:p>
            <w:pPr>
              <w:pStyle w:val="0"/>
              <w:jc w:val="center"/>
            </w:pPr>
            <w:r>
              <w:rPr>
                <w:sz w:val="20"/>
              </w:rPr>
              <w:t xml:space="preserve">9</w:t>
            </w:r>
          </w:p>
        </w:tc>
        <w:tc>
          <w:tcPr>
            <w:tcW w:w="680" w:type="dxa"/>
            <w:tcBorders>
              <w:top w:val="single" w:sz="4"/>
              <w:bottom w:val="single" w:sz="4"/>
            </w:tcBorders>
          </w:tcPr>
          <w:bookmarkStart w:id="5067" w:name="P5067"/>
          <w:bookmarkEnd w:id="5067"/>
          <w:p>
            <w:pPr>
              <w:pStyle w:val="0"/>
              <w:jc w:val="center"/>
            </w:pPr>
            <w:r>
              <w:rPr>
                <w:sz w:val="20"/>
              </w:rPr>
              <w:t xml:space="preserve">10</w:t>
            </w:r>
          </w:p>
        </w:tc>
        <w:tc>
          <w:tcPr>
            <w:tcW w:w="821" w:type="dxa"/>
            <w:tcBorders>
              <w:top w:val="single" w:sz="4"/>
              <w:bottom w:val="single" w:sz="4"/>
            </w:tcBorders>
          </w:tcPr>
          <w:bookmarkStart w:id="5068" w:name="P5068"/>
          <w:bookmarkEnd w:id="5068"/>
          <w:p>
            <w:pPr>
              <w:pStyle w:val="0"/>
              <w:jc w:val="center"/>
            </w:pPr>
            <w:r>
              <w:rPr>
                <w:sz w:val="20"/>
              </w:rPr>
              <w:t xml:space="preserve">11</w:t>
            </w:r>
          </w:p>
        </w:tc>
        <w:tc>
          <w:tcPr>
            <w:tcW w:w="964" w:type="dxa"/>
            <w:tcBorders>
              <w:top w:val="single" w:sz="4"/>
              <w:bottom w:val="single" w:sz="4"/>
            </w:tcBorders>
          </w:tcPr>
          <w:bookmarkStart w:id="5069" w:name="P5069"/>
          <w:bookmarkEnd w:id="5069"/>
          <w:p>
            <w:pPr>
              <w:pStyle w:val="0"/>
              <w:jc w:val="center"/>
            </w:pPr>
            <w:r>
              <w:rPr>
                <w:sz w:val="20"/>
              </w:rPr>
              <w:t xml:space="preserve">12</w:t>
            </w:r>
          </w:p>
        </w:tc>
      </w:tr>
      <w:tr>
        <w:tc>
          <w:tcPr>
            <w:gridSpan w:val="12"/>
            <w:tcW w:w="13996" w:type="dxa"/>
            <w:tcBorders>
              <w:top w:val="single" w:sz="4"/>
              <w:left w:val="nil"/>
              <w:bottom w:val="nil"/>
              <w:right w:val="nil"/>
            </w:tcBorders>
          </w:tcPr>
          <w:p>
            <w:pPr>
              <w:pStyle w:val="0"/>
            </w:pPr>
            <w:r>
              <w:rPr>
                <w:sz w:val="20"/>
              </w:rPr>
              <w:t xml:space="preserve">Раздел X. &lt;Наименование раздела&gt;</w:t>
            </w:r>
          </w:p>
        </w:tc>
      </w:tr>
      <w:tr>
        <w:tc>
          <w:tcPr>
            <w:tcW w:w="1020" w:type="dxa"/>
            <w:tcBorders>
              <w:top w:val="nil"/>
              <w:left w:val="nil"/>
              <w:bottom w:val="nil"/>
              <w:right w:val="nil"/>
            </w:tcBorders>
          </w:tcPr>
          <w:p>
            <w:pPr>
              <w:pStyle w:val="0"/>
              <w:jc w:val="center"/>
            </w:pPr>
            <w:r>
              <w:rPr>
                <w:sz w:val="20"/>
              </w:rPr>
              <w:t xml:space="preserve">&lt;пункт&gt;</w:t>
            </w:r>
          </w:p>
        </w:tc>
        <w:tc>
          <w:tcPr>
            <w:tcW w:w="1417" w:type="dxa"/>
            <w:tcBorders>
              <w:top w:val="nil"/>
              <w:left w:val="nil"/>
              <w:bottom w:val="nil"/>
              <w:right w:val="nil"/>
            </w:tcBorders>
          </w:tcPr>
          <w:p>
            <w:pPr>
              <w:pStyle w:val="0"/>
              <w:jc w:val="center"/>
            </w:pPr>
            <w:r>
              <w:rPr>
                <w:sz w:val="20"/>
              </w:rPr>
              <w:t xml:space="preserve">ГЭСН &lt;шифр сметной нормы&gt;</w:t>
            </w:r>
          </w:p>
        </w:tc>
        <w:tc>
          <w:tcPr>
            <w:tcW w:w="3118" w:type="dxa"/>
            <w:tcBorders>
              <w:top w:val="nil"/>
              <w:left w:val="nil"/>
              <w:bottom w:val="nil"/>
              <w:right w:val="nil"/>
            </w:tcBorders>
          </w:tcPr>
          <w:p>
            <w:pPr>
              <w:pStyle w:val="0"/>
            </w:pPr>
            <w:r>
              <w:rPr>
                <w:sz w:val="20"/>
              </w:rPr>
              <w:t xml:space="preserve">&lt;Наименование сметной нормы&gt;</w:t>
            </w:r>
          </w:p>
        </w:tc>
        <w:tc>
          <w:tcPr>
            <w:tcW w:w="1247" w:type="dxa"/>
            <w:tcBorders>
              <w:top w:val="nil"/>
              <w:left w:val="nil"/>
              <w:bottom w:val="nil"/>
              <w:right w:val="nil"/>
            </w:tcBorders>
          </w:tcPr>
          <w:p>
            <w:pPr>
              <w:pStyle w:val="0"/>
              <w:jc w:val="center"/>
            </w:pPr>
            <w:r>
              <w:rPr>
                <w:sz w:val="20"/>
              </w:rPr>
              <w:t xml:space="preserve">&lt;единица измерения расценки&gt;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 коэффициентов&gt;</w:t>
            </w:r>
          </w:p>
        </w:tc>
        <w:tc>
          <w:tcPr>
            <w:tcW w:w="3118"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1</w:t>
            </w:r>
          </w:p>
        </w:tc>
        <w:tc>
          <w:tcPr>
            <w:tcW w:w="3118" w:type="dxa"/>
            <w:tcBorders>
              <w:top w:val="nil"/>
              <w:left w:val="nil"/>
              <w:bottom w:val="nil"/>
              <w:right w:val="nil"/>
            </w:tcBorders>
          </w:tcPr>
          <w:bookmarkStart w:id="5109" w:name="P5109"/>
          <w:bookmarkEnd w:id="5109"/>
          <w:p>
            <w:pPr>
              <w:pStyle w:val="0"/>
            </w:pPr>
            <w:r>
              <w:rPr>
                <w:sz w:val="20"/>
              </w:rPr>
              <w:t xml:space="preserve">ОТ (ЗТ)</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bookmarkStart w:id="5121" w:name="P5121"/>
          <w:bookmarkEnd w:id="5121"/>
          <w:p>
            <w:pPr>
              <w:pStyle w:val="0"/>
            </w:pPr>
            <w:r>
              <w:rPr>
                <w:sz w:val="20"/>
              </w:rPr>
              <w:t xml:space="preserve">Средний разряд работы &lt;разряд&gt;</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bookmarkStart w:id="5133" w:name="P5133"/>
          <w:bookmarkEnd w:id="5133"/>
          <w:p>
            <w:pPr>
              <w:pStyle w:val="0"/>
            </w:pPr>
            <w:r>
              <w:rPr>
                <w:sz w:val="20"/>
              </w:rPr>
              <w:t xml:space="preserve">Рабочий &lt;разряд&gt; разряда</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p>
            <w:pPr>
              <w:pStyle w:val="0"/>
            </w:pPr>
            <w:r>
              <w:rPr>
                <w:sz w:val="20"/>
              </w:rPr>
              <w:t xml:space="preserve">Ведущий инженер</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bookmarkStart w:id="5157" w:name="P5157"/>
          <w:bookmarkEnd w:id="5157"/>
          <w:p>
            <w:pPr>
              <w:pStyle w:val="0"/>
            </w:pPr>
            <w:r>
              <w:rPr>
                <w:sz w:val="20"/>
              </w:rPr>
              <w:t xml:space="preserve">Инженер &lt;категория&gt; категории</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p>
            <w:pPr>
              <w:pStyle w:val="0"/>
            </w:pPr>
            <w:r>
              <w:rPr>
                <w:sz w:val="20"/>
              </w:rPr>
              <w:t xml:space="preserve">Главный технолог</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p>
            <w:pPr>
              <w:pStyle w:val="0"/>
            </w:pPr>
            <w:r>
              <w:rPr>
                <w:sz w:val="20"/>
              </w:rPr>
              <w:t xml:space="preserve">Технолог &lt;категория&gt; категории</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2</w:t>
            </w:r>
          </w:p>
        </w:tc>
        <w:tc>
          <w:tcPr>
            <w:tcW w:w="3118" w:type="dxa"/>
            <w:tcBorders>
              <w:top w:val="nil"/>
              <w:left w:val="nil"/>
              <w:bottom w:val="nil"/>
              <w:right w:val="nil"/>
            </w:tcBorders>
          </w:tcPr>
          <w:bookmarkStart w:id="5193" w:name="P5193"/>
          <w:bookmarkEnd w:id="5193"/>
          <w:p>
            <w:pPr>
              <w:pStyle w:val="0"/>
            </w:pPr>
            <w:r>
              <w:rPr>
                <w:sz w:val="20"/>
              </w:rPr>
              <w:t xml:space="preserve">ЭМ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bookmarkStart w:id="5205" w:name="P5205"/>
          <w:bookmarkEnd w:id="5205"/>
          <w:p>
            <w:pPr>
              <w:pStyle w:val="0"/>
            </w:pPr>
            <w:r>
              <w:rPr>
                <w:sz w:val="20"/>
              </w:rPr>
              <w:t xml:space="preserve">ОТм (ЗТм)</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18" w:type="dxa"/>
            <w:tcBorders>
              <w:top w:val="nil"/>
              <w:left w:val="nil"/>
              <w:bottom w:val="nil"/>
              <w:right w:val="nil"/>
            </w:tcBorders>
          </w:tcPr>
          <w:p>
            <w:pPr>
              <w:pStyle w:val="0"/>
            </w:pPr>
            <w:r>
              <w:rPr>
                <w:sz w:val="20"/>
              </w:rPr>
              <w:t xml:space="preserve">&lt;Наименование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&lt;индекс&gt;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p>
            <w:pPr>
              <w:pStyle w:val="0"/>
            </w:pPr>
            <w:r>
              <w:rPr>
                <w:sz w:val="20"/>
              </w:rPr>
              <w:t xml:space="preserve">ОТм (ЗТм) Средний разряд машинистов &lt;разряд&gt;</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18" w:type="dxa"/>
            <w:tcBorders>
              <w:top w:val="nil"/>
              <w:left w:val="nil"/>
              <w:bottom w:val="nil"/>
              <w:right w:val="nil"/>
            </w:tcBorders>
          </w:tcPr>
          <w:p>
            <w:pPr>
              <w:pStyle w:val="0"/>
            </w:pPr>
            <w:r>
              <w:rPr>
                <w:sz w:val="20"/>
              </w:rPr>
              <w:t xml:space="preserve">&lt;Наименование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p>
            <w:pPr>
              <w:pStyle w:val="0"/>
            </w:pPr>
            <w:r>
              <w:rPr>
                <w:sz w:val="20"/>
              </w:rPr>
              <w:t xml:space="preserve">ОТм (ЗТм) Средний разряд машинистов &lt;разряд&gt;</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4</w:t>
            </w:r>
          </w:p>
        </w:tc>
        <w:tc>
          <w:tcPr>
            <w:tcW w:w="3118" w:type="dxa"/>
            <w:tcBorders>
              <w:top w:val="nil"/>
              <w:left w:val="nil"/>
              <w:bottom w:val="nil"/>
              <w:right w:val="nil"/>
            </w:tcBorders>
          </w:tcPr>
          <w:bookmarkStart w:id="5265" w:name="P5265"/>
          <w:bookmarkEnd w:id="5265"/>
          <w:p>
            <w:pPr>
              <w:pStyle w:val="0"/>
            </w:pPr>
            <w:r>
              <w:rPr>
                <w:sz w:val="20"/>
              </w:rPr>
              <w:t xml:space="preserve">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учтенного ресурса&gt;</w:t>
            </w:r>
          </w:p>
        </w:tc>
        <w:tc>
          <w:tcPr>
            <w:tcW w:w="3118" w:type="dxa"/>
            <w:tcBorders>
              <w:top w:val="nil"/>
              <w:left w:val="nil"/>
              <w:bottom w:val="nil"/>
              <w:right w:val="nil"/>
            </w:tcBorders>
          </w:tcPr>
          <w:p>
            <w:pPr>
              <w:pStyle w:val="0"/>
            </w:pPr>
            <w:r>
              <w:rPr>
                <w:sz w:val="20"/>
              </w:rPr>
              <w:t xml:space="preserve">&lt;Наименование 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&lt;индекс&gt;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учтенного ресурса&gt;</w:t>
            </w:r>
          </w:p>
        </w:tc>
        <w:tc>
          <w:tcPr>
            <w:tcW w:w="3118" w:type="dxa"/>
            <w:tcBorders>
              <w:top w:val="nil"/>
              <w:left w:val="nil"/>
              <w:bottom w:val="nil"/>
              <w:right w:val="nil"/>
            </w:tcBorders>
          </w:tcPr>
          <w:p>
            <w:pPr>
              <w:pStyle w:val="0"/>
            </w:pPr>
            <w:r>
              <w:rPr>
                <w:sz w:val="20"/>
              </w:rPr>
              <w:t xml:space="preserve">&lt;Наименование 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группы неучтенного ресурса&gt;</w:t>
            </w:r>
          </w:p>
        </w:tc>
        <w:tc>
          <w:tcPr>
            <w:tcW w:w="3118" w:type="dxa"/>
            <w:tcBorders>
              <w:top w:val="nil"/>
              <w:left w:val="nil"/>
              <w:bottom w:val="nil"/>
              <w:right w:val="nil"/>
            </w:tcBorders>
          </w:tcPr>
          <w:p>
            <w:pPr>
              <w:pStyle w:val="0"/>
            </w:pPr>
            <w:r>
              <w:rPr>
                <w:sz w:val="20"/>
              </w:rPr>
              <w:t xml:space="preserve">&lt;Наименование группы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группы неучтенного ресурса&gt;</w:t>
            </w:r>
          </w:p>
        </w:tc>
        <w:tc>
          <w:tcPr>
            <w:tcW w:w="3118" w:type="dxa"/>
            <w:tcBorders>
              <w:top w:val="nil"/>
              <w:left w:val="nil"/>
              <w:bottom w:val="single" w:sz="4"/>
              <w:right w:val="nil"/>
            </w:tcBorders>
          </w:tcPr>
          <w:p>
            <w:pPr>
              <w:pStyle w:val="0"/>
            </w:pPr>
            <w:r>
              <w:rPr>
                <w:sz w:val="20"/>
              </w:rPr>
              <w:t xml:space="preserve">&lt;Наименование группы неучтенного ресурса&gt;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single" w:sz="4"/>
              <w:left w:val="nil"/>
              <w:bottom w:val="nil"/>
              <w:right w:val="nil"/>
            </w:tcBorders>
          </w:tcPr>
          <w:bookmarkStart w:id="5325" w:name="P5325"/>
          <w:bookmarkEnd w:id="5325"/>
          <w:p>
            <w:pPr>
              <w:pStyle w:val="0"/>
            </w:pPr>
            <w:r>
              <w:rPr>
                <w:sz w:val="20"/>
              </w:rPr>
              <w:t xml:space="preserve">Итого прямые затраты</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bookmarkStart w:id="5337" w:name="P5337"/>
          <w:bookmarkEnd w:id="5337"/>
          <w:p>
            <w:pPr>
              <w:pStyle w:val="0"/>
            </w:pPr>
            <w:r>
              <w:rPr>
                <w:sz w:val="20"/>
              </w:rPr>
              <w:t xml:space="preserve">Вспомогательные ненормируемые материальные ресурсы</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ресурса&gt;</w:t>
            </w:r>
          </w:p>
        </w:tc>
        <w:tc>
          <w:tcPr>
            <w:tcW w:w="3118" w:type="dxa"/>
            <w:tcBorders>
              <w:top w:val="nil"/>
              <w:left w:val="nil"/>
              <w:bottom w:val="nil"/>
              <w:right w:val="nil"/>
            </w:tcBorders>
          </w:tcPr>
          <w:p>
            <w:pPr>
              <w:pStyle w:val="0"/>
            </w:pPr>
            <w:r>
              <w:rPr>
                <w:sz w:val="20"/>
              </w:rPr>
              <w:t xml:space="preserve">&lt;Наименование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&lt;индекс&gt;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ресурса&gt;</w:t>
            </w:r>
          </w:p>
        </w:tc>
        <w:tc>
          <w:tcPr>
            <w:tcW w:w="3118" w:type="dxa"/>
            <w:tcBorders>
              <w:top w:val="nil"/>
              <w:left w:val="nil"/>
              <w:bottom w:val="nil"/>
              <w:right w:val="nil"/>
            </w:tcBorders>
          </w:tcPr>
          <w:p>
            <w:pPr>
              <w:pStyle w:val="0"/>
            </w:pPr>
            <w:r>
              <w:rPr>
                <w:sz w:val="20"/>
              </w:rPr>
              <w:t xml:space="preserve">&lt;Наименование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 обоснование перевозки&gt;</w:t>
            </w:r>
          </w:p>
        </w:tc>
        <w:tc>
          <w:tcPr>
            <w:tcW w:w="3118" w:type="dxa"/>
            <w:tcBorders>
              <w:top w:val="nil"/>
              <w:left w:val="nil"/>
              <w:bottom w:val="nil"/>
              <w:right w:val="nil"/>
            </w:tcBorders>
          </w:tcPr>
          <w:p>
            <w:pPr>
              <w:pStyle w:val="0"/>
            </w:pPr>
            <w:r>
              <w:rPr>
                <w:sz w:val="20"/>
              </w:rPr>
              <w:t xml:space="preserve">Затраты на перевозку на расстояние в соответствии с проектной и (или) иной технической документацией (дополнительные затраты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tc>
        <w:tc>
          <w:tcPr>
            <w:tcW w:w="1247" w:type="dxa"/>
            <w:tcBorders>
              <w:top w:val="nil"/>
              <w:left w:val="nil"/>
              <w:bottom w:val="nil"/>
              <w:right w:val="nil"/>
            </w:tcBorders>
          </w:tcPr>
          <w:p>
            <w:pPr>
              <w:pStyle w:val="0"/>
              <w:jc w:val="center"/>
            </w:pPr>
            <w:r>
              <w:rPr>
                <w:sz w:val="20"/>
              </w:rPr>
              <w:t xml:space="preserve">&lt;единица измерения &gt;</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 обоснование перевозки&gt;</w:t>
            </w:r>
          </w:p>
        </w:tc>
        <w:tc>
          <w:tcPr>
            <w:tcW w:w="3118" w:type="dxa"/>
            <w:tcBorders>
              <w:top w:val="nil"/>
              <w:left w:val="nil"/>
              <w:bottom w:val="nil"/>
              <w:right w:val="nil"/>
            </w:tcBorders>
          </w:tcPr>
          <w:p>
            <w:pPr>
              <w:pStyle w:val="0"/>
            </w:pPr>
            <w:r>
              <w:rPr>
                <w:sz w:val="20"/>
              </w:rPr>
              <w:t xml:space="preserve">Исключение затрат на перевозку на расстояние, учтенное сметными ценами (дополнительные затраты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tc>
        <w:tc>
          <w:tcPr>
            <w:tcW w:w="1247" w:type="dxa"/>
            <w:tcBorders>
              <w:top w:val="nil"/>
              <w:left w:val="nil"/>
              <w:bottom w:val="nil"/>
              <w:right w:val="nil"/>
            </w:tcBorders>
          </w:tcPr>
          <w:p>
            <w:pPr>
              <w:pStyle w:val="0"/>
              <w:jc w:val="center"/>
            </w:pPr>
            <w:r>
              <w:rPr>
                <w:sz w:val="20"/>
              </w:rPr>
              <w:t xml:space="preserve">&lt;единица измерения &gt;</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18" w:type="dxa"/>
            <w:tcBorders>
              <w:top w:val="nil"/>
              <w:left w:val="nil"/>
              <w:bottom w:val="nil"/>
              <w:right w:val="nil"/>
            </w:tcBorders>
          </w:tcPr>
          <w:p>
            <w:pPr>
              <w:pStyle w:val="0"/>
            </w:pPr>
            <w:r>
              <w:rPr>
                <w:sz w:val="20"/>
              </w:rPr>
              <w:t xml:space="preserve">&lt;Наименование неучтенных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jc w:val="center"/>
            </w:pPr>
            <w:r>
              <w:rPr>
                <w:sz w:val="20"/>
              </w:rPr>
              <w:t xml:space="preserve">&lt;X&gt;</w:t>
            </w:r>
          </w:p>
        </w:tc>
        <w:tc>
          <w:tcPr>
            <w:tcW w:w="1128" w:type="dxa"/>
            <w:tcBorders>
              <w:top w:val="nil"/>
              <w:left w:val="nil"/>
              <w:bottom w:val="nil"/>
              <w:right w:val="nil"/>
            </w:tcBorders>
          </w:tcPr>
          <w:p>
            <w:pPr>
              <w:pStyle w:val="0"/>
              <w:jc w:val="center"/>
            </w:pPr>
            <w:r>
              <w:rPr>
                <w:sz w:val="20"/>
              </w:rPr>
              <w:t xml:space="preserve">&lt;индекс&gt;</w:t>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p>
            <w:pPr>
              <w:pStyle w:val="0"/>
            </w:pPr>
            <w:r>
              <w:rPr>
                <w:sz w:val="20"/>
              </w:rPr>
              <w:t xml:space="preserve">ОТм (ЗТм) Средний разряд машинистов &lt;разряд&gt;</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18" w:type="dxa"/>
            <w:tcBorders>
              <w:top w:val="nil"/>
              <w:left w:val="nil"/>
              <w:bottom w:val="nil"/>
              <w:right w:val="nil"/>
            </w:tcBorders>
          </w:tcPr>
          <w:p>
            <w:pPr>
              <w:pStyle w:val="0"/>
            </w:pPr>
            <w:r>
              <w:rPr>
                <w:sz w:val="20"/>
              </w:rPr>
              <w:t xml:space="preserve">&lt;Наименование неучтенных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18" w:type="dxa"/>
            <w:tcBorders>
              <w:top w:val="nil"/>
              <w:left w:val="nil"/>
              <w:bottom w:val="nil"/>
              <w:right w:val="nil"/>
            </w:tcBorders>
          </w:tcPr>
          <w:p>
            <w:pPr>
              <w:pStyle w:val="0"/>
            </w:pPr>
            <w:r>
              <w:rPr>
                <w:sz w:val="20"/>
              </w:rPr>
              <w:t xml:space="preserve">ОТм (ЗТм) Средний разряд машинистов &lt;разряд&gt;</w:t>
            </w:r>
          </w:p>
        </w:tc>
        <w:tc>
          <w:tcPr>
            <w:tcW w:w="1247" w:type="dxa"/>
            <w:tcBorders>
              <w:top w:val="nil"/>
              <w:left w:val="nil"/>
              <w:bottom w:val="nil"/>
              <w:right w:val="nil"/>
            </w:tcBorders>
          </w:tcPr>
          <w:p>
            <w:pPr>
              <w:pStyle w:val="0"/>
              <w:jc w:val="center"/>
            </w:pPr>
            <w:r>
              <w:rPr>
                <w:sz w:val="20"/>
              </w:rPr>
              <w:t xml:space="preserve">чел.-ч</w:t>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21" w:type="dxa"/>
            <w:tcBorders>
              <w:top w:val="nil"/>
              <w:left w:val="nil"/>
              <w:bottom w:val="nil"/>
              <w:right w:val="nil"/>
            </w:tcBorders>
          </w:tcPr>
          <w:p>
            <w:pPr>
              <w:pStyle w:val="0"/>
              <w:jc w:val="center"/>
            </w:pPr>
            <w:r>
              <w:rPr>
                <w:sz w:val="20"/>
              </w:rPr>
              <w:t xml:space="preserve">&lt;результирующий коэффициент&gt;</w:t>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bookmarkStart w:id="5445" w:name="P5445"/>
          <w:bookmarkEnd w:id="5445"/>
          <w:p>
            <w:pPr>
              <w:pStyle w:val="0"/>
            </w:pPr>
            <w:r>
              <w:rPr>
                <w:sz w:val="20"/>
              </w:rPr>
              <w:t xml:space="preserve">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bookmarkStart w:id="5457" w:name="P5457"/>
          <w:bookmarkEnd w:id="5457"/>
          <w:p>
            <w:pPr>
              <w:pStyle w:val="0"/>
            </w:pPr>
            <w:r>
              <w:rPr>
                <w:sz w:val="20"/>
              </w:rPr>
              <w:t xml:space="preserve">НР &lt;вид работ&gt;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jc w:val="center"/>
            </w:pPr>
            <w:r>
              <w:rPr>
                <w:sz w:val="20"/>
              </w:rPr>
              <w:t xml:space="preserve">&lt;норматив НР&gt;</w:t>
            </w:r>
          </w:p>
        </w:tc>
        <w:tc>
          <w:tcPr>
            <w:tcW w:w="1247" w:type="dxa"/>
            <w:tcBorders>
              <w:top w:val="nil"/>
              <w:left w:val="nil"/>
              <w:bottom w:val="nil"/>
              <w:right w:val="nil"/>
            </w:tcBorders>
          </w:tcPr>
          <w:p>
            <w:pPr>
              <w:pStyle w:val="0"/>
              <w:jc w:val="center"/>
            </w:pPr>
            <w:r>
              <w:rPr>
                <w:sz w:val="20"/>
              </w:rPr>
              <w:t xml:space="preserve">&lt;результирующий коэффициент&gt;</w:t>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bookmarkStart w:id="5469" w:name="P5469"/>
          <w:bookmarkEnd w:id="5469"/>
          <w:p>
            <w:pPr>
              <w:pStyle w:val="0"/>
            </w:pPr>
            <w:r>
              <w:rPr>
                <w:sz w:val="20"/>
              </w:rPr>
              <w:t xml:space="preserve">СП &lt;вид работ&gt;</w:t>
            </w:r>
          </w:p>
        </w:tc>
        <w:tc>
          <w:tcPr>
            <w:tcW w:w="1247" w:type="dxa"/>
            <w:tcBorders>
              <w:top w:val="nil"/>
              <w:left w:val="nil"/>
              <w:bottom w:val="single" w:sz="4"/>
              <w:right w:val="nil"/>
            </w:tcBorders>
          </w:tcPr>
          <w:p>
            <w:pPr>
              <w:pStyle w:val="0"/>
              <w:jc w:val="center"/>
            </w:pPr>
            <w:r>
              <w:rPr>
                <w:sz w:val="20"/>
              </w:rPr>
              <w:t xml:space="preserve">%</w:t>
            </w:r>
          </w:p>
        </w:tc>
        <w:tc>
          <w:tcPr>
            <w:tcW w:w="680" w:type="dxa"/>
            <w:tcBorders>
              <w:top w:val="nil"/>
              <w:left w:val="nil"/>
              <w:bottom w:val="single" w:sz="4"/>
              <w:right w:val="nil"/>
            </w:tcBorders>
          </w:tcPr>
          <w:p>
            <w:pPr>
              <w:pStyle w:val="0"/>
              <w:jc w:val="center"/>
            </w:pPr>
            <w:r>
              <w:rPr>
                <w:sz w:val="20"/>
              </w:rPr>
              <w:t xml:space="preserve">&lt;норматив СП&gt;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bookmarkStart w:id="5481" w:name="P5481"/>
          <w:bookmarkEnd w:id="5481"/>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jc w:val="center"/>
            </w:pPr>
            <w:r>
              <w:rPr>
                <w:sz w:val="20"/>
              </w:rPr>
              <w:t xml:space="preserve">&lt;X&gt;</w:t>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&lt;код ресурса&gt;</w:t>
            </w:r>
          </w:p>
        </w:tc>
        <w:tc>
          <w:tcPr>
            <w:tcW w:w="3118" w:type="dxa"/>
            <w:tcBorders>
              <w:top w:val="nil"/>
              <w:left w:val="nil"/>
              <w:bottom w:val="single" w:sz="4"/>
              <w:right w:val="nil"/>
            </w:tcBorders>
          </w:tcPr>
          <w:p>
            <w:pPr>
              <w:pStyle w:val="0"/>
            </w:pPr>
            <w:r>
              <w:rPr>
                <w:sz w:val="20"/>
              </w:rPr>
              <w:t xml:space="preserve">&lt;Наименование неучтенного ресурса&gt;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jc w:val="center"/>
            </w:pPr>
            <w:r>
              <w:rPr>
                <w:sz w:val="20"/>
              </w:rPr>
              <w:t xml:space="preserve">&lt;X&gt;</w:t>
            </w:r>
          </w:p>
        </w:tc>
        <w:tc>
          <w:tcPr>
            <w:tcW w:w="1128" w:type="dxa"/>
            <w:tcBorders>
              <w:top w:val="nil"/>
              <w:left w:val="nil"/>
              <w:bottom w:val="single" w:sz="4"/>
              <w:right w:val="nil"/>
            </w:tcBorders>
          </w:tcPr>
          <w:p>
            <w:pPr>
              <w:pStyle w:val="0"/>
              <w:jc w:val="center"/>
            </w:pPr>
            <w:r>
              <w:rPr>
                <w:sz w:val="20"/>
              </w:rPr>
              <w:t xml:space="preserve">&lt;индекс&gt;</w:t>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&lt;результирующий коэффициент&gt;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&lt;код ресурса&gt;</w:t>
            </w:r>
          </w:p>
        </w:tc>
        <w:tc>
          <w:tcPr>
            <w:tcW w:w="3118" w:type="dxa"/>
            <w:tcBorders>
              <w:top w:val="nil"/>
              <w:left w:val="nil"/>
              <w:bottom w:val="single" w:sz="4"/>
              <w:right w:val="nil"/>
            </w:tcBorders>
          </w:tcPr>
          <w:p>
            <w:pPr>
              <w:pStyle w:val="0"/>
            </w:pPr>
            <w:r>
              <w:rPr>
                <w:sz w:val="20"/>
              </w:rPr>
              <w:t xml:space="preserve">&lt;Наименование неучтенного ресурса&gt;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&lt;результирующий коэффициент&gt;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&lt;Наименование неучтенного ресурса, отсутствующего в ФРСН&gt;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jc w:val="center"/>
            </w:pPr>
            <w:r>
              <w:rPr>
                <w:sz w:val="20"/>
              </w:rPr>
              <w:t xml:space="preserve">&lt;результирующий коэффициент&gt;</w:t>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&lt;результирующий коэффициент&gt;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&lt;Перевозка&gt;</w:t>
            </w:r>
          </w:p>
        </w:tc>
        <w:tc>
          <w:tcPr>
            <w:tcW w:w="1247" w:type="dxa"/>
            <w:tcBorders>
              <w:top w:val="nil"/>
              <w:left w:val="nil"/>
              <w:bottom w:val="single" w:sz="4"/>
              <w:right w:val="nil"/>
            </w:tcBorders>
          </w:tcPr>
          <w:p>
            <w:pPr>
              <w:pStyle w:val="0"/>
              <w:jc w:val="center"/>
            </w:pPr>
            <w:r>
              <w:rPr>
                <w:sz w:val="20"/>
              </w:rPr>
              <w:t xml:space="preserve">&lt;единица измерения&gt;</w:t>
            </w:r>
          </w:p>
        </w:tc>
        <w:tc>
          <w:tcPr>
            <w:tcW w:w="680" w:type="dxa"/>
            <w:tcBorders>
              <w:top w:val="nil"/>
              <w:left w:val="nil"/>
              <w:bottom w:val="single" w:sz="4"/>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&lt;результирующий коэффициент&gt;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18" w:type="dxa"/>
            <w:tcBorders>
              <w:top w:val="nil"/>
              <w:left w:val="nil"/>
              <w:bottom w:val="single" w:sz="4"/>
              <w:right w:val="nil"/>
            </w:tcBorders>
          </w:tcPr>
          <w:p>
            <w:pPr>
              <w:pStyle w:val="0"/>
            </w:pPr>
            <w:r>
              <w:rPr>
                <w:sz w:val="20"/>
              </w:rPr>
              <w:t xml:space="preserve">&lt;Прочие затраты&gt; </w:t>
            </w:r>
            <w:hyperlink w:history="0" w:anchor="P6747"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1247" w:type="dxa"/>
            <w:tcBorders>
              <w:top w:val="nil"/>
              <w:left w:val="nil"/>
              <w:bottom w:val="single" w:sz="4"/>
              <w:right w:val="nil"/>
            </w:tcBorders>
          </w:tcPr>
          <w:p>
            <w:pPr>
              <w:pStyle w:val="0"/>
              <w:jc w:val="center"/>
            </w:pPr>
            <w:r>
              <w:rPr>
                <w:sz w:val="20"/>
              </w:rPr>
              <w:t xml:space="preserve">&lt;единица измерения &gt;</w:t>
            </w:r>
          </w:p>
        </w:tc>
        <w:tc>
          <w:tcPr>
            <w:tcW w:w="680" w:type="dxa"/>
            <w:tcBorders>
              <w:top w:val="nil"/>
              <w:left w:val="nil"/>
              <w:bottom w:val="single" w:sz="4"/>
              <w:right w:val="nil"/>
            </w:tcBorders>
          </w:tcPr>
          <w:p>
            <w:pPr>
              <w:pStyle w:val="0"/>
              <w:jc w:val="center"/>
            </w:pPr>
            <w:r>
              <w:rPr>
                <w:sz w:val="20"/>
              </w:rPr>
              <w:t xml:space="preserve">&lt;X&gt;</w:t>
            </w:r>
          </w:p>
        </w:tc>
        <w:tc>
          <w:tcPr>
            <w:tcW w:w="1247" w:type="dxa"/>
            <w:tcBorders>
              <w:top w:val="nil"/>
              <w:left w:val="nil"/>
              <w:bottom w:val="single" w:sz="4"/>
              <w:right w:val="nil"/>
            </w:tcBorders>
          </w:tcPr>
          <w:p>
            <w:pPr>
              <w:pStyle w:val="0"/>
            </w:pPr>
            <w:r>
              <w:rPr>
                <w:sz w:val="20"/>
              </w:rPr>
            </w:r>
          </w:p>
        </w:tc>
        <w:tc>
          <w:tcPr>
            <w:tcW w:w="994" w:type="dxa"/>
            <w:tcBorders>
              <w:top w:val="nil"/>
              <w:left w:val="nil"/>
              <w:bottom w:val="single" w:sz="4"/>
              <w:right w:val="nil"/>
            </w:tcBorders>
          </w:tcPr>
          <w:p>
            <w:pPr>
              <w:pStyle w:val="0"/>
              <w:jc w:val="center"/>
            </w:pPr>
            <w:r>
              <w:rPr>
                <w:sz w:val="20"/>
              </w:rPr>
              <w:t xml:space="preserve">&lt;X&gt;</w:t>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21" w:type="dxa"/>
            <w:tcBorders>
              <w:top w:val="nil"/>
              <w:left w:val="nil"/>
              <w:bottom w:val="single" w:sz="4"/>
              <w:right w:val="nil"/>
            </w:tcBorders>
          </w:tcPr>
          <w:p>
            <w:pPr>
              <w:pStyle w:val="0"/>
              <w:jc w:val="center"/>
            </w:pPr>
            <w:r>
              <w:rPr>
                <w:sz w:val="20"/>
              </w:rPr>
              <w:t xml:space="preserve">&lt;результирующий коэффициент&gt;</w:t>
            </w:r>
          </w:p>
        </w:tc>
        <w:tc>
          <w:tcPr>
            <w:tcW w:w="964"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3"/>
            <w:tcW w:w="5045" w:type="dxa"/>
            <w:tcBorders>
              <w:top w:val="nil"/>
              <w:left w:val="nil"/>
              <w:bottom w:val="nil"/>
              <w:right w:val="nil"/>
            </w:tcBorders>
          </w:tcPr>
          <w:p>
            <w:pPr>
              <w:pStyle w:val="0"/>
            </w:pPr>
            <w:r>
              <w:rPr>
                <w:sz w:val="20"/>
              </w:rPr>
              <w:t xml:space="preserve">Итого прямые затраты по разделу X. &lt;Наименование раздела&gt;</w:t>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перевозка</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накладные расходы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сметная прибыль</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оборудование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Итого прочие затраты </w:t>
            </w:r>
            <w:hyperlink w:history="0" w:anchor="P6746" w:tooltip="&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
              <w:r>
                <w:rPr>
                  <w:sz w:val="20"/>
                  <w:color w:val="0000ff"/>
                </w:rPr>
                <w:t xml:space="preserve">&lt;1&gt;</w:t>
              </w:r>
            </w:hyperlink>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3"/>
            <w:tcW w:w="5045" w:type="dxa"/>
            <w:tcBorders>
              <w:top w:val="nil"/>
              <w:left w:val="nil"/>
              <w:bottom w:val="nil"/>
              <w:right w:val="nil"/>
            </w:tcBorders>
          </w:tcPr>
          <w:p>
            <w:pPr>
              <w:pStyle w:val="0"/>
            </w:pPr>
            <w:r>
              <w:rPr>
                <w:sz w:val="20"/>
              </w:rPr>
              <w:t xml:space="preserve">Итого по разделу X. &lt;Наименование раздела&gt;</w:t>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Справочно</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материальные ресурсы, отсутствующие в ФРСН</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оборудование, отсутствующее в ФРСН</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затраты труда рабочих</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jc w:val="center"/>
            </w:pPr>
            <w:r>
              <w:rPr>
                <w:sz w:val="20"/>
              </w:rPr>
              <w:t xml:space="preserve">&lt;X&gt;</w:t>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tcW w:w="3118" w:type="dxa"/>
            <w:tcBorders>
              <w:top w:val="nil"/>
              <w:left w:val="nil"/>
              <w:bottom w:val="single" w:sz="4"/>
              <w:right w:val="nil"/>
            </w:tcBorders>
          </w:tcPr>
          <w:p>
            <w:pPr>
              <w:pStyle w:val="0"/>
              <w:ind w:left="566"/>
            </w:pPr>
            <w:r>
              <w:rPr>
                <w:sz w:val="20"/>
              </w:rPr>
              <w:t xml:space="preserve">затраты труда машинистов</w:t>
            </w:r>
          </w:p>
        </w:tc>
        <w:tc>
          <w:tcPr>
            <w:tcW w:w="1247"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1247" w:type="dxa"/>
            <w:tcBorders>
              <w:top w:val="nil"/>
              <w:left w:val="nil"/>
              <w:bottom w:val="single" w:sz="4"/>
              <w:right w:val="nil"/>
            </w:tcBorders>
          </w:tcPr>
          <w:p>
            <w:pPr>
              <w:pStyle w:val="0"/>
              <w:jc w:val="center"/>
            </w:pPr>
            <w:r>
              <w:rPr>
                <w:sz w:val="20"/>
              </w:rPr>
              <w:t xml:space="preserve">&lt;X&gt;</w:t>
            </w:r>
          </w:p>
        </w:tc>
        <w:tc>
          <w:tcPr>
            <w:tcW w:w="994"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1128"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pPr>
            <w:r>
              <w:rPr>
                <w:sz w:val="20"/>
              </w:rPr>
            </w:r>
          </w:p>
        </w:tc>
        <w:tc>
          <w:tcPr>
            <w:tcW w:w="821" w:type="dxa"/>
            <w:tcBorders>
              <w:top w:val="nil"/>
              <w:left w:val="nil"/>
              <w:bottom w:val="single" w:sz="4"/>
              <w:right w:val="nil"/>
            </w:tcBorders>
          </w:tcPr>
          <w:p>
            <w:pPr>
              <w:pStyle w:val="0"/>
            </w:pPr>
            <w:r>
              <w:rPr>
                <w:sz w:val="20"/>
              </w:rPr>
            </w:r>
          </w:p>
        </w:tc>
        <w:tc>
          <w:tcPr>
            <w:tcW w:w="964" w:type="dxa"/>
            <w:tcBorders>
              <w:top w:val="nil"/>
              <w:left w:val="nil"/>
              <w:bottom w:val="single" w:sz="4"/>
              <w:right w:val="nil"/>
            </w:tcBorders>
          </w:tcPr>
          <w:p>
            <w:pPr>
              <w:pStyle w:val="0"/>
            </w:pPr>
            <w:r>
              <w:rPr>
                <w:sz w:val="20"/>
              </w:rPr>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18" w:type="dxa"/>
            <w:tcBorders>
              <w:top w:val="single" w:sz="4"/>
              <w:left w:val="nil"/>
              <w:bottom w:val="nil"/>
              <w:right w:val="nil"/>
            </w:tcBorders>
          </w:tcPr>
          <w:p>
            <w:pPr>
              <w:pStyle w:val="0"/>
            </w:pPr>
            <w:r>
              <w:rPr>
                <w:sz w:val="20"/>
              </w:rPr>
              <w:t xml:space="preserve">ИТОГИ ПО СМЕТЕ</w:t>
            </w:r>
          </w:p>
        </w:tc>
        <w:tc>
          <w:tcPr>
            <w:tcW w:w="1247"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247" w:type="dxa"/>
            <w:tcBorders>
              <w:top w:val="single" w:sz="4"/>
              <w:left w:val="nil"/>
              <w:bottom w:val="nil"/>
              <w:right w:val="nil"/>
            </w:tcBorders>
          </w:tcPr>
          <w:p>
            <w:pPr>
              <w:pStyle w:val="0"/>
            </w:pPr>
            <w:r>
              <w:rPr>
                <w:sz w:val="20"/>
              </w:rPr>
            </w:r>
          </w:p>
        </w:tc>
        <w:tc>
          <w:tcPr>
            <w:tcW w:w="99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1128"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21" w:type="dxa"/>
            <w:tcBorders>
              <w:top w:val="single" w:sz="4"/>
              <w:left w:val="nil"/>
              <w:bottom w:val="nil"/>
              <w:right w:val="nil"/>
            </w:tcBorders>
          </w:tcPr>
          <w:p>
            <w:pPr>
              <w:pStyle w:val="0"/>
            </w:pPr>
            <w:r>
              <w:rPr>
                <w:sz w:val="20"/>
              </w:rPr>
            </w:r>
          </w:p>
        </w:tc>
        <w:tc>
          <w:tcPr>
            <w:tcW w:w="964"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строительные работы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перевозка</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монтажных работ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перевозка</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оборудование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прочие затраты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прочие затраты </w:t>
            </w:r>
            <w:hyperlink w:history="0" w:anchor="P6747"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прочие работы </w:t>
            </w:r>
            <w:hyperlink w:history="0" w:anchor="P6748" w:tooltip="&lt;3&gt; Под прочими работами понимаются затраты, учитываемые в соответствии с пунктами 122 - 128 Методики.">
              <w:r>
                <w:rPr>
                  <w:sz w:val="20"/>
                  <w:color w:val="0000ff"/>
                </w:rPr>
                <w:t xml:space="preserve">&lt;3&gt;</w:t>
              </w:r>
            </w:hyperlink>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перевозка</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по смете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283"/>
            </w:pPr>
            <w:r>
              <w:rPr>
                <w:sz w:val="20"/>
              </w:rPr>
              <w:t xml:space="preserve">перевозка</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ФОТ</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оборудование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Всего прочие затраты </w:t>
            </w:r>
            <w:hyperlink w:history="0" w:anchor="P6747" w:tooltip="&lt;2&gt; Под прочими затратами понимаются затраты, учитываемые в соответствии с пунктом 184 Методики.">
              <w:r>
                <w:rPr>
                  <w:sz w:val="20"/>
                  <w:color w:val="0000ff"/>
                </w:rPr>
                <w:t xml:space="preserve">&lt;2&gt;</w:t>
              </w:r>
            </w:hyperlink>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Справочно</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материальные ресурсы, отсутствующие в ФРСН</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оборудование, отсутствующие в ФРСН</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затраты труда рабочих</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ind w:left="566"/>
            </w:pPr>
            <w:r>
              <w:rPr>
                <w:sz w:val="20"/>
              </w:rPr>
              <w:t xml:space="preserve">затраты труда машинистов</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ПНР "вхолостую"</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ПНР "под нагрузкой"</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18"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68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994" w:type="dxa"/>
            <w:tcBorders>
              <w:top w:val="nil"/>
              <w:left w:val="nil"/>
              <w:bottom w:val="nil"/>
              <w:right w:val="nil"/>
            </w:tcBorders>
          </w:tcPr>
          <w:p>
            <w:pPr>
              <w:pStyle w:val="0"/>
              <w:jc w:val="center"/>
            </w:pPr>
            <w:r>
              <w:rPr>
                <w:sz w:val="20"/>
              </w:rPr>
              <w:t xml:space="preserve">&lt;X&gt;</w:t>
            </w:r>
          </w:p>
        </w:tc>
        <w:tc>
          <w:tcPr>
            <w:tcW w:w="680" w:type="dxa"/>
            <w:tcBorders>
              <w:top w:val="nil"/>
              <w:left w:val="nil"/>
              <w:bottom w:val="nil"/>
              <w:right w:val="nil"/>
            </w:tcBorders>
          </w:tcPr>
          <w:p>
            <w:pPr>
              <w:pStyle w:val="0"/>
            </w:pPr>
            <w:r>
              <w:rPr>
                <w:sz w:val="20"/>
              </w:rPr>
            </w:r>
          </w:p>
        </w:tc>
        <w:tc>
          <w:tcPr>
            <w:tcW w:w="1128"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21" w:type="dxa"/>
            <w:tcBorders>
              <w:top w:val="nil"/>
              <w:left w:val="nil"/>
              <w:bottom w:val="nil"/>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&lt;X&gt;</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1345"/>
        <w:gridCol w:w="7701"/>
      </w:tblGrid>
      <w:tr>
        <w:tc>
          <w:tcPr>
            <w:tcW w:w="1345" w:type="dxa"/>
            <w:tcBorders>
              <w:top w:val="nil"/>
              <w:left w:val="nil"/>
              <w:bottom w:val="nil"/>
              <w:right w:val="nil"/>
            </w:tcBorders>
          </w:tcPr>
          <w:p>
            <w:pPr>
              <w:pStyle w:val="0"/>
              <w:ind w:left="283"/>
            </w:pPr>
            <w:r>
              <w:rPr>
                <w:sz w:val="20"/>
              </w:rPr>
              <w:t xml:space="preserve">Составил</w:t>
            </w:r>
          </w:p>
        </w:tc>
        <w:tc>
          <w:tcPr>
            <w:tcW w:w="7701" w:type="dxa"/>
            <w:tcBorders>
              <w:top w:val="nil"/>
              <w:left w:val="nil"/>
              <w:bottom w:val="single" w:sz="4"/>
              <w:right w:val="nil"/>
            </w:tcBorders>
          </w:tcPr>
          <w:p>
            <w:pPr>
              <w:pStyle w:val="0"/>
            </w:pPr>
            <w:r>
              <w:rPr>
                <w:sz w:val="20"/>
              </w:rPr>
            </w:r>
          </w:p>
        </w:tc>
      </w:tr>
      <w:tr>
        <w:tc>
          <w:tcPr>
            <w:tcW w:w="1345" w:type="dxa"/>
            <w:tcBorders>
              <w:top w:val="nil"/>
              <w:left w:val="nil"/>
              <w:bottom w:val="nil"/>
              <w:right w:val="nil"/>
            </w:tcBorders>
          </w:tcPr>
          <w:p>
            <w:pPr>
              <w:pStyle w:val="0"/>
            </w:pPr>
            <w:r>
              <w:rPr>
                <w:sz w:val="20"/>
              </w:rPr>
            </w:r>
          </w:p>
        </w:tc>
        <w:tc>
          <w:tcPr>
            <w:tcW w:w="7701" w:type="dxa"/>
            <w:tcBorders>
              <w:top w:val="single" w:sz="4"/>
              <w:left w:val="nil"/>
              <w:bottom w:val="nil"/>
              <w:right w:val="nil"/>
            </w:tcBorders>
          </w:tcPr>
          <w:p>
            <w:pPr>
              <w:pStyle w:val="0"/>
            </w:pPr>
            <w:r>
              <w:rPr>
                <w:sz w:val="20"/>
              </w:rPr>
              <w:t xml:space="preserve">[должность, подпись (инициалы, фамилия)]</w:t>
            </w:r>
          </w:p>
        </w:tc>
      </w:tr>
      <w:tr>
        <w:tc>
          <w:tcPr>
            <w:tcW w:w="1345" w:type="dxa"/>
            <w:tcBorders>
              <w:top w:val="nil"/>
              <w:left w:val="nil"/>
              <w:bottom w:val="nil"/>
              <w:right w:val="nil"/>
            </w:tcBorders>
          </w:tcPr>
          <w:p>
            <w:pPr>
              <w:pStyle w:val="0"/>
              <w:ind w:left="283"/>
            </w:pPr>
            <w:r>
              <w:rPr>
                <w:sz w:val="20"/>
              </w:rPr>
              <w:t xml:space="preserve">Проверил</w:t>
            </w:r>
          </w:p>
        </w:tc>
        <w:tc>
          <w:tcPr>
            <w:tcW w:w="7701" w:type="dxa"/>
            <w:tcBorders>
              <w:top w:val="nil"/>
              <w:left w:val="nil"/>
              <w:bottom w:val="single" w:sz="4"/>
              <w:right w:val="nil"/>
            </w:tcBorders>
          </w:tcPr>
          <w:p>
            <w:pPr>
              <w:pStyle w:val="0"/>
            </w:pPr>
            <w:r>
              <w:rPr>
                <w:sz w:val="20"/>
              </w:rPr>
            </w:r>
          </w:p>
        </w:tc>
      </w:tr>
      <w:tr>
        <w:tc>
          <w:tcPr>
            <w:tcW w:w="1345" w:type="dxa"/>
            <w:tcBorders>
              <w:top w:val="nil"/>
              <w:left w:val="nil"/>
              <w:bottom w:val="nil"/>
              <w:right w:val="nil"/>
            </w:tcBorders>
          </w:tcPr>
          <w:p>
            <w:pPr>
              <w:pStyle w:val="0"/>
            </w:pPr>
            <w:r>
              <w:rPr>
                <w:sz w:val="20"/>
              </w:rPr>
            </w:r>
          </w:p>
        </w:tc>
        <w:tc>
          <w:tcPr>
            <w:tcW w:w="7701" w:type="dxa"/>
            <w:tcBorders>
              <w:top w:val="single" w:sz="4"/>
              <w:left w:val="nil"/>
              <w:bottom w:val="nil"/>
              <w:right w:val="nil"/>
            </w:tcBorders>
          </w:tcPr>
          <w:p>
            <w:pPr>
              <w:pStyle w:val="0"/>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w:t>
      </w:r>
    </w:p>
    <w:bookmarkStart w:id="6746" w:name="P6746"/>
    <w:bookmarkEnd w:id="6746"/>
    <w:p>
      <w:pPr>
        <w:pStyle w:val="0"/>
        <w:spacing w:before="200" w:line-rule="auto"/>
        <w:ind w:firstLine="540"/>
        <w:jc w:val="both"/>
      </w:pPr>
      <w:r>
        <w:rPr>
          <w:sz w:val="20"/>
        </w:rPr>
        <w:t xml:space="preserve">&lt;1&gt; Зарегистрирован Министерством юстиции Российской Федерации 10 сентября 2019 г., регистрационный N 55869, с изменениями, внесенными приказом Министерства строительства и жилищно-коммунального хозяйства Российской Федерации от 20 февраля 2021 г. N 79/пр (зарегистрирован Министерством юстиции Российской Федерации 9 августа 2021 г., регистрационный N 64577).</w:t>
      </w:r>
    </w:p>
    <w:bookmarkStart w:id="6747" w:name="P6747"/>
    <w:bookmarkEnd w:id="6747"/>
    <w:p>
      <w:pPr>
        <w:pStyle w:val="0"/>
        <w:spacing w:before="200" w:line-rule="auto"/>
        <w:ind w:firstLine="540"/>
        <w:jc w:val="both"/>
      </w:pPr>
      <w:r>
        <w:rPr>
          <w:sz w:val="20"/>
        </w:rPr>
        <w:t xml:space="preserve">&lt;2&gt; Под прочими затратами понимаются затраты, учитываемые в соответствии с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пунктом 184</w:t>
        </w:r>
      </w:hyperlink>
      <w:r>
        <w:rPr>
          <w:sz w:val="20"/>
        </w:rPr>
        <w:t xml:space="preserve"> Методики.</w:t>
      </w:r>
    </w:p>
    <w:bookmarkStart w:id="6748" w:name="P6748"/>
    <w:bookmarkEnd w:id="6748"/>
    <w:p>
      <w:pPr>
        <w:pStyle w:val="0"/>
        <w:spacing w:before="200" w:line-rule="auto"/>
        <w:ind w:firstLine="540"/>
        <w:jc w:val="both"/>
      </w:pPr>
      <w:r>
        <w:rPr>
          <w:sz w:val="20"/>
        </w:rPr>
        <w:t xml:space="preserve">&lt;3&gt; Под прочими работами понимаются затраты, учитываемые в соответствии с </w:t>
      </w:r>
      <w:hyperlink w:history="0" w:anchor="P525" w:tooltip="122. Сметная стоимость пусконаладочных работ определяется на основании программы и графика выполнения пусконаладочных работ.">
        <w:r>
          <w:rPr>
            <w:sz w:val="20"/>
            <w:color w:val="0000ff"/>
          </w:rPr>
          <w:t xml:space="preserve">пунктами 122</w:t>
        </w:r>
      </w:hyperlink>
      <w:r>
        <w:rPr>
          <w:sz w:val="20"/>
        </w:rPr>
        <w:t xml:space="preserve"> - </w:t>
      </w:r>
      <w:hyperlink w:history="0" w:anchor="P540" w:tooltip="128. При определении сметной стоимости строительства особо опасных, технически сложных и уникальных объектов капитального строительства необходимость учета в главе 9 (графы 7 и 8) сводного сметного расчета затрат &quot;под нагрузкой&quot;, определенных сметными расчетами, разработанными по рекомендуемым образцам, приведенным в Приложениях N 2 - 6 к Методике, устанавливается заказчиком по согласованию с главным распорядителем средств соответствующего бюджета (за исключением случаев, когда заказчиком является главны...">
        <w:r>
          <w:rPr>
            <w:sz w:val="20"/>
            <w:color w:val="0000ff"/>
          </w:rPr>
          <w:t xml:space="preserve">128</w:t>
        </w:r>
      </w:hyperlink>
      <w:r>
        <w:rPr>
          <w:sz w:val="20"/>
        </w:rPr>
        <w:t xml:space="preserve"> Методики.</w:t>
      </w:r>
    </w:p>
    <w:p>
      <w:pPr>
        <w:pStyle w:val="0"/>
        <w:jc w:val="both"/>
      </w:pPr>
      <w:r>
        <w:rPr>
          <w:sz w:val="20"/>
        </w:rPr>
      </w:r>
    </w:p>
    <w:p>
      <w:pPr>
        <w:pStyle w:val="0"/>
        <w:ind w:firstLine="540"/>
        <w:jc w:val="both"/>
      </w:pPr>
      <w:r>
        <w:rPr>
          <w:sz w:val="20"/>
        </w:rPr>
        <w:t xml:space="preserve">Примечания к форме локального сметного расчета (сметы) для ресурсно-индексного метода:</w:t>
      </w:r>
    </w:p>
    <w:p>
      <w:pPr>
        <w:pStyle w:val="0"/>
        <w:spacing w:before="200" w:line-rule="auto"/>
        <w:ind w:firstLine="540"/>
        <w:jc w:val="both"/>
      </w:pPr>
      <w:r>
        <w:rPr>
          <w:sz w:val="20"/>
        </w:rPr>
        <w:t xml:space="preserve">1. В </w:t>
      </w:r>
      <w:hyperlink w:history="0" w:anchor="P5058" w:tooltip="1">
        <w:r>
          <w:rPr>
            <w:sz w:val="20"/>
            <w:color w:val="0000ff"/>
          </w:rPr>
          <w:t xml:space="preserve">графе 1</w:t>
        </w:r>
      </w:hyperlink>
      <w:r>
        <w:rPr>
          <w:sz w:val="20"/>
        </w:rPr>
        <w:t xml:space="preserve"> производится сквозная нумерация позиций сметного расчета, к которым относятся сметные нормы и оборудование, при этом:</w:t>
      </w:r>
    </w:p>
    <w:p>
      <w:pPr>
        <w:pStyle w:val="0"/>
        <w:spacing w:before="200" w:line-rule="auto"/>
        <w:ind w:firstLine="540"/>
        <w:jc w:val="both"/>
      </w:pPr>
      <w:r>
        <w:rPr>
          <w:sz w:val="20"/>
        </w:rPr>
        <w:t xml:space="preserve">в строках строительных ресурсов, не учтенных сметной нормой, указывается номер, состоящих из двух групп цифр, разделенных точкой, первая группа цифр которого соответствует номеру позиции, вторая - порядковому номеру строки в позиции, например, 1.1;</w:t>
      </w:r>
    </w:p>
    <w:p>
      <w:pPr>
        <w:pStyle w:val="0"/>
        <w:spacing w:before="200" w:line-rule="auto"/>
        <w:ind w:firstLine="540"/>
        <w:jc w:val="both"/>
      </w:pPr>
      <w:r>
        <w:rPr>
          <w:sz w:val="20"/>
        </w:rPr>
        <w:t xml:space="preserve">в строках дополнительной перевозки, учитываемой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указывается номер, состоящих из двух групп цифр, разделенных точкой, первая группа цифр которых соответствует номеру позиции неучтенного ресурса, к которому относятся затраты на дополнительную перевозку, вторая - порядковому номеру строки дополнительной перевозки в позиции (1 или 2), например, 7.2.1, где 7.2 - номер позиции неучтенного ресурса или оборудования, 1 - порядковый номер строки дополнительной перевозки в позиции.</w:t>
      </w:r>
    </w:p>
    <w:p>
      <w:pPr>
        <w:pStyle w:val="0"/>
        <w:spacing w:before="200" w:line-rule="auto"/>
        <w:ind w:firstLine="540"/>
        <w:jc w:val="both"/>
      </w:pPr>
      <w:r>
        <w:rPr>
          <w:sz w:val="20"/>
        </w:rPr>
        <w:t xml:space="preserve">2. В </w:t>
      </w:r>
      <w:hyperlink w:history="0" w:anchor="P5059" w:tooltip="2">
        <w:r>
          <w:rPr>
            <w:sz w:val="20"/>
            <w:color w:val="0000ff"/>
          </w:rPr>
          <w:t xml:space="preserve">графе 2</w:t>
        </w:r>
      </w:hyperlink>
      <w:r>
        <w:rPr>
          <w:sz w:val="20"/>
        </w:rPr>
        <w:t xml:space="preserve"> указываются:</w:t>
      </w:r>
    </w:p>
    <w:p>
      <w:pPr>
        <w:pStyle w:val="0"/>
        <w:spacing w:before="200" w:line-rule="auto"/>
        <w:ind w:firstLine="540"/>
        <w:jc w:val="both"/>
      </w:pPr>
      <w:r>
        <w:rPr>
          <w:sz w:val="20"/>
        </w:rPr>
        <w:t xml:space="preserve">шифры сметных норм, коды учтенных строительных ресурсов, а также неучтенных строительных ресурсов (при замене, исключении, добавлении ресурсов);</w:t>
      </w:r>
    </w:p>
    <w:p>
      <w:pPr>
        <w:pStyle w:val="0"/>
        <w:spacing w:before="200" w:line-rule="auto"/>
        <w:ind w:firstLine="540"/>
        <w:jc w:val="both"/>
      </w:pPr>
      <w:r>
        <w:rPr>
          <w:sz w:val="20"/>
        </w:rPr>
        <w:t xml:space="preserve">шифр накладных расходов и сметной прибыли, содержащий ссылку на сметные нормативы, для позиций накладных расходов и сметной прибыли;</w:t>
      </w:r>
    </w:p>
    <w:p>
      <w:pPr>
        <w:pStyle w:val="0"/>
        <w:spacing w:before="200" w:line-rule="auto"/>
        <w:ind w:firstLine="540"/>
        <w:jc w:val="both"/>
      </w:pPr>
      <w:r>
        <w:rPr>
          <w:sz w:val="20"/>
        </w:rPr>
        <w:t xml:space="preserve">шифры/коды материальных ресурсов и оборудования, отсутствующих в ФРСН (присвоенные в соответствии с </w:t>
      </w:r>
      <w:hyperlink w:history="0" w:anchor="P147" w:tooltip="23. Материальным ресурсам и оборудованию, отпускная цена которых в текущем уровне цен определена в соответствии с положениями пунктов 13 - 21 Методики, присваивается код, состоящий из буквенного обозначения &quot;ТЦ&quot; и пяти групп цифр: первая группа цифр соответствует коду группы Классификатора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
        <w:r>
          <w:rPr>
            <w:sz w:val="20"/>
            <w:color w:val="0000ff"/>
          </w:rPr>
          <w:t xml:space="preserve">пунктом 23</w:t>
        </w:r>
      </w:hyperlink>
      <w:r>
        <w:rPr>
          <w:sz w:val="20"/>
        </w:rPr>
        <w:t xml:space="preserve"> Методики);</w:t>
      </w:r>
    </w:p>
    <w:p>
      <w:pPr>
        <w:pStyle w:val="0"/>
        <w:spacing w:before="200" w:line-rule="auto"/>
        <w:ind w:firstLine="540"/>
        <w:jc w:val="both"/>
      </w:pPr>
      <w:r>
        <w:rPr>
          <w:sz w:val="20"/>
        </w:rPr>
        <w:t xml:space="preserve">обоснование прочих затрат, учитываемых в локальном сметном расчете (смете) согласно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пункту 184</w:t>
        </w:r>
      </w:hyperlink>
      <w:r>
        <w:rPr>
          <w:sz w:val="20"/>
        </w:rPr>
        <w:t xml:space="preserve"> Методики (далее - прочих затрат);</w:t>
      </w:r>
    </w:p>
    <w:p>
      <w:pPr>
        <w:pStyle w:val="0"/>
        <w:spacing w:before="200" w:line-rule="auto"/>
        <w:ind w:firstLine="540"/>
        <w:jc w:val="both"/>
      </w:pPr>
      <w:r>
        <w:rPr>
          <w:sz w:val="20"/>
        </w:rPr>
        <w:t xml:space="preserve">шифры/коды позиций оплаты труда;</w:t>
      </w:r>
    </w:p>
    <w:p>
      <w:pPr>
        <w:pStyle w:val="0"/>
        <w:spacing w:before="200" w:line-rule="auto"/>
        <w:ind w:firstLine="540"/>
        <w:jc w:val="both"/>
      </w:pPr>
      <w:r>
        <w:rPr>
          <w:sz w:val="20"/>
        </w:rPr>
        <w:t xml:space="preserve">шифр коэффициента, содержащий ссылку на положения сметных нормативов и (или) пункты разделов сборников сметных норм - в случае применения коэффициентов, учитывающих усложняющие факторы и (или) условия производства работ, а также иных коэффициентов или доплат к сметной стоимости.</w:t>
      </w:r>
    </w:p>
    <w:p>
      <w:pPr>
        <w:pStyle w:val="0"/>
        <w:spacing w:before="200" w:line-rule="auto"/>
        <w:ind w:firstLine="540"/>
        <w:jc w:val="both"/>
      </w:pPr>
      <w:r>
        <w:rPr>
          <w:sz w:val="20"/>
        </w:rPr>
        <w:t xml:space="preserve">3. В </w:t>
      </w:r>
      <w:hyperlink w:history="0" w:anchor="P5060" w:tooltip="3">
        <w:r>
          <w:rPr>
            <w:sz w:val="20"/>
            <w:color w:val="0000ff"/>
          </w:rPr>
          <w:t xml:space="preserve">графе 3</w:t>
        </w:r>
      </w:hyperlink>
      <w:r>
        <w:rPr>
          <w:sz w:val="20"/>
        </w:rPr>
        <w:t xml:space="preserve"> указываются:</w:t>
      </w:r>
    </w:p>
    <w:p>
      <w:pPr>
        <w:pStyle w:val="0"/>
        <w:spacing w:before="200" w:line-rule="auto"/>
        <w:ind w:firstLine="540"/>
        <w:jc w:val="both"/>
      </w:pPr>
      <w:r>
        <w:rPr>
          <w:sz w:val="20"/>
        </w:rPr>
        <w:t xml:space="preserve">наименования сметных норм (полностью, без сокращений), учтенных и неучтенных сметными нормами строительных ресурсов, в соответствии с данными, включенными в ФРСН, или в соответствии с проектной и иной технической документацией, а также обосновывающими сметную цену строительных ресурсов документами;</w:t>
      </w:r>
    </w:p>
    <w:p>
      <w:pPr>
        <w:pStyle w:val="0"/>
        <w:spacing w:before="200" w:line-rule="auto"/>
        <w:ind w:firstLine="540"/>
        <w:jc w:val="both"/>
      </w:pPr>
      <w:r>
        <w:rPr>
          <w:sz w:val="20"/>
        </w:rPr>
        <w:t xml:space="preserve">средний разряд работы или средний разряд рабочего и категория исполнителей пусконаладочных работ (инженеров, техников и других), при этом в случаях, когда в сметных нормах указан средний разряд работы, строки "</w:t>
      </w:r>
      <w:hyperlink w:history="0" w:anchor="P5133" w:tooltip="Рабочий &lt;разряд&gt; разряда">
        <w:r>
          <w:rPr>
            <w:sz w:val="20"/>
            <w:color w:val="0000ff"/>
          </w:rPr>
          <w:t xml:space="preserve">Рабочий</w:t>
        </w:r>
      </w:hyperlink>
      <w:r>
        <w:rPr>
          <w:sz w:val="20"/>
        </w:rPr>
        <w:t xml:space="preserve"> &lt;разряд&gt; разряда", "</w:t>
      </w:r>
      <w:hyperlink w:history="0" w:anchor="P5157" w:tooltip="Инженер &lt;категория&gt; категории">
        <w:r>
          <w:rPr>
            <w:sz w:val="20"/>
            <w:color w:val="0000ff"/>
          </w:rPr>
          <w:t xml:space="preserve">Инженер</w:t>
        </w:r>
      </w:hyperlink>
      <w:r>
        <w:rPr>
          <w:sz w:val="20"/>
        </w:rPr>
        <w:t xml:space="preserve"> &lt;категория&gt;" и другие строки с указанием исполнителей пусконаладочных работ не отображаются, в случаях, когда в сметных нормах указаны рабочие и исполнители пусконаладочных работ (инженеры, техники и другие) или исполнители пусконаладочных работ (инженеры, техники и другие), то </w:t>
      </w:r>
      <w:hyperlink w:history="0" w:anchor="P5121" w:tooltip="Средний разряд работы &lt;разряд&gt;">
        <w:r>
          <w:rPr>
            <w:sz w:val="20"/>
            <w:color w:val="0000ff"/>
          </w:rPr>
          <w:t xml:space="preserve">строка</w:t>
        </w:r>
      </w:hyperlink>
      <w:r>
        <w:rPr>
          <w:sz w:val="20"/>
        </w:rPr>
        <w:t xml:space="preserve"> "Средний разряд работы" не отображается.</w:t>
      </w:r>
    </w:p>
    <w:p>
      <w:pPr>
        <w:pStyle w:val="0"/>
        <w:spacing w:before="200" w:line-rule="auto"/>
        <w:ind w:firstLine="540"/>
        <w:jc w:val="both"/>
      </w:pPr>
      <w:r>
        <w:rPr>
          <w:sz w:val="20"/>
        </w:rPr>
        <w:t xml:space="preserve">наименование составляющих сметных норм и элементов сметной стоимости;</w:t>
      </w:r>
    </w:p>
    <w:p>
      <w:pPr>
        <w:pStyle w:val="0"/>
        <w:spacing w:before="200" w:line-rule="auto"/>
        <w:ind w:firstLine="540"/>
        <w:jc w:val="both"/>
      </w:pPr>
      <w:r>
        <w:rPr>
          <w:sz w:val="20"/>
        </w:rPr>
        <w:t xml:space="preserve">наименование материальных ресурсов и оборудования, отсутствующих в ФРСН;</w:t>
      </w:r>
    </w:p>
    <w:p>
      <w:pPr>
        <w:pStyle w:val="0"/>
        <w:spacing w:before="200" w:line-rule="auto"/>
        <w:ind w:firstLine="540"/>
        <w:jc w:val="both"/>
      </w:pPr>
      <w:r>
        <w:rPr>
          <w:sz w:val="20"/>
        </w:rPr>
        <w:t xml:space="preserve">наименование, величина коэффициентов, учитывающих усложняющие факторы и (или) условия производства работ, а также иных коэффициентов (в случае их применения), составляющие сметных норм и элементы сметной стоимости, к которым указанные коэффициенты применяются, наименования доплат к сметной стоимости.</w:t>
      </w:r>
    </w:p>
    <w:p>
      <w:pPr>
        <w:pStyle w:val="0"/>
        <w:spacing w:before="200" w:line-rule="auto"/>
        <w:ind w:firstLine="540"/>
        <w:jc w:val="both"/>
      </w:pPr>
      <w:r>
        <w:rPr>
          <w:sz w:val="20"/>
        </w:rPr>
        <w:t xml:space="preserve">4. В </w:t>
      </w:r>
      <w:hyperlink w:history="0" w:anchor="P5062" w:tooltip="5">
        <w:r>
          <w:rPr>
            <w:sz w:val="20"/>
            <w:color w:val="0000ff"/>
          </w:rPr>
          <w:t xml:space="preserve">графах 5</w:t>
        </w:r>
      </w:hyperlink>
      <w:r>
        <w:rPr>
          <w:sz w:val="20"/>
        </w:rPr>
        <w:t xml:space="preserve"> - </w:t>
      </w:r>
      <w:hyperlink w:history="0" w:anchor="P5064" w:tooltip="7">
        <w:r>
          <w:rPr>
            <w:sz w:val="20"/>
            <w:color w:val="0000ff"/>
          </w:rPr>
          <w:t xml:space="preserve">7</w:t>
        </w:r>
      </w:hyperlink>
      <w:r>
        <w:rPr>
          <w:sz w:val="20"/>
        </w:rPr>
        <w:t xml:space="preserve"> по </w:t>
      </w:r>
      <w:hyperlink w:history="0" w:anchor="P5205" w:tooltip="ОТм (ЗТм)">
        <w:r>
          <w:rPr>
            <w:sz w:val="20"/>
            <w:color w:val="0000ff"/>
          </w:rPr>
          <w:t xml:space="preserve">строке</w:t>
        </w:r>
      </w:hyperlink>
      <w:r>
        <w:rPr>
          <w:sz w:val="20"/>
        </w:rPr>
        <w:t xml:space="preserve"> ЗТм данные заполняются при их наличии.</w:t>
      </w:r>
    </w:p>
    <w:p>
      <w:pPr>
        <w:pStyle w:val="0"/>
        <w:spacing w:before="200" w:line-rule="auto"/>
        <w:ind w:firstLine="540"/>
        <w:jc w:val="both"/>
      </w:pPr>
      <w:r>
        <w:rPr>
          <w:sz w:val="20"/>
        </w:rPr>
        <w:t xml:space="preserve">5. В </w:t>
      </w:r>
      <w:hyperlink w:history="0" w:anchor="P5061" w:tooltip="4">
        <w:r>
          <w:rPr>
            <w:sz w:val="20"/>
            <w:color w:val="0000ff"/>
          </w:rPr>
          <w:t xml:space="preserve">графе 4</w:t>
        </w:r>
      </w:hyperlink>
      <w:r>
        <w:rPr>
          <w:sz w:val="20"/>
        </w:rPr>
        <w:t xml:space="preserve"> указываются:</w:t>
      </w:r>
    </w:p>
    <w:p>
      <w:pPr>
        <w:pStyle w:val="0"/>
        <w:spacing w:before="200" w:line-rule="auto"/>
        <w:ind w:firstLine="540"/>
        <w:jc w:val="both"/>
      </w:pPr>
      <w:r>
        <w:rPr>
          <w:sz w:val="20"/>
        </w:rPr>
        <w:t xml:space="preserve">единица измерения сметных норм, строительных ресурсов, перевозки, включая дополнительную, учитываемую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согласно данным, включенным в ФРСН;</w:t>
      </w:r>
    </w:p>
    <w:p>
      <w:pPr>
        <w:pStyle w:val="0"/>
        <w:spacing w:before="200" w:line-rule="auto"/>
        <w:ind w:firstLine="540"/>
        <w:jc w:val="both"/>
      </w:pPr>
      <w:r>
        <w:rPr>
          <w:sz w:val="20"/>
        </w:rPr>
        <w:t xml:space="preserve">единица измерения строительных ресурсов и прочих затрат в соответствии с проектной и (или) иной технической документацией - для материальных ресурсов, оборудования и прочих затрат, отсутствующих в ФРСН;</w:t>
      </w:r>
    </w:p>
    <w:p>
      <w:pPr>
        <w:pStyle w:val="0"/>
        <w:spacing w:before="200" w:line-rule="auto"/>
        <w:ind w:firstLine="540"/>
        <w:jc w:val="both"/>
      </w:pPr>
      <w:r>
        <w:rPr>
          <w:sz w:val="20"/>
        </w:rPr>
        <w:t xml:space="preserve">в строках вспомогательных ненормируемых ресурсов, </w:t>
      </w:r>
      <w:hyperlink w:history="0" w:anchor="P5457" w:tooltip="НР &lt;вид работ&gt;">
        <w:r>
          <w:rPr>
            <w:sz w:val="20"/>
            <w:color w:val="0000ff"/>
          </w:rPr>
          <w:t xml:space="preserve">НР</w:t>
        </w:r>
      </w:hyperlink>
      <w:r>
        <w:rPr>
          <w:sz w:val="20"/>
        </w:rPr>
        <w:t xml:space="preserve"> и </w:t>
      </w:r>
      <w:hyperlink w:history="0" w:anchor="P5469" w:tooltip="СП &lt;вид работ&gt;">
        <w:r>
          <w:rPr>
            <w:sz w:val="20"/>
            <w:color w:val="0000ff"/>
          </w:rPr>
          <w:t xml:space="preserve">СП</w:t>
        </w:r>
      </w:hyperlink>
      <w:r>
        <w:rPr>
          <w:sz w:val="20"/>
        </w:rPr>
        <w:t xml:space="preserve"> - %.</w:t>
      </w:r>
    </w:p>
    <w:p>
      <w:pPr>
        <w:pStyle w:val="0"/>
        <w:spacing w:before="200" w:line-rule="auto"/>
        <w:ind w:firstLine="540"/>
        <w:jc w:val="both"/>
      </w:pPr>
      <w:r>
        <w:rPr>
          <w:sz w:val="20"/>
        </w:rPr>
        <w:t xml:space="preserve">6. В </w:t>
      </w:r>
      <w:hyperlink w:history="0" w:anchor="P5062" w:tooltip="5">
        <w:r>
          <w:rPr>
            <w:sz w:val="20"/>
            <w:color w:val="0000ff"/>
          </w:rPr>
          <w:t xml:space="preserve">графе 5</w:t>
        </w:r>
      </w:hyperlink>
      <w:r>
        <w:rPr>
          <w:sz w:val="20"/>
        </w:rPr>
        <w:t xml:space="preserve"> указывается количество без применения коэффициентов:</w:t>
      </w:r>
    </w:p>
    <w:p>
      <w:pPr>
        <w:pStyle w:val="0"/>
        <w:spacing w:before="200" w:line-rule="auto"/>
        <w:ind w:firstLine="540"/>
        <w:jc w:val="both"/>
      </w:pPr>
      <w:r>
        <w:rPr>
          <w:sz w:val="20"/>
        </w:rPr>
        <w:t xml:space="preserve">в строках сметных норм - количество в соответствии с проектной и (или) иной технической документацией и с учетом единицы измерения сметной нормы;</w:t>
      </w:r>
    </w:p>
    <w:p>
      <w:pPr>
        <w:pStyle w:val="0"/>
        <w:spacing w:before="200" w:line-rule="auto"/>
        <w:ind w:firstLine="540"/>
        <w:jc w:val="both"/>
      </w:pPr>
      <w:r>
        <w:rPr>
          <w:sz w:val="20"/>
        </w:rPr>
        <w:t xml:space="preserve">для строительных ресурсов - количество на единицу изменения сметной нормы в соответствии с данными, включенными в ФРСН;</w:t>
      </w:r>
    </w:p>
    <w:p>
      <w:pPr>
        <w:pStyle w:val="0"/>
        <w:spacing w:before="200" w:line-rule="auto"/>
        <w:ind w:firstLine="540"/>
        <w:jc w:val="both"/>
      </w:pPr>
      <w:r>
        <w:rPr>
          <w:sz w:val="20"/>
        </w:rPr>
        <w:t xml:space="preserve">для строительных ресурсов, расход которых в сметной норме приведен с литерой "П" или строительных ресурсов, расход которых не приведен в норме, </w:t>
      </w:r>
      <w:hyperlink w:history="0" w:anchor="P5062" w:tooltip="5">
        <w:r>
          <w:rPr>
            <w:sz w:val="20"/>
            <w:color w:val="0000ff"/>
          </w:rPr>
          <w:t xml:space="preserve">графа 5</w:t>
        </w:r>
      </w:hyperlink>
      <w:r>
        <w:rPr>
          <w:sz w:val="20"/>
        </w:rPr>
        <w:t xml:space="preserve"> не заполняется;</w:t>
      </w:r>
    </w:p>
    <w:p>
      <w:pPr>
        <w:pStyle w:val="0"/>
        <w:spacing w:before="200" w:line-rule="auto"/>
        <w:ind w:firstLine="540"/>
        <w:jc w:val="both"/>
      </w:pPr>
      <w:r>
        <w:rPr>
          <w:sz w:val="20"/>
        </w:rPr>
        <w:t xml:space="preserve">в строках </w:t>
      </w:r>
      <w:hyperlink w:history="0" w:anchor="P5457" w:tooltip="НР &lt;вид работ&gt;">
        <w:r>
          <w:rPr>
            <w:sz w:val="20"/>
            <w:color w:val="0000ff"/>
          </w:rPr>
          <w:t xml:space="preserve">НР</w:t>
        </w:r>
      </w:hyperlink>
      <w:r>
        <w:rPr>
          <w:sz w:val="20"/>
        </w:rPr>
        <w:t xml:space="preserve"> и </w:t>
      </w:r>
      <w:hyperlink w:history="0" w:anchor="P5469" w:tooltip="СП &lt;вид работ&gt;">
        <w:r>
          <w:rPr>
            <w:sz w:val="20"/>
            <w:color w:val="0000ff"/>
          </w:rPr>
          <w:t xml:space="preserve">СП</w:t>
        </w:r>
      </w:hyperlink>
      <w:r>
        <w:rPr>
          <w:sz w:val="20"/>
        </w:rPr>
        <w:t xml:space="preserve"> - значение нормативов накладных расходов и сметной прибыли в соответствии со сметными нормативами, сведения о которых включены в ФРСН.</w:t>
      </w:r>
    </w:p>
    <w:p>
      <w:pPr>
        <w:pStyle w:val="0"/>
        <w:spacing w:before="200" w:line-rule="auto"/>
        <w:ind w:firstLine="540"/>
        <w:jc w:val="both"/>
      </w:pPr>
      <w:r>
        <w:rPr>
          <w:sz w:val="20"/>
        </w:rPr>
        <w:t xml:space="preserve">7. В </w:t>
      </w:r>
      <w:hyperlink w:history="0" w:anchor="P5063" w:tooltip="6">
        <w:r>
          <w:rPr>
            <w:sz w:val="20"/>
            <w:color w:val="0000ff"/>
          </w:rPr>
          <w:t xml:space="preserve">графе 6</w:t>
        </w:r>
      </w:hyperlink>
      <w:r>
        <w:rPr>
          <w:sz w:val="20"/>
        </w:rPr>
        <w:t xml:space="preserve"> указывается результирующее значение коэффициента к количеству, указываемому в </w:t>
      </w:r>
      <w:hyperlink w:history="0" w:anchor="P5062" w:tooltip="5">
        <w:r>
          <w:rPr>
            <w:sz w:val="20"/>
            <w:color w:val="0000ff"/>
          </w:rPr>
          <w:t xml:space="preserve">графе 5</w:t>
        </w:r>
      </w:hyperlink>
      <w:r>
        <w:rPr>
          <w:sz w:val="20"/>
        </w:rPr>
        <w:t xml:space="preserve">, полученное как произведение всех применяемых коэффициентов, с округлением до семи знаков после запятой по итогу перемножения.</w:t>
      </w:r>
    </w:p>
    <w:p>
      <w:pPr>
        <w:pStyle w:val="0"/>
        <w:spacing w:before="200" w:line-rule="auto"/>
        <w:ind w:firstLine="540"/>
        <w:jc w:val="both"/>
      </w:pPr>
      <w:r>
        <w:rPr>
          <w:sz w:val="20"/>
        </w:rPr>
        <w:t xml:space="preserve">К примерам коэффициентов к количеству сметной нормы относятся коэффициенты, учитывающие изменение толщины стяжек, покрытий, количества слоев гидроизоляции, огрунтовки, окраски и тому подобное.</w:t>
      </w:r>
    </w:p>
    <w:p>
      <w:pPr>
        <w:pStyle w:val="0"/>
        <w:spacing w:before="200" w:line-rule="auto"/>
        <w:ind w:firstLine="540"/>
        <w:jc w:val="both"/>
      </w:pPr>
      <w:r>
        <w:rPr>
          <w:sz w:val="20"/>
        </w:rPr>
        <w:t xml:space="preserve">8. В </w:t>
      </w:r>
      <w:hyperlink w:history="0" w:anchor="P5064" w:tooltip="7">
        <w:r>
          <w:rPr>
            <w:sz w:val="20"/>
            <w:color w:val="0000ff"/>
          </w:rPr>
          <w:t xml:space="preserve">графе 7</w:t>
        </w:r>
      </w:hyperlink>
      <w:r>
        <w:rPr>
          <w:sz w:val="20"/>
        </w:rPr>
        <w:t xml:space="preserve"> указываются:</w:t>
      </w:r>
    </w:p>
    <w:p>
      <w:pPr>
        <w:pStyle w:val="0"/>
        <w:spacing w:before="200" w:line-rule="auto"/>
        <w:ind w:firstLine="540"/>
        <w:jc w:val="both"/>
      </w:pPr>
      <w:r>
        <w:rPr>
          <w:sz w:val="20"/>
        </w:rPr>
        <w:t xml:space="preserve">результирующее количество строительных ресурсов на объем, указанный в </w:t>
      </w:r>
      <w:hyperlink w:history="0" w:anchor="P5062" w:tooltip="5">
        <w:r>
          <w:rPr>
            <w:sz w:val="20"/>
            <w:color w:val="0000ff"/>
          </w:rPr>
          <w:t xml:space="preserve">графе 5</w:t>
        </w:r>
      </w:hyperlink>
      <w:r>
        <w:rPr>
          <w:sz w:val="20"/>
        </w:rPr>
        <w:t xml:space="preserve"> строки сметной нормы, с учетом коэффициента, приведенного в </w:t>
      </w:r>
      <w:hyperlink w:history="0" w:anchor="P5063" w:tooltip="6">
        <w:r>
          <w:rPr>
            <w:sz w:val="20"/>
            <w:color w:val="0000ff"/>
          </w:rPr>
          <w:t xml:space="preserve">графе 6</w:t>
        </w:r>
      </w:hyperlink>
      <w:r>
        <w:rPr>
          <w:sz w:val="20"/>
        </w:rPr>
        <w:t xml:space="preserve">;</w:t>
      </w:r>
    </w:p>
    <w:p>
      <w:pPr>
        <w:pStyle w:val="0"/>
        <w:spacing w:before="200" w:line-rule="auto"/>
        <w:ind w:firstLine="540"/>
        <w:jc w:val="both"/>
      </w:pPr>
      <w:r>
        <w:rPr>
          <w:sz w:val="20"/>
        </w:rPr>
        <w:t xml:space="preserve">для строительных ресурсов, расход которых в сметной норме приведен с литерой "П" или строительных ресурсов, расход которых не приведен в норме, в </w:t>
      </w:r>
      <w:hyperlink w:history="0" w:anchor="P5064" w:tooltip="7">
        <w:r>
          <w:rPr>
            <w:sz w:val="20"/>
            <w:color w:val="0000ff"/>
          </w:rPr>
          <w:t xml:space="preserve">графе 7</w:t>
        </w:r>
      </w:hyperlink>
      <w:r>
        <w:rPr>
          <w:sz w:val="20"/>
        </w:rPr>
        <w:t xml:space="preserve"> указывается количество в соответствии с проектной и (или) иной технической документацией;</w:t>
      </w:r>
    </w:p>
    <w:p>
      <w:pPr>
        <w:pStyle w:val="0"/>
        <w:spacing w:before="200" w:line-rule="auto"/>
        <w:ind w:firstLine="540"/>
        <w:jc w:val="both"/>
      </w:pPr>
      <w:r>
        <w:rPr>
          <w:sz w:val="20"/>
        </w:rPr>
        <w:t xml:space="preserve">в строках </w:t>
      </w:r>
      <w:hyperlink w:history="0" w:anchor="P5457" w:tooltip="НР &lt;вид работ&gt;">
        <w:r>
          <w:rPr>
            <w:sz w:val="20"/>
            <w:color w:val="0000ff"/>
          </w:rPr>
          <w:t xml:space="preserve">НР</w:t>
        </w:r>
      </w:hyperlink>
      <w:r>
        <w:rPr>
          <w:sz w:val="20"/>
        </w:rPr>
        <w:t xml:space="preserve"> и </w:t>
      </w:r>
      <w:hyperlink w:history="0" w:anchor="P5469" w:tooltip="СП &lt;вид работ&gt;">
        <w:r>
          <w:rPr>
            <w:sz w:val="20"/>
            <w:color w:val="0000ff"/>
          </w:rPr>
          <w:t xml:space="preserve">СП</w:t>
        </w:r>
      </w:hyperlink>
      <w:r>
        <w:rPr>
          <w:sz w:val="20"/>
        </w:rPr>
        <w:t xml:space="preserve"> - норматив в процентах с учетом коэффициента, приведенного в </w:t>
      </w:r>
      <w:hyperlink w:history="0" w:anchor="P5063" w:tooltip="6">
        <w:r>
          <w:rPr>
            <w:sz w:val="20"/>
            <w:color w:val="0000ff"/>
          </w:rPr>
          <w:t xml:space="preserve">графе 6</w:t>
        </w:r>
      </w:hyperlink>
      <w:r>
        <w:rPr>
          <w:sz w:val="20"/>
        </w:rPr>
        <w:t xml:space="preserve">.</w:t>
      </w:r>
    </w:p>
    <w:p>
      <w:pPr>
        <w:pStyle w:val="0"/>
        <w:spacing w:before="200" w:line-rule="auto"/>
        <w:ind w:firstLine="540"/>
        <w:jc w:val="both"/>
      </w:pPr>
      <w:r>
        <w:rPr>
          <w:sz w:val="20"/>
        </w:rPr>
        <w:t xml:space="preserve">Результирующие количественные показатели, в том числе нормативы </w:t>
      </w:r>
      <w:hyperlink w:history="0" w:anchor="P5457" w:tooltip="НР &lt;вид работ&gt;">
        <w:r>
          <w:rPr>
            <w:sz w:val="20"/>
            <w:color w:val="0000ff"/>
          </w:rPr>
          <w:t xml:space="preserve">НР</w:t>
        </w:r>
      </w:hyperlink>
      <w:r>
        <w:rPr>
          <w:sz w:val="20"/>
        </w:rPr>
        <w:t xml:space="preserve"> и </w:t>
      </w:r>
      <w:hyperlink w:history="0" w:anchor="P5469" w:tooltip="СП &lt;вид работ&gt;">
        <w:r>
          <w:rPr>
            <w:sz w:val="20"/>
            <w:color w:val="0000ff"/>
          </w:rPr>
          <w:t xml:space="preserve">СП</w:t>
        </w:r>
      </w:hyperlink>
      <w:r>
        <w:rPr>
          <w:sz w:val="20"/>
        </w:rPr>
        <w:t xml:space="preserve"> в процентах с учетом коэффициентов, округляются до семи знаков после запятой по итогу перемножения.</w:t>
      </w:r>
    </w:p>
    <w:p>
      <w:pPr>
        <w:pStyle w:val="0"/>
        <w:spacing w:before="200" w:line-rule="auto"/>
        <w:ind w:firstLine="540"/>
        <w:jc w:val="both"/>
      </w:pPr>
      <w:r>
        <w:rPr>
          <w:sz w:val="20"/>
        </w:rPr>
        <w:t xml:space="preserve">9. В </w:t>
      </w:r>
      <w:hyperlink w:history="0" w:anchor="P5065" w:tooltip="8">
        <w:r>
          <w:rPr>
            <w:sz w:val="20"/>
            <w:color w:val="0000ff"/>
          </w:rPr>
          <w:t xml:space="preserve">графе 8</w:t>
        </w:r>
      </w:hyperlink>
      <w:r>
        <w:rPr>
          <w:sz w:val="20"/>
        </w:rPr>
        <w:t xml:space="preserve"> указывается сметная цена в базисном уровне цен для строительных ресурсов, информация о текущих сметных ценах которых отсутствует в ФГИС ЦС.</w:t>
      </w:r>
    </w:p>
    <w:p>
      <w:pPr>
        <w:pStyle w:val="0"/>
        <w:spacing w:before="200" w:line-rule="auto"/>
        <w:ind w:firstLine="540"/>
        <w:jc w:val="both"/>
      </w:pPr>
      <w:r>
        <w:rPr>
          <w:sz w:val="20"/>
        </w:rPr>
        <w:t xml:space="preserve">10. В </w:t>
      </w:r>
      <w:hyperlink w:history="0" w:anchor="P5066" w:tooltip="9">
        <w:r>
          <w:rPr>
            <w:sz w:val="20"/>
            <w:color w:val="0000ff"/>
          </w:rPr>
          <w:t xml:space="preserve">графе 9</w:t>
        </w:r>
      </w:hyperlink>
      <w:r>
        <w:rPr>
          <w:sz w:val="20"/>
        </w:rPr>
        <w:t xml:space="preserve"> указываются соответствующие индексы изменения сметной стоимости для строительных ресурсов, информация о текущих сметных ценах которых отсутствует в ФГИС ЦС.</w:t>
      </w:r>
    </w:p>
    <w:p>
      <w:pPr>
        <w:pStyle w:val="0"/>
        <w:spacing w:before="200" w:line-rule="auto"/>
        <w:ind w:firstLine="540"/>
        <w:jc w:val="both"/>
      </w:pPr>
      <w:r>
        <w:rPr>
          <w:sz w:val="20"/>
        </w:rPr>
        <w:t xml:space="preserve">11. В </w:t>
      </w:r>
      <w:hyperlink w:history="0" w:anchor="P5067" w:tooltip="10">
        <w:r>
          <w:rPr>
            <w:sz w:val="20"/>
            <w:color w:val="0000ff"/>
          </w:rPr>
          <w:t xml:space="preserve">графе 10</w:t>
        </w:r>
      </w:hyperlink>
      <w:r>
        <w:rPr>
          <w:sz w:val="20"/>
        </w:rPr>
        <w:t xml:space="preserve"> указывается сметная стоимость на единицу в текущем уровне цен, которая определятся:</w:t>
      </w:r>
    </w:p>
    <w:p>
      <w:pPr>
        <w:pStyle w:val="0"/>
        <w:spacing w:before="200" w:line-rule="auto"/>
        <w:ind w:firstLine="540"/>
        <w:jc w:val="both"/>
      </w:pPr>
      <w:r>
        <w:rPr>
          <w:sz w:val="20"/>
        </w:rPr>
        <w:t xml:space="preserve">а) в строках строительных ресурсов, информация о текущих сметных ценах которых размещена в ФГИС ЦС - на основании данных ФГИС ЦС;</w:t>
      </w:r>
    </w:p>
    <w:p>
      <w:pPr>
        <w:pStyle w:val="0"/>
        <w:spacing w:before="200" w:line-rule="auto"/>
        <w:ind w:firstLine="540"/>
        <w:jc w:val="both"/>
      </w:pPr>
      <w:r>
        <w:rPr>
          <w:sz w:val="20"/>
        </w:rPr>
        <w:t xml:space="preserve">б) в строках строительных ресурсов и затрат, информация о текущих сметных ценах которых отсутствует в ФГИС ЦС:</w:t>
      </w:r>
    </w:p>
    <w:p>
      <w:pPr>
        <w:pStyle w:val="0"/>
        <w:spacing w:before="200" w:line-rule="auto"/>
        <w:ind w:firstLine="540"/>
        <w:jc w:val="both"/>
      </w:pPr>
      <w:r>
        <w:rPr>
          <w:sz w:val="20"/>
        </w:rPr>
        <w:t xml:space="preserve">при наличии базисных цен на материалы, изделия, конструкции, оборудование и эксплуатацию машин и механизмов - как произведение </w:t>
      </w:r>
      <w:hyperlink w:history="0" w:anchor="P5065" w:tooltip="8">
        <w:r>
          <w:rPr>
            <w:sz w:val="20"/>
            <w:color w:val="0000ff"/>
          </w:rPr>
          <w:t xml:space="preserve">граф 8</w:t>
        </w:r>
      </w:hyperlink>
      <w:r>
        <w:rPr>
          <w:sz w:val="20"/>
        </w:rPr>
        <w:t xml:space="preserve"> и </w:t>
      </w:r>
      <w:hyperlink w:history="0" w:anchor="P5066" w:tooltip="9">
        <w:r>
          <w:rPr>
            <w:sz w:val="20"/>
            <w:color w:val="0000ff"/>
          </w:rPr>
          <w:t xml:space="preserve">9</w:t>
        </w:r>
      </w:hyperlink>
      <w:r>
        <w:rPr>
          <w:sz w:val="20"/>
        </w:rPr>
        <w:t xml:space="preserve">;</w:t>
      </w:r>
    </w:p>
    <w:p>
      <w:pPr>
        <w:pStyle w:val="0"/>
        <w:spacing w:before="200" w:line-rule="auto"/>
        <w:ind w:firstLine="540"/>
        <w:jc w:val="both"/>
      </w:pPr>
      <w:r>
        <w:rPr>
          <w:sz w:val="20"/>
        </w:rPr>
        <w:t xml:space="preserve">при отсутствии базисных цен на материалы, изделия, конструкции, оборудование и эксплуатацию машин и механизмов -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7" w:tooltip="23. Материальным ресурсам и оборудованию, отпускная цена которых в текущем уровне цен определена в соответствии с положениями пунктов 13 - 21 Методики, присваивается код, состоящий из буквенного обозначения &quot;ТЦ&quot; и пяти групп цифр: первая группа цифр соответствует коду группы Классификатора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
        <w:r>
          <w:rPr>
            <w:sz w:val="20"/>
            <w:color w:val="0000ff"/>
          </w:rPr>
          <w:t xml:space="preserve">23</w:t>
        </w:r>
      </w:hyperlink>
      <w:r>
        <w:rPr>
          <w:sz w:val="20"/>
        </w:rPr>
        <w:t xml:space="preserve"> Методики;</w:t>
      </w:r>
    </w:p>
    <w:p>
      <w:pPr>
        <w:pStyle w:val="0"/>
        <w:spacing w:before="200" w:line-rule="auto"/>
        <w:ind w:firstLine="540"/>
        <w:jc w:val="both"/>
      </w:pPr>
      <w:r>
        <w:rPr>
          <w:sz w:val="20"/>
        </w:rPr>
        <w:t xml:space="preserve">в) в строках перевозки, включая дополнительную, учитываемую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 на основании данных ФГИС ЦС;</w:t>
      </w:r>
    </w:p>
    <w:p>
      <w:pPr>
        <w:pStyle w:val="0"/>
        <w:spacing w:before="200" w:line-rule="auto"/>
        <w:ind w:firstLine="540"/>
        <w:jc w:val="both"/>
      </w:pPr>
      <w:r>
        <w:rPr>
          <w:sz w:val="20"/>
        </w:rPr>
        <w:t xml:space="preserve">г) в </w:t>
      </w:r>
      <w:hyperlink w:history="0" w:anchor="P5481" w:tooltip="Всего по позиции">
        <w:r>
          <w:rPr>
            <w:sz w:val="20"/>
            <w:color w:val="0000ff"/>
          </w:rPr>
          <w:t xml:space="preserve">строке</w:t>
        </w:r>
      </w:hyperlink>
      <w:r>
        <w:rPr>
          <w:sz w:val="20"/>
        </w:rPr>
        <w:t xml:space="preserve"> "Всего по позиции" - как частное от деления значений, указанных в </w:t>
      </w:r>
      <w:hyperlink w:history="0" w:anchor="P5069" w:tooltip="12">
        <w:r>
          <w:rPr>
            <w:sz w:val="20"/>
            <w:color w:val="0000ff"/>
          </w:rPr>
          <w:t xml:space="preserve">графе 12</w:t>
        </w:r>
      </w:hyperlink>
      <w:r>
        <w:rPr>
          <w:sz w:val="20"/>
        </w:rPr>
        <w:t xml:space="preserve"> </w:t>
      </w:r>
      <w:hyperlink w:history="0" w:anchor="P5481" w:tooltip="Всего по позиции">
        <w:r>
          <w:rPr>
            <w:sz w:val="20"/>
            <w:color w:val="0000ff"/>
          </w:rPr>
          <w:t xml:space="preserve">строки</w:t>
        </w:r>
      </w:hyperlink>
      <w:r>
        <w:rPr>
          <w:sz w:val="20"/>
        </w:rPr>
        <w:t xml:space="preserve"> "Всего по позиции" и </w:t>
      </w:r>
      <w:hyperlink w:history="0" w:anchor="P5062" w:tooltip="5">
        <w:r>
          <w:rPr>
            <w:sz w:val="20"/>
            <w:color w:val="0000ff"/>
          </w:rPr>
          <w:t xml:space="preserve">графы 5</w:t>
        </w:r>
      </w:hyperlink>
      <w:r>
        <w:rPr>
          <w:sz w:val="20"/>
        </w:rPr>
        <w:t xml:space="preserve"> строки с наименованием сметной нормы.</w:t>
      </w:r>
    </w:p>
    <w:p>
      <w:pPr>
        <w:pStyle w:val="0"/>
        <w:spacing w:before="200" w:line-rule="auto"/>
        <w:ind w:firstLine="540"/>
        <w:jc w:val="both"/>
      </w:pPr>
      <w:r>
        <w:rPr>
          <w:sz w:val="20"/>
        </w:rPr>
        <w:t xml:space="preserve">12. В </w:t>
      </w:r>
      <w:hyperlink w:history="0" w:anchor="P5068" w:tooltip="11">
        <w:r>
          <w:rPr>
            <w:sz w:val="20"/>
            <w:color w:val="0000ff"/>
          </w:rPr>
          <w:t xml:space="preserve">графе 11</w:t>
        </w:r>
      </w:hyperlink>
      <w:r>
        <w:rPr>
          <w:sz w:val="20"/>
        </w:rPr>
        <w:t xml:space="preserve"> указывается результирующее значение коэффициента (в том числе с учетом надбавок к стоимости, выраженных в относительных величинах) к стоимостным показателям, полученное как произведение всех применяемых коэффициентов, при этом округление производится до семи знаков после запятой по результату перемножения.</w:t>
      </w:r>
    </w:p>
    <w:p>
      <w:pPr>
        <w:pStyle w:val="0"/>
        <w:spacing w:before="200" w:line-rule="auto"/>
        <w:ind w:firstLine="540"/>
        <w:jc w:val="both"/>
      </w:pPr>
      <w:r>
        <w:rPr>
          <w:sz w:val="20"/>
        </w:rPr>
        <w:t xml:space="preserve">13. В </w:t>
      </w:r>
      <w:hyperlink w:history="0" w:anchor="P5069" w:tooltip="12">
        <w:r>
          <w:rPr>
            <w:sz w:val="20"/>
            <w:color w:val="0000ff"/>
          </w:rPr>
          <w:t xml:space="preserve">графе 12</w:t>
        </w:r>
      </w:hyperlink>
      <w:r>
        <w:rPr>
          <w:sz w:val="20"/>
        </w:rPr>
        <w:t xml:space="preserve"> указывается сметная стоимость всего в текущем уровне цен, определенная:</w:t>
      </w:r>
    </w:p>
    <w:p>
      <w:pPr>
        <w:pStyle w:val="0"/>
        <w:spacing w:before="200" w:line-rule="auto"/>
        <w:ind w:firstLine="540"/>
        <w:jc w:val="both"/>
      </w:pPr>
      <w:r>
        <w:rPr>
          <w:sz w:val="20"/>
        </w:rPr>
        <w:t xml:space="preserve">д) в строках строительных ресурсов, перевозки, включая дополнительную, учитываемую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прочих затрат - как произведение </w:t>
      </w:r>
      <w:hyperlink w:history="0" w:anchor="P5064" w:tooltip="7">
        <w:r>
          <w:rPr>
            <w:sz w:val="20"/>
            <w:color w:val="0000ff"/>
          </w:rPr>
          <w:t xml:space="preserve">граф 7</w:t>
        </w:r>
      </w:hyperlink>
      <w:r>
        <w:rPr>
          <w:sz w:val="20"/>
        </w:rPr>
        <w:t xml:space="preserve">, </w:t>
      </w:r>
      <w:hyperlink w:history="0" w:anchor="P5067" w:tooltip="10">
        <w:r>
          <w:rPr>
            <w:sz w:val="20"/>
            <w:color w:val="0000ff"/>
          </w:rPr>
          <w:t xml:space="preserve">10</w:t>
        </w:r>
      </w:hyperlink>
      <w:r>
        <w:rPr>
          <w:sz w:val="20"/>
        </w:rPr>
        <w:t xml:space="preserve"> и </w:t>
      </w:r>
      <w:hyperlink w:history="0" w:anchor="P5068" w:tooltip="11">
        <w:r>
          <w:rPr>
            <w:sz w:val="20"/>
            <w:color w:val="0000ff"/>
          </w:rPr>
          <w:t xml:space="preserve">11</w:t>
        </w:r>
      </w:hyperlink>
      <w:r>
        <w:rPr>
          <w:sz w:val="20"/>
        </w:rPr>
        <w:t xml:space="preserve">;</w:t>
      </w:r>
    </w:p>
    <w:p>
      <w:pPr>
        <w:pStyle w:val="0"/>
        <w:spacing w:before="200" w:line-rule="auto"/>
        <w:ind w:firstLine="540"/>
        <w:jc w:val="both"/>
      </w:pPr>
      <w:r>
        <w:rPr>
          <w:sz w:val="20"/>
        </w:rPr>
        <w:t xml:space="preserve">е) в </w:t>
      </w:r>
      <w:hyperlink w:history="0" w:anchor="P5109" w:tooltip="ОТ (ЗТ)">
        <w:r>
          <w:rPr>
            <w:sz w:val="20"/>
            <w:color w:val="0000ff"/>
          </w:rPr>
          <w:t xml:space="preserve">строках ОТ</w:t>
        </w:r>
      </w:hyperlink>
      <w:r>
        <w:rPr>
          <w:sz w:val="20"/>
        </w:rPr>
        <w:t xml:space="preserve">, </w:t>
      </w:r>
      <w:hyperlink w:history="0" w:anchor="P5193" w:tooltip="ЭМ">
        <w:r>
          <w:rPr>
            <w:sz w:val="20"/>
            <w:color w:val="0000ff"/>
          </w:rPr>
          <w:t xml:space="preserve">ЭМ</w:t>
        </w:r>
      </w:hyperlink>
      <w:r>
        <w:rPr>
          <w:sz w:val="20"/>
        </w:rPr>
        <w:t xml:space="preserve">, </w:t>
      </w:r>
      <w:hyperlink w:history="0" w:anchor="P5205" w:tooltip="ОТм (ЗТм)">
        <w:r>
          <w:rPr>
            <w:sz w:val="20"/>
            <w:color w:val="0000ff"/>
          </w:rPr>
          <w:t xml:space="preserve">ОТм(ЗТм)</w:t>
        </w:r>
      </w:hyperlink>
      <w:r>
        <w:rPr>
          <w:sz w:val="20"/>
        </w:rPr>
        <w:t xml:space="preserve"> и </w:t>
      </w:r>
      <w:hyperlink w:history="0" w:anchor="P5265" w:tooltip="М">
        <w:r>
          <w:rPr>
            <w:sz w:val="20"/>
            <w:color w:val="0000ff"/>
          </w:rPr>
          <w:t xml:space="preserve">М</w:t>
        </w:r>
      </w:hyperlink>
      <w:r>
        <w:rPr>
          <w:sz w:val="20"/>
        </w:rPr>
        <w:t xml:space="preserve"> - суммированием значений </w:t>
      </w:r>
      <w:hyperlink w:history="0" w:anchor="P5069" w:tooltip="12">
        <w:r>
          <w:rPr>
            <w:sz w:val="20"/>
            <w:color w:val="0000ff"/>
          </w:rPr>
          <w:t xml:space="preserve">графы 12</w:t>
        </w:r>
      </w:hyperlink>
      <w:r>
        <w:rPr>
          <w:sz w:val="20"/>
        </w:rPr>
        <w:t xml:space="preserve"> соответствующих элементов сметной стоимости;</w:t>
      </w:r>
    </w:p>
    <w:p>
      <w:pPr>
        <w:pStyle w:val="0"/>
        <w:spacing w:before="200" w:line-rule="auto"/>
        <w:ind w:firstLine="540"/>
        <w:jc w:val="both"/>
      </w:pPr>
      <w:r>
        <w:rPr>
          <w:sz w:val="20"/>
        </w:rPr>
        <w:t xml:space="preserve">ж) в </w:t>
      </w:r>
      <w:hyperlink w:history="0" w:anchor="P5337" w:tooltip="Вспомогательные ненормируемые материальные ресурсы">
        <w:r>
          <w:rPr>
            <w:sz w:val="20"/>
            <w:color w:val="0000ff"/>
          </w:rPr>
          <w:t xml:space="preserve">строке</w:t>
        </w:r>
      </w:hyperlink>
      <w:r>
        <w:rPr>
          <w:sz w:val="20"/>
        </w:rPr>
        <w:t xml:space="preserve"> "Вспомогательные ненормируемые материальные ресурсы" - расчетом в соответствии с положениями </w:t>
      </w:r>
      <w:hyperlink w:history="0" w:anchor="P291" w:tooltip="75. При определении сметной стоимости работ с использованием сметных норм на монтаж оборудования (далее - ГЭСНм) и капитальный ремонт оборудования (далее - ГЭСНмр) дополнительно следует учитывать сметную стоимость вспомогательных ненормируемых материальных ресурсов, не учтенных в указанных сметных нормах (например, ветошь, бумага, керосин, бензин, смазочное масло, солидол) в следующих размерах:">
        <w:r>
          <w:rPr>
            <w:sz w:val="20"/>
            <w:color w:val="0000ff"/>
          </w:rPr>
          <w:t xml:space="preserve">пункта 75</w:t>
        </w:r>
      </w:hyperlink>
      <w:r>
        <w:rPr>
          <w:sz w:val="20"/>
        </w:rPr>
        <w:t xml:space="preserve"> Методики;</w:t>
      </w:r>
    </w:p>
    <w:p>
      <w:pPr>
        <w:pStyle w:val="0"/>
        <w:spacing w:before="200" w:line-rule="auto"/>
        <w:ind w:firstLine="540"/>
        <w:jc w:val="both"/>
      </w:pPr>
      <w:r>
        <w:rPr>
          <w:sz w:val="20"/>
        </w:rPr>
        <w:t xml:space="preserve">з) в </w:t>
      </w:r>
      <w:hyperlink w:history="0" w:anchor="P5325" w:tooltip="Итого прямые затраты">
        <w:r>
          <w:rPr>
            <w:sz w:val="20"/>
            <w:color w:val="0000ff"/>
          </w:rPr>
          <w:t xml:space="preserve">строке</w:t>
        </w:r>
      </w:hyperlink>
      <w:r>
        <w:rPr>
          <w:sz w:val="20"/>
        </w:rPr>
        <w:t xml:space="preserve"> "Итого прямые затраты" - суммированием </w:t>
      </w:r>
      <w:hyperlink w:history="0" w:anchor="P5109" w:tooltip="ОТ (ЗТ)">
        <w:r>
          <w:rPr>
            <w:sz w:val="20"/>
            <w:color w:val="0000ff"/>
          </w:rPr>
          <w:t xml:space="preserve">строк ОТ</w:t>
        </w:r>
      </w:hyperlink>
      <w:r>
        <w:rPr>
          <w:sz w:val="20"/>
        </w:rPr>
        <w:t xml:space="preserve">, </w:t>
      </w:r>
      <w:hyperlink w:history="0" w:anchor="P5193" w:tooltip="ЭМ">
        <w:r>
          <w:rPr>
            <w:sz w:val="20"/>
            <w:color w:val="0000ff"/>
          </w:rPr>
          <w:t xml:space="preserve">ЭМ</w:t>
        </w:r>
      </w:hyperlink>
      <w:r>
        <w:rPr>
          <w:sz w:val="20"/>
        </w:rPr>
        <w:t xml:space="preserve">, </w:t>
      </w:r>
      <w:hyperlink w:history="0" w:anchor="P5205" w:tooltip="ОТм (ЗТм)">
        <w:r>
          <w:rPr>
            <w:sz w:val="20"/>
            <w:color w:val="0000ff"/>
          </w:rPr>
          <w:t xml:space="preserve">ОТм(ЗТм)</w:t>
        </w:r>
      </w:hyperlink>
      <w:r>
        <w:rPr>
          <w:sz w:val="20"/>
        </w:rPr>
        <w:t xml:space="preserve"> и </w:t>
      </w:r>
      <w:hyperlink w:history="0" w:anchor="P5265" w:tooltip="М">
        <w:r>
          <w:rPr>
            <w:sz w:val="20"/>
            <w:color w:val="0000ff"/>
          </w:rPr>
          <w:t xml:space="preserve">М</w:t>
        </w:r>
      </w:hyperlink>
      <w:r>
        <w:rPr>
          <w:sz w:val="20"/>
        </w:rPr>
        <w:t xml:space="preserve"> по </w:t>
      </w:r>
      <w:hyperlink w:history="0" w:anchor="P5069" w:tooltip="12">
        <w:r>
          <w:rPr>
            <w:sz w:val="20"/>
            <w:color w:val="0000ff"/>
          </w:rPr>
          <w:t xml:space="preserve">графе 12</w:t>
        </w:r>
      </w:hyperlink>
      <w:r>
        <w:rPr>
          <w:sz w:val="20"/>
        </w:rPr>
        <w:t xml:space="preserve">;</w:t>
      </w:r>
    </w:p>
    <w:p>
      <w:pPr>
        <w:pStyle w:val="0"/>
        <w:spacing w:before="200" w:line-rule="auto"/>
        <w:ind w:firstLine="540"/>
        <w:jc w:val="both"/>
      </w:pPr>
      <w:r>
        <w:rPr>
          <w:sz w:val="20"/>
        </w:rPr>
        <w:t xml:space="preserve">и) в строках </w:t>
      </w:r>
      <w:hyperlink w:history="0" w:anchor="P5457" w:tooltip="НР &lt;вид работ&gt;">
        <w:r>
          <w:rPr>
            <w:sz w:val="20"/>
            <w:color w:val="0000ff"/>
          </w:rPr>
          <w:t xml:space="preserve">НР</w:t>
        </w:r>
      </w:hyperlink>
      <w:r>
        <w:rPr>
          <w:sz w:val="20"/>
        </w:rPr>
        <w:t xml:space="preserve"> и </w:t>
      </w:r>
      <w:hyperlink w:history="0" w:anchor="P5469" w:tooltip="СП &lt;вид работ&gt;">
        <w:r>
          <w:rPr>
            <w:sz w:val="20"/>
            <w:color w:val="0000ff"/>
          </w:rPr>
          <w:t xml:space="preserve">СП</w:t>
        </w:r>
      </w:hyperlink>
      <w:r>
        <w:rPr>
          <w:sz w:val="20"/>
        </w:rPr>
        <w:t xml:space="preserve"> - расчетом в соответствии со сметными нормативами, сведения о которых включены в ФРСН.</w:t>
      </w:r>
    </w:p>
    <w:p>
      <w:pPr>
        <w:pStyle w:val="0"/>
        <w:spacing w:before="200" w:line-rule="auto"/>
        <w:ind w:firstLine="540"/>
        <w:jc w:val="both"/>
      </w:pPr>
      <w:r>
        <w:rPr>
          <w:sz w:val="20"/>
        </w:rPr>
        <w:t xml:space="preserve">Итоговое значение по позиции определяется суммированием </w:t>
      </w:r>
      <w:hyperlink w:history="0" w:anchor="P5325" w:tooltip="Итого прямые затраты">
        <w:r>
          <w:rPr>
            <w:sz w:val="20"/>
            <w:color w:val="0000ff"/>
          </w:rPr>
          <w:t xml:space="preserve">строк</w:t>
        </w:r>
      </w:hyperlink>
      <w:r>
        <w:rPr>
          <w:sz w:val="20"/>
        </w:rPr>
        <w:t xml:space="preserve"> "Итого прямые затраты", </w:t>
      </w:r>
      <w:hyperlink w:history="0" w:anchor="P5457" w:tooltip="НР &lt;вид работ&gt;">
        <w:r>
          <w:rPr>
            <w:sz w:val="20"/>
            <w:color w:val="0000ff"/>
          </w:rPr>
          <w:t xml:space="preserve">НР</w:t>
        </w:r>
      </w:hyperlink>
      <w:r>
        <w:rPr>
          <w:sz w:val="20"/>
        </w:rPr>
        <w:t xml:space="preserve">, </w:t>
      </w:r>
      <w:hyperlink w:history="0" w:anchor="P5469" w:tooltip="СП &lt;вид работ&gt;">
        <w:r>
          <w:rPr>
            <w:sz w:val="20"/>
            <w:color w:val="0000ff"/>
          </w:rPr>
          <w:t xml:space="preserve">СП</w:t>
        </w:r>
      </w:hyperlink>
      <w:r>
        <w:rPr>
          <w:sz w:val="20"/>
        </w:rPr>
        <w:t xml:space="preserve">, а также неучтенных строительных ресурсов и дополнительных затрат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приведенных в позиции сметного расчета до </w:t>
      </w:r>
      <w:hyperlink w:history="0" w:anchor="P5445" w:tooltip="ФОТ">
        <w:r>
          <w:rPr>
            <w:sz w:val="20"/>
            <w:color w:val="0000ff"/>
          </w:rPr>
          <w:t xml:space="preserve">строки</w:t>
        </w:r>
      </w:hyperlink>
      <w:r>
        <w:rPr>
          <w:sz w:val="20"/>
        </w:rPr>
        <w:t xml:space="preserve"> "ФОТ". Округление значений в </w:t>
      </w:r>
      <w:hyperlink w:history="0" w:anchor="P5069" w:tooltip="12">
        <w:r>
          <w:rPr>
            <w:sz w:val="20"/>
            <w:color w:val="0000ff"/>
          </w:rPr>
          <w:t xml:space="preserve">графе 12</w:t>
        </w:r>
      </w:hyperlink>
      <w:r>
        <w:rPr>
          <w:sz w:val="20"/>
        </w:rPr>
        <w:t xml:space="preserve"> производится до двух знаков после запятой (до копеек) по итогу произведенных вычислений.</w:t>
      </w:r>
    </w:p>
    <w:p>
      <w:pPr>
        <w:pStyle w:val="0"/>
        <w:spacing w:before="200" w:line-rule="auto"/>
        <w:ind w:firstLine="540"/>
        <w:jc w:val="both"/>
      </w:pPr>
      <w:r>
        <w:rPr>
          <w:sz w:val="20"/>
        </w:rPr>
        <w:t xml:space="preserve">14. Итоговые значения по разделу определяются суммированием значений составляющих сметной стоимости раздела по </w:t>
      </w:r>
      <w:hyperlink w:history="0" w:anchor="P5069" w:tooltip="12">
        <w:r>
          <w:rPr>
            <w:sz w:val="20"/>
            <w:color w:val="0000ff"/>
          </w:rPr>
          <w:t xml:space="preserve">графе 12</w:t>
        </w:r>
      </w:hyperlink>
      <w:r>
        <w:rPr>
          <w:sz w:val="20"/>
        </w:rPr>
        <w:t xml:space="preserve">, приводятся в сметных расчетах справочно.</w:t>
      </w:r>
    </w:p>
    <w:p>
      <w:pPr>
        <w:pStyle w:val="0"/>
        <w:spacing w:before="200" w:line-rule="auto"/>
        <w:ind w:firstLine="540"/>
        <w:jc w:val="both"/>
      </w:pPr>
      <w:r>
        <w:rPr>
          <w:sz w:val="20"/>
        </w:rPr>
        <w:t xml:space="preserve">15. Итоговые значения по смете определяются суммированием значений </w:t>
      </w:r>
      <w:hyperlink w:history="0" w:anchor="P5069" w:tooltip="12">
        <w:r>
          <w:rPr>
            <w:sz w:val="20"/>
            <w:color w:val="0000ff"/>
          </w:rPr>
          <w:t xml:space="preserve">(графа 12)</w:t>
        </w:r>
      </w:hyperlink>
      <w:r>
        <w:rPr>
          <w:sz w:val="20"/>
        </w:rPr>
        <w:t xml:space="preserve"> всех составляющих сметной стоимости по смете. </w:t>
      </w:r>
      <w:hyperlink w:history="0" w:anchor="P5457" w:tooltip="НР &lt;вид работ&gt;">
        <w:r>
          <w:rPr>
            <w:sz w:val="20"/>
            <w:color w:val="0000ff"/>
          </w:rPr>
          <w:t xml:space="preserve">НР</w:t>
        </w:r>
      </w:hyperlink>
      <w:r>
        <w:rPr>
          <w:sz w:val="20"/>
        </w:rPr>
        <w:t xml:space="preserve"> и </w:t>
      </w:r>
      <w:hyperlink w:history="0" w:anchor="P5469" w:tooltip="СП &lt;вид работ&gt;">
        <w:r>
          <w:rPr>
            <w:sz w:val="20"/>
            <w:color w:val="0000ff"/>
          </w:rPr>
          <w:t xml:space="preserve">СП</w:t>
        </w:r>
      </w:hyperlink>
      <w:r>
        <w:rPr>
          <w:sz w:val="20"/>
        </w:rPr>
        <w:t xml:space="preserve"> в зависимости от применяемых сборников сметных норм относятся соответственно к сметной стоимости строительных, монтажных работ или прочих затрат.</w:t>
      </w:r>
    </w:p>
    <w:p>
      <w:pPr>
        <w:pStyle w:val="0"/>
        <w:spacing w:before="200" w:line-rule="auto"/>
        <w:ind w:firstLine="540"/>
        <w:jc w:val="both"/>
      </w:pPr>
      <w:r>
        <w:rPr>
          <w:sz w:val="20"/>
        </w:rPr>
        <w:t xml:space="preserve">16. Итоговые значения перевозки определяются суммированием значений соответствующих позиций по перевозке грузов (грунт, мусор и подобное), за исключением дополнительной, учитываемой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p>
      <w:pPr>
        <w:pStyle w:val="0"/>
        <w:spacing w:before="200" w:line-rule="auto"/>
        <w:ind w:firstLine="540"/>
        <w:jc w:val="both"/>
      </w:pPr>
      <w:r>
        <w:rPr>
          <w:sz w:val="20"/>
        </w:rPr>
        <w:t xml:space="preserve">17. Надбавки к стоимости материальных ресурсов, выраженные в абсолютных величинах, учитываются в локальных сметных расчетах (сметах) отдельной строкой.</w:t>
      </w:r>
    </w:p>
    <w:p>
      <w:pPr>
        <w:pStyle w:val="0"/>
        <w:spacing w:before="200" w:line-rule="auto"/>
        <w:ind w:firstLine="540"/>
        <w:jc w:val="both"/>
      </w:pPr>
      <w:r>
        <w:rPr>
          <w:sz w:val="20"/>
        </w:rPr>
        <w:t xml:space="preserve">18. Итоги сметной стоимости в соответствующих реквизитах локального сметного расчета (сметы), приведенных перед таблицей локального сметного расчета (сметы), указываются в тысячах рублей с округлением до двух знаков после запятой, при этом сметная стоимость пусконаладочных работ указывается в </w:t>
      </w:r>
      <w:hyperlink w:history="0" w:anchor="P5036" w:tooltip="прочих затрат">
        <w:r>
          <w:rPr>
            <w:sz w:val="20"/>
            <w:color w:val="0000ff"/>
          </w:rPr>
          <w:t xml:space="preserve">строке</w:t>
        </w:r>
      </w:hyperlink>
      <w:r>
        <w:rPr>
          <w:sz w:val="20"/>
        </w:rPr>
        <w:t xml:space="preserve"> "Сметная стоимость прочих затрат".</w:t>
      </w:r>
    </w:p>
    <w:p>
      <w:pPr>
        <w:pStyle w:val="0"/>
        <w:spacing w:before="200" w:line-rule="auto"/>
        <w:ind w:firstLine="540"/>
        <w:jc w:val="both"/>
      </w:pPr>
      <w:r>
        <w:rPr>
          <w:sz w:val="20"/>
        </w:rPr>
        <w:t xml:space="preserve">19. В итогах локального сметного расчета (сметы) сметная стоимость пусконаладочных работ распределяется на затраты "вхолостую" и "под нагрузкой" и указывается справочно, расчет производится с учетом </w:t>
      </w:r>
      <w:hyperlink w:history="0" w:anchor="P9093" w:tooltip="СТРУКТУРА">
        <w:r>
          <w:rPr>
            <w:sz w:val="20"/>
            <w:color w:val="0000ff"/>
          </w:rPr>
          <w:t xml:space="preserve">Приложения N 8</w:t>
        </w:r>
      </w:hyperlink>
      <w:r>
        <w:rPr>
          <w:sz w:val="20"/>
        </w:rPr>
        <w:t xml:space="preserve"> к Методике.</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2"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6831" w:name="P6831"/>
    <w:bookmarkEnd w:id="6831"/>
    <w:p>
      <w:pPr>
        <w:pStyle w:val="0"/>
        <w:jc w:val="center"/>
      </w:pPr>
      <w:r>
        <w:rPr>
          <w:sz w:val="20"/>
        </w:rPr>
        <w:t xml:space="preserve">ФОРМА</w:t>
      </w:r>
    </w:p>
    <w:p>
      <w:pPr>
        <w:pStyle w:val="0"/>
        <w:jc w:val="center"/>
      </w:pPr>
      <w:r>
        <w:rPr>
          <w:sz w:val="20"/>
        </w:rPr>
        <w:t xml:space="preserve">ЛОКАЛЬНОГО СМЕТНОГО РАСЧЕТА (СМЕТЫ), РАЗРАБОТАННОГО</w:t>
      </w:r>
    </w:p>
    <w:p>
      <w:pPr>
        <w:pStyle w:val="0"/>
        <w:jc w:val="center"/>
      </w:pPr>
      <w:r>
        <w:rPr>
          <w:sz w:val="20"/>
        </w:rPr>
        <w:t xml:space="preserve">РЕСУРСНЫМ МЕТОДОМ</w:t>
      </w:r>
    </w:p>
    <w:p>
      <w:pPr>
        <w:pStyle w:val="0"/>
        <w:jc w:val="both"/>
      </w:pPr>
      <w:r>
        <w:rPr>
          <w:sz w:val="20"/>
        </w:rPr>
      </w:r>
    </w:p>
    <w:tbl>
      <w:tblPr>
        <w:tblInd w:w="0" w:type="dxa"/>
        <w:tblLayout w:type="fixed"/>
        <w:tblCellMar>
          <w:top w:w="102" w:type="dxa"/>
          <w:left w:w="62" w:type="dxa"/>
          <w:bottom w:w="102" w:type="dxa"/>
          <w:right w:w="62" w:type="dxa"/>
        </w:tblCellMar>
      </w:tblPr>
      <w:tblGrid>
        <w:gridCol w:w="5197"/>
        <w:gridCol w:w="3874"/>
      </w:tblGrid>
      <w:tr>
        <w:tc>
          <w:tcPr>
            <w:tcW w:w="5197" w:type="dxa"/>
            <w:tcBorders>
              <w:top w:val="nil"/>
              <w:left w:val="nil"/>
              <w:bottom w:val="nil"/>
              <w:right w:val="nil"/>
            </w:tcBorders>
          </w:tcPr>
          <w:p>
            <w:pPr>
              <w:pStyle w:val="0"/>
              <w:jc w:val="both"/>
            </w:pPr>
            <w:r>
              <w:rPr>
                <w:sz w:val="20"/>
              </w:rPr>
              <w:t xml:space="preserve">Наименование программного продукта</w:t>
            </w:r>
          </w:p>
        </w:tc>
        <w:tc>
          <w:tcPr>
            <w:tcW w:w="3874" w:type="dxa"/>
            <w:tcBorders>
              <w:top w:val="nil"/>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Наименование редакции сметных нормативов</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Реквизиты приказа Минстроя России об утверждении дополнений и изменений к сметным нормативам</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jc w:val="both"/>
            </w:pPr>
            <w:r>
              <w:rPr>
                <w:sz w:val="20"/>
              </w:rPr>
              <w:t xml:space="preserve">Реквизиты нормативного правового акта об утверждении оплаты труда, утверждаемый в соответствии с </w:t>
            </w:r>
            <w:hyperlink w:history="0" r:id="rId213" w:tooltip="Постановление Правительства РФ от 23.12.2016 N 1452 (ред. от 15.04.2022) &quot;О мониторинге цен строительных ресурсов&quot; (вместе с &quot;Правилами мониторинга цен строительных ресурсов&quot;) {КонсультантПлюс}">
              <w:r>
                <w:rPr>
                  <w:sz w:val="20"/>
                  <w:color w:val="0000ff"/>
                </w:rPr>
                <w:t xml:space="preserve">пунктом 22(1)</w:t>
              </w:r>
            </w:hyperlink>
            <w:r>
              <w:rPr>
                <w:sz w:val="20"/>
              </w:rPr>
              <w:t xml:space="preserve"> Правилами мониторинга цен, утвержденными постановлением Правительства Российской Федерации от 23 декабря 2016 N 1452</w:t>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pPr>
            <w:r>
              <w:rPr>
                <w:sz w:val="20"/>
              </w:rPr>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pPr>
            <w:r>
              <w:rPr>
                <w:sz w:val="20"/>
              </w:rPr>
            </w:r>
          </w:p>
        </w:tc>
        <w:tc>
          <w:tcPr>
            <w:tcW w:w="3874" w:type="dxa"/>
            <w:tcBorders>
              <w:top w:val="single" w:sz="4"/>
              <w:left w:val="nil"/>
              <w:bottom w:val="single" w:sz="4"/>
              <w:right w:val="nil"/>
            </w:tcBorders>
          </w:tcPr>
          <w:p>
            <w:pPr>
              <w:pStyle w:val="0"/>
            </w:pPr>
            <w:r>
              <w:rPr>
                <w:sz w:val="20"/>
              </w:rPr>
            </w:r>
          </w:p>
        </w:tc>
      </w:tr>
      <w:tr>
        <w:tc>
          <w:tcPr>
            <w:tcW w:w="5197" w:type="dxa"/>
            <w:tcBorders>
              <w:top w:val="nil"/>
              <w:left w:val="nil"/>
              <w:bottom w:val="nil"/>
              <w:right w:val="nil"/>
            </w:tcBorders>
          </w:tcPr>
          <w:p>
            <w:pPr>
              <w:pStyle w:val="0"/>
            </w:pPr>
            <w:r>
              <w:rPr>
                <w:sz w:val="20"/>
              </w:rPr>
            </w:r>
          </w:p>
        </w:tc>
        <w:tc>
          <w:tcPr>
            <w:tcW w:w="3874" w:type="dxa"/>
            <w:tcBorders>
              <w:top w:val="single" w:sz="4"/>
              <w:left w:val="nil"/>
              <w:bottom w:val="single" w:sz="4"/>
              <w:right w:val="nil"/>
            </w:tcBorders>
          </w:tcPr>
          <w:p>
            <w:pPr>
              <w:pStyle w:val="0"/>
            </w:pPr>
            <w:r>
              <w:rPr>
                <w:sz w:val="20"/>
              </w:rPr>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(наименование стройки)</w:t>
            </w:r>
          </w:p>
        </w:tc>
      </w:tr>
      <w:tr>
        <w:tc>
          <w:tcPr>
            <w:gridSpan w:val="2"/>
            <w:tcW w:w="9071" w:type="dxa"/>
            <w:tcBorders>
              <w:top w:val="nil"/>
              <w:left w:val="nil"/>
              <w:bottom w:val="single" w:sz="4"/>
              <w:right w:val="nil"/>
            </w:tcBorders>
          </w:tcPr>
          <w:p>
            <w:pPr>
              <w:pStyle w:val="0"/>
            </w:pPr>
            <w:r>
              <w:rPr>
                <w:sz w:val="20"/>
              </w:rPr>
            </w:r>
          </w:p>
        </w:tc>
      </w:tr>
      <w:tr>
        <w:tc>
          <w:tcPr>
            <w:gridSpan w:val="2"/>
            <w:tcW w:w="9071" w:type="dxa"/>
            <w:tcBorders>
              <w:top w:val="single" w:sz="4"/>
              <w:left w:val="nil"/>
              <w:bottom w:val="nil"/>
              <w:right w:val="nil"/>
            </w:tcBorders>
          </w:tcPr>
          <w:p>
            <w:pPr>
              <w:pStyle w:val="0"/>
              <w:jc w:val="center"/>
            </w:pPr>
            <w:r>
              <w:rPr>
                <w:sz w:val="20"/>
              </w:rPr>
              <w:t xml:space="preserve">(наименование объекта капитального строительства)</w:t>
            </w:r>
          </w:p>
        </w:tc>
      </w:tr>
      <w:tr>
        <w:tc>
          <w:tcPr>
            <w:gridSpan w:val="2"/>
            <w:tcW w:w="9071" w:type="dxa"/>
            <w:tcBorders>
              <w:top w:val="nil"/>
              <w:left w:val="nil"/>
              <w:bottom w:val="nil"/>
              <w:right w:val="nil"/>
            </w:tcBorders>
          </w:tcPr>
          <w:p>
            <w:pPr>
              <w:pStyle w:val="0"/>
              <w:jc w:val="center"/>
            </w:pPr>
            <w:r>
              <w:rPr>
                <w:sz w:val="20"/>
              </w:rPr>
              <w:t xml:space="preserve">ЛОКАЛЬНЫЙ СМЕТНЫЙ РАСЧЕТ (СМЕТА) N ____</w:t>
            </w:r>
          </w:p>
        </w:tc>
      </w:tr>
      <w:tr>
        <w:tc>
          <w:tcPr>
            <w:gridSpan w:val="2"/>
            <w:tcW w:w="9071" w:type="dxa"/>
            <w:tcBorders>
              <w:top w:val="nil"/>
              <w:left w:val="nil"/>
              <w:bottom w:val="single" w:sz="4"/>
              <w:right w:val="nil"/>
            </w:tcBorders>
          </w:tcPr>
          <w:p>
            <w:pPr>
              <w:pStyle w:val="0"/>
            </w:pPr>
            <w:r>
              <w:rPr>
                <w:sz w:val="20"/>
              </w:rPr>
            </w:r>
          </w:p>
        </w:tc>
      </w:tr>
      <w:tr>
        <w:tblPrEx>
          <w:tblBorders>
            <w:insideH w:val="single" w:sz="4"/>
          </w:tblBorders>
        </w:tblPrEx>
        <w:tc>
          <w:tcPr>
            <w:gridSpan w:val="2"/>
            <w:tcW w:w="9071" w:type="dxa"/>
            <w:tcBorders>
              <w:top w:val="single" w:sz="4"/>
              <w:left w:val="nil"/>
              <w:bottom w:val="nil"/>
              <w:right w:val="nil"/>
            </w:tcBorders>
          </w:tcPr>
          <w:p>
            <w:pPr>
              <w:pStyle w:val="0"/>
              <w:jc w:val="center"/>
            </w:pPr>
            <w:r>
              <w:rPr>
                <w:sz w:val="20"/>
              </w:rPr>
              <w:t xml:space="preserve">(наименование работ и затрат)</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378"/>
        <w:gridCol w:w="5083"/>
        <w:gridCol w:w="2618"/>
      </w:tblGrid>
      <w:tr>
        <w:tc>
          <w:tcPr>
            <w:tcW w:w="1378" w:type="dxa"/>
            <w:tcBorders>
              <w:top w:val="nil"/>
              <w:left w:val="nil"/>
              <w:bottom w:val="nil"/>
              <w:right w:val="nil"/>
            </w:tcBorders>
          </w:tcPr>
          <w:p>
            <w:pPr>
              <w:pStyle w:val="0"/>
            </w:pPr>
            <w:r>
              <w:rPr>
                <w:sz w:val="20"/>
              </w:rPr>
              <w:t xml:space="preserve">Составлен</w:t>
            </w:r>
          </w:p>
        </w:tc>
        <w:tc>
          <w:tcPr>
            <w:tcW w:w="5083" w:type="dxa"/>
            <w:tcBorders>
              <w:top w:val="nil"/>
              <w:left w:val="nil"/>
              <w:bottom w:val="single" w:sz="4"/>
              <w:right w:val="nil"/>
            </w:tcBorders>
          </w:tcPr>
          <w:p>
            <w:pPr>
              <w:pStyle w:val="0"/>
              <w:jc w:val="center"/>
            </w:pPr>
            <w:r>
              <w:rPr>
                <w:sz w:val="20"/>
              </w:rPr>
              <w:t xml:space="preserve">ресурсным</w:t>
            </w:r>
          </w:p>
        </w:tc>
        <w:tc>
          <w:tcPr>
            <w:tcW w:w="2618" w:type="dxa"/>
            <w:tcBorders>
              <w:top w:val="nil"/>
              <w:left w:val="nil"/>
              <w:bottom w:val="nil"/>
              <w:right w:val="nil"/>
            </w:tcBorders>
          </w:tcPr>
          <w:p>
            <w:pPr>
              <w:pStyle w:val="0"/>
            </w:pPr>
            <w:r>
              <w:rPr>
                <w:sz w:val="20"/>
              </w:rPr>
              <w:t xml:space="preserve">методом</w:t>
            </w:r>
          </w:p>
        </w:tc>
      </w:tr>
      <w:tr>
        <w:tc>
          <w:tcPr>
            <w:tcW w:w="1378" w:type="dxa"/>
            <w:tcBorders>
              <w:top w:val="nil"/>
              <w:left w:val="nil"/>
              <w:bottom w:val="nil"/>
              <w:right w:val="nil"/>
            </w:tcBorders>
          </w:tcPr>
          <w:p>
            <w:pPr>
              <w:pStyle w:val="0"/>
            </w:pPr>
            <w:r>
              <w:rPr>
                <w:sz w:val="20"/>
              </w:rPr>
              <w:t xml:space="preserve">Основание</w:t>
            </w:r>
          </w:p>
        </w:tc>
        <w:tc>
          <w:tcPr>
            <w:gridSpan w:val="2"/>
            <w:tcW w:w="7701" w:type="dxa"/>
            <w:tcBorders>
              <w:top w:val="nil"/>
              <w:left w:val="nil"/>
              <w:bottom w:val="single" w:sz="4"/>
              <w:right w:val="nil"/>
            </w:tcBorders>
          </w:tcPr>
          <w:p>
            <w:pPr>
              <w:pStyle w:val="0"/>
            </w:pPr>
            <w:r>
              <w:rPr>
                <w:sz w:val="20"/>
              </w:rPr>
            </w:r>
          </w:p>
        </w:tc>
      </w:tr>
      <w:tr>
        <w:tc>
          <w:tcPr>
            <w:tcW w:w="1378" w:type="dxa"/>
            <w:tcBorders>
              <w:top w:val="nil"/>
              <w:left w:val="nil"/>
              <w:bottom w:val="nil"/>
              <w:right w:val="nil"/>
            </w:tcBorders>
          </w:tcPr>
          <w:p>
            <w:pPr>
              <w:pStyle w:val="0"/>
            </w:pPr>
            <w:r>
              <w:rPr>
                <w:sz w:val="20"/>
              </w:rPr>
            </w:r>
          </w:p>
        </w:tc>
        <w:tc>
          <w:tcPr>
            <w:gridSpan w:val="2"/>
            <w:tcW w:w="7701" w:type="dxa"/>
            <w:tcBorders>
              <w:top w:val="single" w:sz="4"/>
              <w:left w:val="nil"/>
              <w:bottom w:val="nil"/>
              <w:right w:val="nil"/>
            </w:tcBorders>
          </w:tcPr>
          <w:p>
            <w:pPr>
              <w:pStyle w:val="0"/>
              <w:jc w:val="center"/>
            </w:pPr>
            <w:r>
              <w:rPr>
                <w:sz w:val="20"/>
              </w:rPr>
              <w:t xml:space="preserve">(проектная и (или) иная техническая документация)</w:t>
            </w:r>
          </w:p>
        </w:tc>
      </w:tr>
    </w:tbl>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CellMar>
          <w:top w:w="102" w:type="dxa"/>
          <w:left w:w="62" w:type="dxa"/>
          <w:bottom w:w="102" w:type="dxa"/>
          <w:right w:w="62" w:type="dxa"/>
        </w:tblCellMar>
      </w:tblPr>
      <w:tblGrid>
        <w:gridCol w:w="2835"/>
        <w:gridCol w:w="567"/>
        <w:gridCol w:w="1983"/>
        <w:gridCol w:w="1190"/>
        <w:gridCol w:w="340"/>
        <w:gridCol w:w="2268"/>
        <w:gridCol w:w="1417"/>
        <w:gridCol w:w="1077"/>
      </w:tblGrid>
      <w:tr>
        <w:tc>
          <w:tcPr>
            <w:gridSpan w:val="2"/>
            <w:tcW w:w="3402" w:type="dxa"/>
            <w:vAlign w:val="bottom"/>
            <w:tcBorders>
              <w:top w:val="nil"/>
              <w:left w:val="nil"/>
              <w:bottom w:val="nil"/>
              <w:right w:val="nil"/>
            </w:tcBorders>
          </w:tcPr>
          <w:p>
            <w:pPr>
              <w:pStyle w:val="0"/>
            </w:pPr>
            <w:r>
              <w:rPr>
                <w:sz w:val="20"/>
              </w:rPr>
              <w:t xml:space="preserve">Составлен(а) в текущем (базисном) уровне цен</w:t>
            </w:r>
          </w:p>
        </w:tc>
        <w:tc>
          <w:tcPr>
            <w:tcW w:w="1983" w:type="dxa"/>
            <w:vAlign w:val="bottom"/>
            <w:tcBorders>
              <w:top w:val="nil"/>
              <w:left w:val="nil"/>
              <w:bottom w:val="single" w:sz="4"/>
              <w:right w:val="nil"/>
            </w:tcBorders>
          </w:tcPr>
          <w:p>
            <w:pPr>
              <w:pStyle w:val="0"/>
            </w:pPr>
            <w:r>
              <w:rPr>
                <w:sz w:val="20"/>
              </w:rPr>
            </w:r>
          </w:p>
        </w:tc>
        <w:tc>
          <w:tcPr>
            <w:tcW w:w="1190"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r>
          </w:p>
        </w:tc>
        <w:tc>
          <w:tcPr>
            <w:tcW w:w="1417"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gridSpan w:val="2"/>
            <w:tcW w:w="3402" w:type="dxa"/>
            <w:tcBorders>
              <w:top w:val="nil"/>
              <w:left w:val="nil"/>
              <w:bottom w:val="nil"/>
              <w:right w:val="nil"/>
            </w:tcBorders>
          </w:tcPr>
          <w:p>
            <w:pPr>
              <w:pStyle w:val="0"/>
            </w:pPr>
            <w:r>
              <w:rPr>
                <w:sz w:val="20"/>
              </w:rPr>
            </w:r>
          </w:p>
        </w:tc>
        <w:tc>
          <w:tcPr>
            <w:tcW w:w="1983" w:type="dxa"/>
            <w:tcBorders>
              <w:top w:val="single" w:sz="4"/>
              <w:left w:val="nil"/>
              <w:bottom w:val="nil"/>
              <w:right w:val="nil"/>
            </w:tcBorders>
          </w:tcPr>
          <w:p>
            <w:pPr>
              <w:pStyle w:val="0"/>
            </w:pPr>
            <w:r>
              <w:rPr>
                <w:sz w:val="20"/>
              </w:rPr>
            </w:r>
          </w:p>
        </w:tc>
        <w:tc>
          <w:tcPr>
            <w:tcW w:w="1190"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68"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gridSpan w:val="2"/>
            <w:tcW w:w="3402" w:type="dxa"/>
            <w:tcBorders>
              <w:top w:val="nil"/>
              <w:left w:val="nil"/>
              <w:bottom w:val="nil"/>
              <w:right w:val="nil"/>
            </w:tcBorders>
          </w:tcPr>
          <w:p>
            <w:pPr>
              <w:pStyle w:val="0"/>
            </w:pPr>
            <w:r>
              <w:rPr>
                <w:sz w:val="20"/>
              </w:rPr>
              <w:t xml:space="preserve">Наименование субъекта РФ</w:t>
            </w:r>
          </w:p>
        </w:tc>
        <w:tc>
          <w:tcPr>
            <w:gridSpan w:val="6"/>
            <w:tcW w:w="8275" w:type="dxa"/>
            <w:tcBorders>
              <w:top w:val="nil"/>
              <w:left w:val="nil"/>
              <w:bottom w:val="single" w:sz="4"/>
              <w:right w:val="nil"/>
            </w:tcBorders>
          </w:tcPr>
          <w:p>
            <w:pPr>
              <w:pStyle w:val="0"/>
            </w:pPr>
            <w:r>
              <w:rPr>
                <w:sz w:val="20"/>
              </w:rPr>
            </w:r>
          </w:p>
        </w:tc>
      </w:tr>
      <w:tr>
        <w:tc>
          <w:tcPr>
            <w:gridSpan w:val="2"/>
            <w:tcW w:w="3402" w:type="dxa"/>
            <w:tcBorders>
              <w:top w:val="nil"/>
              <w:left w:val="nil"/>
              <w:bottom w:val="nil"/>
              <w:right w:val="nil"/>
            </w:tcBorders>
          </w:tcPr>
          <w:p>
            <w:pPr>
              <w:pStyle w:val="0"/>
            </w:pPr>
            <w:r>
              <w:rPr>
                <w:sz w:val="20"/>
              </w:rPr>
              <w:t xml:space="preserve">Наименование зоны субъекта РФ</w:t>
            </w:r>
          </w:p>
        </w:tc>
        <w:tc>
          <w:tcPr>
            <w:gridSpan w:val="6"/>
            <w:tcW w:w="8275" w:type="dxa"/>
            <w:tcBorders>
              <w:top w:val="single" w:sz="4"/>
              <w:left w:val="nil"/>
              <w:bottom w:val="single" w:sz="4"/>
              <w:right w:val="nil"/>
            </w:tcBorders>
          </w:tcPr>
          <w:p>
            <w:pPr>
              <w:pStyle w:val="0"/>
            </w:pPr>
            <w:r>
              <w:rPr>
                <w:sz w:val="20"/>
              </w:rPr>
            </w:r>
          </w:p>
        </w:tc>
      </w:tr>
      <w:tr>
        <w:tc>
          <w:tcPr>
            <w:gridSpan w:val="2"/>
            <w:tcW w:w="3402" w:type="dxa"/>
            <w:tcBorders>
              <w:top w:val="nil"/>
              <w:left w:val="nil"/>
              <w:bottom w:val="nil"/>
              <w:right w:val="nil"/>
            </w:tcBorders>
          </w:tcPr>
          <w:p>
            <w:pPr>
              <w:pStyle w:val="0"/>
            </w:pPr>
            <w:r>
              <w:rPr>
                <w:sz w:val="20"/>
              </w:rPr>
            </w:r>
          </w:p>
        </w:tc>
        <w:tc>
          <w:tcPr>
            <w:gridSpan w:val="6"/>
            <w:tcW w:w="8275" w:type="dxa"/>
            <w:tcBorders>
              <w:top w:val="single" w:sz="4"/>
              <w:left w:val="nil"/>
              <w:bottom w:val="nil"/>
              <w:right w:val="nil"/>
            </w:tcBorders>
          </w:tcPr>
          <w:p>
            <w:pPr>
              <w:pStyle w:val="0"/>
            </w:pPr>
            <w:r>
              <w:rPr>
                <w:sz w:val="20"/>
              </w:rPr>
            </w:r>
          </w:p>
        </w:tc>
      </w:tr>
      <w:tr>
        <w:tc>
          <w:tcPr>
            <w:tcW w:w="2835" w:type="dxa"/>
            <w:vAlign w:val="bottom"/>
            <w:tcBorders>
              <w:top w:val="nil"/>
              <w:left w:val="nil"/>
              <w:bottom w:val="nil"/>
              <w:right w:val="nil"/>
            </w:tcBorders>
          </w:tcPr>
          <w:p>
            <w:pPr>
              <w:pStyle w:val="0"/>
            </w:pPr>
            <w:r>
              <w:rPr>
                <w:sz w:val="20"/>
              </w:rPr>
              <w:t xml:space="preserve">Сметная стоимость</w:t>
            </w:r>
          </w:p>
        </w:tc>
        <w:tc>
          <w:tcPr>
            <w:gridSpan w:val="2"/>
            <w:tcW w:w="2550" w:type="dxa"/>
            <w:vAlign w:val="bottom"/>
            <w:tcBorders>
              <w:top w:val="nil"/>
              <w:left w:val="nil"/>
              <w:bottom w:val="single" w:sz="4"/>
              <w:right w:val="nil"/>
            </w:tcBorders>
          </w:tcPr>
          <w:p>
            <w:pPr>
              <w:pStyle w:val="0"/>
            </w:pPr>
            <w:r>
              <w:rPr>
                <w:sz w:val="20"/>
              </w:rPr>
            </w:r>
          </w:p>
        </w:tc>
        <w:tc>
          <w:tcPr>
            <w:tcW w:w="1190" w:type="dxa"/>
            <w:vAlign w:val="bottom"/>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jc w:val="both"/>
            </w:pPr>
            <w:r>
              <w:rPr>
                <w:sz w:val="20"/>
              </w:rPr>
              <w:t xml:space="preserve">Средства на оплату труда рабочих</w:t>
            </w:r>
          </w:p>
        </w:tc>
        <w:tc>
          <w:tcPr>
            <w:tcW w:w="1417" w:type="dxa"/>
            <w:vAlign w:val="bottom"/>
            <w:tcBorders>
              <w:top w:val="nil"/>
              <w:left w:val="nil"/>
              <w:bottom w:val="single" w:sz="4"/>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тыс. руб.</w:t>
            </w:r>
          </w:p>
        </w:tc>
      </w:tr>
      <w:tr>
        <w:tc>
          <w:tcPr>
            <w:gridSpan w:val="2"/>
            <w:tcW w:w="3402" w:type="dxa"/>
            <w:vAlign w:val="bottom"/>
            <w:tcBorders>
              <w:top w:val="nil"/>
              <w:left w:val="nil"/>
              <w:bottom w:val="nil"/>
              <w:right w:val="nil"/>
            </w:tcBorders>
          </w:tcPr>
          <w:p>
            <w:pPr>
              <w:pStyle w:val="0"/>
              <w:ind w:left="1132"/>
            </w:pPr>
            <w:r>
              <w:rPr>
                <w:sz w:val="20"/>
              </w:rPr>
              <w:t xml:space="preserve">в том числе:</w:t>
            </w:r>
          </w:p>
        </w:tc>
        <w:tc>
          <w:tcPr>
            <w:tcW w:w="1983" w:type="dxa"/>
            <w:vAlign w:val="bottom"/>
            <w:tcBorders>
              <w:top w:val="single" w:sz="4"/>
              <w:left w:val="nil"/>
              <w:bottom w:val="nil"/>
              <w:right w:val="nil"/>
            </w:tcBorders>
          </w:tcPr>
          <w:p>
            <w:pPr>
              <w:pStyle w:val="0"/>
            </w:pPr>
            <w:r>
              <w:rPr>
                <w:sz w:val="20"/>
              </w:rPr>
            </w:r>
          </w:p>
        </w:tc>
        <w:tc>
          <w:tcPr>
            <w:tcW w:w="1190"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t xml:space="preserve">Средства на оплату труда машинистов</w:t>
            </w:r>
          </w:p>
        </w:tc>
        <w:tc>
          <w:tcPr>
            <w:tcW w:w="1417" w:type="dxa"/>
            <w:vAlign w:val="bottom"/>
            <w:tcBorders>
              <w:top w:val="single" w:sz="4"/>
              <w:left w:val="nil"/>
              <w:bottom w:val="single" w:sz="4"/>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тыс. руб.</w:t>
            </w:r>
          </w:p>
        </w:tc>
      </w:tr>
      <w:tr>
        <w:tc>
          <w:tcPr>
            <w:gridSpan w:val="2"/>
            <w:tcW w:w="3402" w:type="dxa"/>
            <w:vAlign w:val="bottom"/>
            <w:tcBorders>
              <w:top w:val="nil"/>
              <w:left w:val="nil"/>
              <w:bottom w:val="nil"/>
              <w:right w:val="nil"/>
            </w:tcBorders>
          </w:tcPr>
          <w:p>
            <w:pPr>
              <w:pStyle w:val="0"/>
              <w:ind w:left="1132"/>
            </w:pPr>
            <w:r>
              <w:rPr>
                <w:sz w:val="20"/>
              </w:rPr>
              <w:t xml:space="preserve">строительных работ</w:t>
            </w:r>
          </w:p>
        </w:tc>
        <w:tc>
          <w:tcPr>
            <w:tcW w:w="1983" w:type="dxa"/>
            <w:vAlign w:val="bottom"/>
            <w:tcBorders>
              <w:top w:val="nil"/>
              <w:left w:val="nil"/>
              <w:bottom w:val="single" w:sz="4"/>
              <w:right w:val="nil"/>
            </w:tcBorders>
          </w:tcPr>
          <w:p>
            <w:pPr>
              <w:pStyle w:val="0"/>
            </w:pPr>
            <w:r>
              <w:rPr>
                <w:sz w:val="20"/>
              </w:rPr>
            </w:r>
          </w:p>
        </w:tc>
        <w:tc>
          <w:tcPr>
            <w:tcW w:w="1190" w:type="dxa"/>
            <w:vAlign w:val="bottom"/>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t xml:space="preserve">Нормативные затраты труда рабочих</w:t>
            </w:r>
          </w:p>
        </w:tc>
        <w:tc>
          <w:tcPr>
            <w:tcW w:w="1417" w:type="dxa"/>
            <w:vAlign w:val="bottom"/>
            <w:tcBorders>
              <w:top w:val="single" w:sz="4"/>
              <w:left w:val="nil"/>
              <w:bottom w:val="single" w:sz="4"/>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чел.-ч.</w:t>
            </w:r>
          </w:p>
        </w:tc>
      </w:tr>
      <w:tr>
        <w:tc>
          <w:tcPr>
            <w:gridSpan w:val="2"/>
            <w:tcW w:w="3402" w:type="dxa"/>
            <w:vAlign w:val="bottom"/>
            <w:tcBorders>
              <w:top w:val="nil"/>
              <w:left w:val="nil"/>
              <w:bottom w:val="nil"/>
              <w:right w:val="nil"/>
            </w:tcBorders>
          </w:tcPr>
          <w:p>
            <w:pPr>
              <w:pStyle w:val="0"/>
              <w:ind w:left="1132"/>
            </w:pPr>
            <w:r>
              <w:rPr>
                <w:sz w:val="20"/>
              </w:rPr>
              <w:t xml:space="preserve">монтажных работ</w:t>
            </w:r>
          </w:p>
        </w:tc>
        <w:tc>
          <w:tcPr>
            <w:tcW w:w="1983" w:type="dxa"/>
            <w:vAlign w:val="bottom"/>
            <w:tcBorders>
              <w:top w:val="single" w:sz="4"/>
              <w:left w:val="nil"/>
              <w:bottom w:val="single" w:sz="4"/>
              <w:right w:val="nil"/>
            </w:tcBorders>
          </w:tcPr>
          <w:p>
            <w:pPr>
              <w:pStyle w:val="0"/>
            </w:pPr>
            <w:r>
              <w:rPr>
                <w:sz w:val="20"/>
              </w:rPr>
            </w:r>
          </w:p>
        </w:tc>
        <w:tc>
          <w:tcPr>
            <w:tcW w:w="1190" w:type="dxa"/>
            <w:vAlign w:val="center"/>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t xml:space="preserve">Нормативные затраты труда машинистов</w:t>
            </w:r>
          </w:p>
        </w:tc>
        <w:tc>
          <w:tcPr>
            <w:tcW w:w="1417" w:type="dxa"/>
            <w:vAlign w:val="bottom"/>
            <w:tcBorders>
              <w:top w:val="single" w:sz="4"/>
              <w:left w:val="nil"/>
              <w:bottom w:val="single" w:sz="4"/>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t xml:space="preserve">чел.-ч.</w:t>
            </w:r>
          </w:p>
        </w:tc>
      </w:tr>
      <w:tr>
        <w:tc>
          <w:tcPr>
            <w:gridSpan w:val="2"/>
            <w:tcW w:w="3402" w:type="dxa"/>
            <w:vAlign w:val="bottom"/>
            <w:tcBorders>
              <w:top w:val="nil"/>
              <w:left w:val="nil"/>
              <w:bottom w:val="nil"/>
              <w:right w:val="nil"/>
            </w:tcBorders>
          </w:tcPr>
          <w:p>
            <w:pPr>
              <w:pStyle w:val="0"/>
              <w:ind w:left="1132"/>
            </w:pPr>
            <w:r>
              <w:rPr>
                <w:sz w:val="20"/>
              </w:rPr>
              <w:t xml:space="preserve">оборудования</w:t>
            </w:r>
          </w:p>
        </w:tc>
        <w:tc>
          <w:tcPr>
            <w:tcW w:w="1983" w:type="dxa"/>
            <w:vAlign w:val="bottom"/>
            <w:tcBorders>
              <w:top w:val="single" w:sz="4"/>
              <w:left w:val="nil"/>
              <w:bottom w:val="single" w:sz="4"/>
              <w:right w:val="nil"/>
            </w:tcBorders>
          </w:tcPr>
          <w:p>
            <w:pPr>
              <w:pStyle w:val="0"/>
            </w:pPr>
            <w:r>
              <w:rPr>
                <w:sz w:val="20"/>
              </w:rPr>
            </w:r>
          </w:p>
        </w:tc>
        <w:tc>
          <w:tcPr>
            <w:tcW w:w="1190" w:type="dxa"/>
            <w:vAlign w:val="center"/>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r>
          </w:p>
        </w:tc>
        <w:tc>
          <w:tcPr>
            <w:tcW w:w="1417" w:type="dxa"/>
            <w:vAlign w:val="bottom"/>
            <w:tcBorders>
              <w:top w:val="single" w:sz="4"/>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r>
        <w:tc>
          <w:tcPr>
            <w:gridSpan w:val="2"/>
            <w:tcW w:w="3402" w:type="dxa"/>
            <w:vAlign w:val="bottom"/>
            <w:tcBorders>
              <w:top w:val="nil"/>
              <w:left w:val="nil"/>
              <w:bottom w:val="nil"/>
              <w:right w:val="nil"/>
            </w:tcBorders>
          </w:tcPr>
          <w:bookmarkStart w:id="6920" w:name="P6920"/>
          <w:bookmarkEnd w:id="6920"/>
          <w:p>
            <w:pPr>
              <w:pStyle w:val="0"/>
              <w:ind w:left="1132"/>
            </w:pPr>
            <w:r>
              <w:rPr>
                <w:sz w:val="20"/>
              </w:rPr>
              <w:t xml:space="preserve">прочих затрат</w:t>
            </w:r>
          </w:p>
        </w:tc>
        <w:tc>
          <w:tcPr>
            <w:tcW w:w="1983" w:type="dxa"/>
            <w:vAlign w:val="bottom"/>
            <w:tcBorders>
              <w:top w:val="single" w:sz="4"/>
              <w:left w:val="nil"/>
              <w:bottom w:val="single" w:sz="4"/>
              <w:right w:val="nil"/>
            </w:tcBorders>
          </w:tcPr>
          <w:p>
            <w:pPr>
              <w:pStyle w:val="0"/>
            </w:pPr>
            <w:r>
              <w:rPr>
                <w:sz w:val="20"/>
              </w:rPr>
            </w:r>
          </w:p>
        </w:tc>
        <w:tc>
          <w:tcPr>
            <w:tcW w:w="1190" w:type="dxa"/>
            <w:vAlign w:val="center"/>
            <w:tcBorders>
              <w:top w:val="nil"/>
              <w:left w:val="nil"/>
              <w:bottom w:val="nil"/>
              <w:right w:val="nil"/>
            </w:tcBorders>
          </w:tcPr>
          <w:p>
            <w:pPr>
              <w:pStyle w:val="0"/>
              <w:jc w:val="both"/>
            </w:pPr>
            <w:r>
              <w:rPr>
                <w:sz w:val="20"/>
              </w:rPr>
              <w:t xml:space="preserve">тыс. руб.</w:t>
            </w:r>
          </w:p>
        </w:tc>
        <w:tc>
          <w:tcPr>
            <w:tcW w:w="340" w:type="dxa"/>
            <w:vAlign w:val="bottom"/>
            <w:tcBorders>
              <w:top w:val="nil"/>
              <w:left w:val="nil"/>
              <w:bottom w:val="nil"/>
              <w:right w:val="nil"/>
            </w:tcBorders>
          </w:tcPr>
          <w:p>
            <w:pPr>
              <w:pStyle w:val="0"/>
            </w:pPr>
            <w:r>
              <w:rPr>
                <w:sz w:val="20"/>
              </w:rPr>
            </w:r>
          </w:p>
        </w:tc>
        <w:tc>
          <w:tcPr>
            <w:tcW w:w="2268" w:type="dxa"/>
            <w:vAlign w:val="bottom"/>
            <w:tcBorders>
              <w:top w:val="nil"/>
              <w:left w:val="nil"/>
              <w:bottom w:val="nil"/>
              <w:right w:val="nil"/>
            </w:tcBorders>
          </w:tcPr>
          <w:p>
            <w:pPr>
              <w:pStyle w:val="0"/>
            </w:pPr>
            <w:r>
              <w:rPr>
                <w:sz w:val="20"/>
              </w:rPr>
            </w:r>
          </w:p>
        </w:tc>
        <w:tc>
          <w:tcPr>
            <w:tcW w:w="1417" w:type="dxa"/>
            <w:vAlign w:val="bottom"/>
            <w:tcBorders>
              <w:top w:val="nil"/>
              <w:left w:val="nil"/>
              <w:bottom w:val="nil"/>
              <w:right w:val="nil"/>
            </w:tcBorders>
          </w:tcPr>
          <w:p>
            <w:pPr>
              <w:pStyle w:val="0"/>
            </w:pPr>
            <w:r>
              <w:rPr>
                <w:sz w:val="20"/>
              </w:rPr>
            </w:r>
          </w:p>
        </w:tc>
        <w:tc>
          <w:tcPr>
            <w:tcW w:w="1077" w:type="dxa"/>
            <w:vAlign w:val="bottom"/>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Borders>
          <w:top w:val="single" w:sz="4"/>
        </w:tblBorders>
        <w:tblCellMar>
          <w:top w:w="102" w:type="dxa"/>
          <w:left w:w="62" w:type="dxa"/>
          <w:bottom w:w="102" w:type="dxa"/>
          <w:right w:w="62" w:type="dxa"/>
        </w:tblCellMar>
      </w:tblPr>
      <w:tblGrid>
        <w:gridCol w:w="1020"/>
        <w:gridCol w:w="1417"/>
        <w:gridCol w:w="3101"/>
        <w:gridCol w:w="1247"/>
        <w:gridCol w:w="850"/>
        <w:gridCol w:w="1644"/>
        <w:gridCol w:w="680"/>
        <w:gridCol w:w="850"/>
        <w:gridCol w:w="1020"/>
        <w:gridCol w:w="1077"/>
      </w:tblGrid>
      <w:tr>
        <w:tblPrEx>
          <w:tblBorders>
            <w:left w:val="single" w:sz="4"/>
            <w:right w:val="single" w:sz="4"/>
            <w:insideV w:val="single" w:sz="4"/>
            <w:insideH w:val="single" w:sz="4"/>
          </w:tblBorders>
        </w:tblPrEx>
        <w:tc>
          <w:tcPr>
            <w:tcW w:w="1020" w:type="dxa"/>
            <w:tcBorders>
              <w:top w:val="single" w:sz="4"/>
              <w:bottom w:val="single" w:sz="4"/>
            </w:tcBorders>
            <w:vMerge w:val="restart"/>
          </w:tcPr>
          <w:p>
            <w:pPr>
              <w:pStyle w:val="0"/>
              <w:jc w:val="center"/>
            </w:pPr>
            <w:r>
              <w:rPr>
                <w:sz w:val="20"/>
              </w:rPr>
              <w:t xml:space="preserve">N п.п.</w:t>
            </w:r>
          </w:p>
        </w:tc>
        <w:tc>
          <w:tcPr>
            <w:tcW w:w="1417" w:type="dxa"/>
            <w:tcBorders>
              <w:top w:val="single" w:sz="4"/>
              <w:bottom w:val="single" w:sz="4"/>
            </w:tcBorders>
            <w:vMerge w:val="restart"/>
          </w:tcPr>
          <w:p>
            <w:pPr>
              <w:pStyle w:val="0"/>
              <w:jc w:val="center"/>
            </w:pPr>
            <w:r>
              <w:rPr>
                <w:sz w:val="20"/>
              </w:rPr>
              <w:t xml:space="preserve">Обоснование</w:t>
            </w:r>
          </w:p>
        </w:tc>
        <w:tc>
          <w:tcPr>
            <w:tcW w:w="3101" w:type="dxa"/>
            <w:tcBorders>
              <w:top w:val="single" w:sz="4"/>
              <w:bottom w:val="single" w:sz="4"/>
            </w:tcBorders>
            <w:vMerge w:val="restart"/>
          </w:tcPr>
          <w:p>
            <w:pPr>
              <w:pStyle w:val="0"/>
              <w:jc w:val="center"/>
            </w:pPr>
            <w:r>
              <w:rPr>
                <w:sz w:val="20"/>
              </w:rPr>
              <w:t xml:space="preserve">Наименование работ и затрат</w:t>
            </w:r>
          </w:p>
        </w:tc>
        <w:tc>
          <w:tcPr>
            <w:tcW w:w="1247" w:type="dxa"/>
            <w:tcBorders>
              <w:top w:val="single" w:sz="4"/>
              <w:bottom w:val="single" w:sz="4"/>
            </w:tcBorders>
            <w:vMerge w:val="restart"/>
          </w:tcPr>
          <w:p>
            <w:pPr>
              <w:pStyle w:val="0"/>
              <w:jc w:val="center"/>
            </w:pPr>
            <w:r>
              <w:rPr>
                <w:sz w:val="20"/>
              </w:rPr>
              <w:t xml:space="preserve">Единица измерения</w:t>
            </w:r>
          </w:p>
        </w:tc>
        <w:tc>
          <w:tcPr>
            <w:gridSpan w:val="3"/>
            <w:tcW w:w="3174" w:type="dxa"/>
            <w:tcBorders>
              <w:top w:val="single" w:sz="4"/>
              <w:bottom w:val="single" w:sz="4"/>
            </w:tcBorders>
          </w:tcPr>
          <w:p>
            <w:pPr>
              <w:pStyle w:val="0"/>
              <w:jc w:val="center"/>
            </w:pPr>
            <w:r>
              <w:rPr>
                <w:sz w:val="20"/>
              </w:rPr>
              <w:t xml:space="preserve">Количество</w:t>
            </w:r>
          </w:p>
        </w:tc>
        <w:tc>
          <w:tcPr>
            <w:gridSpan w:val="3"/>
            <w:tcW w:w="2947" w:type="dxa"/>
            <w:tcBorders>
              <w:top w:val="single" w:sz="4"/>
              <w:bottom w:val="single" w:sz="4"/>
            </w:tcBorders>
          </w:tcPr>
          <w:p>
            <w:pPr>
              <w:pStyle w:val="0"/>
              <w:jc w:val="center"/>
            </w:pPr>
            <w:r>
              <w:rPr>
                <w:sz w:val="20"/>
              </w:rPr>
              <w:t xml:space="preserve">Сметная стоимость в текущем уровне цен, руб.</w:t>
            </w:r>
          </w:p>
        </w:tc>
      </w:tr>
      <w:tr>
        <w:tblPrEx>
          <w:tblBorders>
            <w:left w:val="single" w:sz="4"/>
            <w:right w:val="single" w:sz="4"/>
            <w:insideV w:val="single" w:sz="4"/>
            <w:insideH w:val="single" w:sz="4"/>
          </w:tblBorders>
        </w:tblPrEx>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Borders>
              <w:top w:val="single" w:sz="4"/>
              <w:bottom w:val="single" w:sz="4"/>
            </w:tcBorders>
            <w:vMerge w:val="continue"/>
          </w:tcPr>
          <w:p/>
        </w:tc>
        <w:tc>
          <w:tcPr>
            <w:tcW w:w="850" w:type="dxa"/>
            <w:tcBorders>
              <w:top w:val="single" w:sz="4"/>
              <w:bottom w:val="single" w:sz="4"/>
            </w:tcBorders>
          </w:tcPr>
          <w:p>
            <w:pPr>
              <w:pStyle w:val="0"/>
              <w:jc w:val="center"/>
            </w:pPr>
            <w:r>
              <w:rPr>
                <w:sz w:val="20"/>
              </w:rPr>
              <w:t xml:space="preserve">на единицу измерения</w:t>
            </w:r>
          </w:p>
        </w:tc>
        <w:tc>
          <w:tcPr>
            <w:tcW w:w="1644" w:type="dxa"/>
            <w:tcBorders>
              <w:top w:val="single" w:sz="4"/>
              <w:bottom w:val="single" w:sz="4"/>
            </w:tcBorders>
          </w:tcPr>
          <w:p>
            <w:pPr>
              <w:pStyle w:val="0"/>
              <w:jc w:val="center"/>
            </w:pPr>
            <w:r>
              <w:rPr>
                <w:sz w:val="20"/>
              </w:rPr>
              <w:t xml:space="preserve">коэффициенты</w:t>
            </w:r>
          </w:p>
        </w:tc>
        <w:tc>
          <w:tcPr>
            <w:tcW w:w="680" w:type="dxa"/>
            <w:tcBorders>
              <w:top w:val="single" w:sz="4"/>
              <w:bottom w:val="single" w:sz="4"/>
            </w:tcBorders>
          </w:tcPr>
          <w:p>
            <w:pPr>
              <w:pStyle w:val="0"/>
              <w:jc w:val="center"/>
            </w:pPr>
            <w:r>
              <w:rPr>
                <w:sz w:val="20"/>
              </w:rPr>
              <w:t xml:space="preserve">всего с учетом коэффициентов</w:t>
            </w:r>
          </w:p>
        </w:tc>
        <w:tc>
          <w:tcPr>
            <w:tcW w:w="850" w:type="dxa"/>
            <w:tcBorders>
              <w:top w:val="single" w:sz="4"/>
              <w:bottom w:val="single" w:sz="4"/>
            </w:tcBorders>
          </w:tcPr>
          <w:p>
            <w:pPr>
              <w:pStyle w:val="0"/>
              <w:jc w:val="center"/>
            </w:pPr>
            <w:r>
              <w:rPr>
                <w:sz w:val="20"/>
              </w:rPr>
              <w:t xml:space="preserve">на единицу измерения</w:t>
            </w:r>
          </w:p>
        </w:tc>
        <w:tc>
          <w:tcPr>
            <w:tcW w:w="1020" w:type="dxa"/>
            <w:tcBorders>
              <w:top w:val="single" w:sz="4"/>
              <w:bottom w:val="single" w:sz="4"/>
            </w:tcBorders>
          </w:tcPr>
          <w:p>
            <w:pPr>
              <w:pStyle w:val="0"/>
              <w:jc w:val="center"/>
            </w:pPr>
            <w:r>
              <w:rPr>
                <w:sz w:val="20"/>
              </w:rPr>
              <w:t xml:space="preserve">коэффициенты</w:t>
            </w:r>
          </w:p>
        </w:tc>
        <w:tc>
          <w:tcPr>
            <w:tcW w:w="1077" w:type="dxa"/>
            <w:tcBorders>
              <w:top w:val="single" w:sz="4"/>
              <w:bottom w:val="single" w:sz="4"/>
            </w:tcBorders>
          </w:tcPr>
          <w:p>
            <w:pPr>
              <w:pStyle w:val="0"/>
              <w:jc w:val="center"/>
            </w:pPr>
            <w:r>
              <w:rPr>
                <w:sz w:val="20"/>
              </w:rPr>
              <w:t xml:space="preserve">всего</w:t>
            </w:r>
          </w:p>
        </w:tc>
      </w:tr>
      <w:tr>
        <w:tblPrEx>
          <w:tblBorders>
            <w:left w:val="single" w:sz="4"/>
            <w:right w:val="single" w:sz="4"/>
            <w:insideV w:val="single" w:sz="4"/>
            <w:insideH w:val="single" w:sz="4"/>
          </w:tblBorders>
        </w:tblPrEx>
        <w:tc>
          <w:tcPr>
            <w:tcW w:w="1020" w:type="dxa"/>
            <w:tcBorders>
              <w:top w:val="single" w:sz="4"/>
              <w:bottom w:val="single" w:sz="4"/>
            </w:tcBorders>
          </w:tcPr>
          <w:bookmarkStart w:id="6940" w:name="P6940"/>
          <w:bookmarkEnd w:id="6940"/>
          <w:p>
            <w:pPr>
              <w:pStyle w:val="0"/>
              <w:jc w:val="center"/>
            </w:pPr>
            <w:r>
              <w:rPr>
                <w:sz w:val="20"/>
              </w:rPr>
              <w:t xml:space="preserve">1</w:t>
            </w:r>
          </w:p>
        </w:tc>
        <w:tc>
          <w:tcPr>
            <w:tcW w:w="1417" w:type="dxa"/>
            <w:tcBorders>
              <w:top w:val="single" w:sz="4"/>
              <w:bottom w:val="single" w:sz="4"/>
            </w:tcBorders>
          </w:tcPr>
          <w:bookmarkStart w:id="6941" w:name="P6941"/>
          <w:bookmarkEnd w:id="6941"/>
          <w:p>
            <w:pPr>
              <w:pStyle w:val="0"/>
              <w:jc w:val="center"/>
            </w:pPr>
            <w:r>
              <w:rPr>
                <w:sz w:val="20"/>
              </w:rPr>
              <w:t xml:space="preserve">2</w:t>
            </w:r>
          </w:p>
        </w:tc>
        <w:tc>
          <w:tcPr>
            <w:tcW w:w="3101" w:type="dxa"/>
            <w:tcBorders>
              <w:top w:val="single" w:sz="4"/>
              <w:bottom w:val="single" w:sz="4"/>
            </w:tcBorders>
          </w:tcPr>
          <w:bookmarkStart w:id="6942" w:name="P6942"/>
          <w:bookmarkEnd w:id="6942"/>
          <w:p>
            <w:pPr>
              <w:pStyle w:val="0"/>
              <w:jc w:val="center"/>
            </w:pPr>
            <w:r>
              <w:rPr>
                <w:sz w:val="20"/>
              </w:rPr>
              <w:t xml:space="preserve">3</w:t>
            </w:r>
          </w:p>
        </w:tc>
        <w:tc>
          <w:tcPr>
            <w:tcW w:w="1247" w:type="dxa"/>
            <w:tcBorders>
              <w:top w:val="single" w:sz="4"/>
              <w:bottom w:val="single" w:sz="4"/>
            </w:tcBorders>
          </w:tcPr>
          <w:bookmarkStart w:id="6943" w:name="P6943"/>
          <w:bookmarkEnd w:id="6943"/>
          <w:p>
            <w:pPr>
              <w:pStyle w:val="0"/>
              <w:jc w:val="center"/>
            </w:pPr>
            <w:r>
              <w:rPr>
                <w:sz w:val="20"/>
              </w:rPr>
              <w:t xml:space="preserve">4</w:t>
            </w:r>
          </w:p>
        </w:tc>
        <w:tc>
          <w:tcPr>
            <w:tcW w:w="850" w:type="dxa"/>
            <w:tcBorders>
              <w:top w:val="single" w:sz="4"/>
              <w:bottom w:val="single" w:sz="4"/>
            </w:tcBorders>
          </w:tcPr>
          <w:bookmarkStart w:id="6944" w:name="P6944"/>
          <w:bookmarkEnd w:id="6944"/>
          <w:p>
            <w:pPr>
              <w:pStyle w:val="0"/>
              <w:jc w:val="center"/>
            </w:pPr>
            <w:r>
              <w:rPr>
                <w:sz w:val="20"/>
              </w:rPr>
              <w:t xml:space="preserve">5</w:t>
            </w:r>
          </w:p>
        </w:tc>
        <w:tc>
          <w:tcPr>
            <w:tcW w:w="1644" w:type="dxa"/>
            <w:tcBorders>
              <w:top w:val="single" w:sz="4"/>
              <w:bottom w:val="single" w:sz="4"/>
            </w:tcBorders>
          </w:tcPr>
          <w:bookmarkStart w:id="6945" w:name="P6945"/>
          <w:bookmarkEnd w:id="6945"/>
          <w:p>
            <w:pPr>
              <w:pStyle w:val="0"/>
              <w:jc w:val="center"/>
            </w:pPr>
            <w:r>
              <w:rPr>
                <w:sz w:val="20"/>
              </w:rPr>
              <w:t xml:space="preserve">6</w:t>
            </w:r>
          </w:p>
        </w:tc>
        <w:tc>
          <w:tcPr>
            <w:tcW w:w="680" w:type="dxa"/>
            <w:tcBorders>
              <w:top w:val="single" w:sz="4"/>
              <w:bottom w:val="single" w:sz="4"/>
            </w:tcBorders>
          </w:tcPr>
          <w:bookmarkStart w:id="6946" w:name="P6946"/>
          <w:bookmarkEnd w:id="6946"/>
          <w:p>
            <w:pPr>
              <w:pStyle w:val="0"/>
              <w:jc w:val="center"/>
            </w:pPr>
            <w:r>
              <w:rPr>
                <w:sz w:val="20"/>
              </w:rPr>
              <w:t xml:space="preserve">7</w:t>
            </w:r>
          </w:p>
        </w:tc>
        <w:tc>
          <w:tcPr>
            <w:tcW w:w="850" w:type="dxa"/>
            <w:tcBorders>
              <w:top w:val="single" w:sz="4"/>
              <w:bottom w:val="single" w:sz="4"/>
            </w:tcBorders>
          </w:tcPr>
          <w:bookmarkStart w:id="6947" w:name="P6947"/>
          <w:bookmarkEnd w:id="6947"/>
          <w:p>
            <w:pPr>
              <w:pStyle w:val="0"/>
              <w:jc w:val="center"/>
            </w:pPr>
            <w:r>
              <w:rPr>
                <w:sz w:val="20"/>
              </w:rPr>
              <w:t xml:space="preserve">8</w:t>
            </w:r>
          </w:p>
        </w:tc>
        <w:tc>
          <w:tcPr>
            <w:tcW w:w="1020" w:type="dxa"/>
            <w:tcBorders>
              <w:top w:val="single" w:sz="4"/>
              <w:bottom w:val="single" w:sz="4"/>
            </w:tcBorders>
          </w:tcPr>
          <w:bookmarkStart w:id="6948" w:name="P6948"/>
          <w:bookmarkEnd w:id="6948"/>
          <w:p>
            <w:pPr>
              <w:pStyle w:val="0"/>
              <w:jc w:val="center"/>
            </w:pPr>
            <w:r>
              <w:rPr>
                <w:sz w:val="20"/>
              </w:rPr>
              <w:t xml:space="preserve">9</w:t>
            </w:r>
          </w:p>
        </w:tc>
        <w:tc>
          <w:tcPr>
            <w:tcW w:w="1077" w:type="dxa"/>
            <w:tcBorders>
              <w:top w:val="single" w:sz="4"/>
              <w:bottom w:val="single" w:sz="4"/>
            </w:tcBorders>
          </w:tcPr>
          <w:bookmarkStart w:id="6949" w:name="P6949"/>
          <w:bookmarkEnd w:id="6949"/>
          <w:p>
            <w:pPr>
              <w:pStyle w:val="0"/>
              <w:jc w:val="center"/>
            </w:pPr>
            <w:r>
              <w:rPr>
                <w:sz w:val="20"/>
              </w:rPr>
              <w:t xml:space="preserve">10</w:t>
            </w:r>
          </w:p>
        </w:tc>
      </w:tr>
      <w:tr>
        <w:tc>
          <w:tcPr>
            <w:gridSpan w:val="3"/>
            <w:tcW w:w="5538" w:type="dxa"/>
            <w:tcBorders>
              <w:top w:val="single" w:sz="4"/>
              <w:left w:val="nil"/>
              <w:bottom w:val="nil"/>
              <w:right w:val="nil"/>
            </w:tcBorders>
          </w:tcPr>
          <w:p>
            <w:pPr>
              <w:pStyle w:val="0"/>
            </w:pPr>
            <w:r>
              <w:rPr>
                <w:sz w:val="20"/>
              </w:rPr>
              <w:t xml:space="preserve">Раздел X. &lt;Наименование раздела&gt;</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jc w:val="center"/>
            </w:pPr>
            <w:r>
              <w:rPr>
                <w:sz w:val="20"/>
              </w:rPr>
              <w:t xml:space="preserve">&lt;пункт&gt;</w:t>
            </w:r>
          </w:p>
        </w:tc>
        <w:tc>
          <w:tcPr>
            <w:tcW w:w="1417" w:type="dxa"/>
            <w:tcBorders>
              <w:top w:val="nil"/>
              <w:left w:val="nil"/>
              <w:bottom w:val="nil"/>
              <w:right w:val="nil"/>
            </w:tcBorders>
          </w:tcPr>
          <w:p>
            <w:pPr>
              <w:pStyle w:val="0"/>
              <w:jc w:val="center"/>
            </w:pPr>
            <w:r>
              <w:rPr>
                <w:sz w:val="20"/>
              </w:rPr>
              <w:t xml:space="preserve">ГЭСН &lt;шифр сметной нормы&gt;</w:t>
            </w:r>
          </w:p>
        </w:tc>
        <w:tc>
          <w:tcPr>
            <w:tcW w:w="3101" w:type="dxa"/>
            <w:tcBorders>
              <w:top w:val="nil"/>
              <w:left w:val="nil"/>
              <w:bottom w:val="nil"/>
              <w:right w:val="nil"/>
            </w:tcBorders>
          </w:tcPr>
          <w:p>
            <w:pPr>
              <w:pStyle w:val="0"/>
            </w:pPr>
            <w:r>
              <w:rPr>
                <w:sz w:val="20"/>
              </w:rPr>
              <w:t xml:space="preserve">&lt;Наименование сметной нормы&gt;</w:t>
            </w:r>
          </w:p>
        </w:tc>
        <w:tc>
          <w:tcPr>
            <w:tcW w:w="1247" w:type="dxa"/>
            <w:tcBorders>
              <w:top w:val="nil"/>
              <w:left w:val="nil"/>
              <w:bottom w:val="nil"/>
              <w:right w:val="nil"/>
            </w:tcBorders>
          </w:tcPr>
          <w:p>
            <w:pPr>
              <w:pStyle w:val="0"/>
              <w:jc w:val="center"/>
            </w:pPr>
            <w:r>
              <w:rPr>
                <w:sz w:val="20"/>
              </w:rPr>
              <w:t xml:space="preserve">&lt;единица измерения расценки&gt;</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 коэффициентов&gt;</w:t>
            </w:r>
          </w:p>
        </w:tc>
        <w:tc>
          <w:tcPr>
            <w:tcW w:w="3101"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 коэффициентов&gt;</w:t>
            </w:r>
          </w:p>
        </w:tc>
        <w:tc>
          <w:tcPr>
            <w:tcW w:w="3101" w:type="dxa"/>
            <w:tcBorders>
              <w:top w:val="nil"/>
              <w:left w:val="nil"/>
              <w:bottom w:val="nil"/>
              <w:right w:val="nil"/>
            </w:tcBorders>
          </w:tcPr>
          <w:p>
            <w:pPr>
              <w:pStyle w:val="0"/>
            </w:pPr>
            <w:r>
              <w:rPr>
                <w:sz w:val="20"/>
              </w:rPr>
              <w:t xml:space="preserve">&lt;Наименование и численные значения коэффициентов&gt;</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1</w:t>
            </w:r>
          </w:p>
        </w:tc>
        <w:tc>
          <w:tcPr>
            <w:tcW w:w="3101" w:type="dxa"/>
            <w:tcBorders>
              <w:top w:val="nil"/>
              <w:left w:val="nil"/>
              <w:bottom w:val="nil"/>
              <w:right w:val="nil"/>
            </w:tcBorders>
          </w:tcPr>
          <w:bookmarkStart w:id="6990" w:name="P6990"/>
          <w:bookmarkEnd w:id="6990"/>
          <w:p>
            <w:pPr>
              <w:pStyle w:val="0"/>
            </w:pPr>
            <w:r>
              <w:rPr>
                <w:sz w:val="20"/>
              </w:rPr>
              <w:t xml:space="preserve">ОТ (ЗТ)</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bookmarkStart w:id="7000" w:name="P7000"/>
          <w:bookmarkEnd w:id="7000"/>
          <w:p>
            <w:pPr>
              <w:pStyle w:val="0"/>
            </w:pPr>
            <w:r>
              <w:rPr>
                <w:sz w:val="20"/>
              </w:rPr>
              <w:t xml:space="preserve">Средний разряд работы &lt;разряд&gt;</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bookmarkStart w:id="7010" w:name="P7010"/>
          <w:bookmarkEnd w:id="7010"/>
          <w:p>
            <w:pPr>
              <w:pStyle w:val="0"/>
            </w:pPr>
            <w:r>
              <w:rPr>
                <w:sz w:val="20"/>
              </w:rPr>
              <w:t xml:space="preserve">Рабочий &lt;разряд&gt; разряда</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p>
            <w:pPr>
              <w:pStyle w:val="0"/>
            </w:pPr>
            <w:r>
              <w:rPr>
                <w:sz w:val="20"/>
              </w:rPr>
              <w:t xml:space="preserve">Ведущий инженер</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bookmarkStart w:id="7030" w:name="P7030"/>
          <w:bookmarkEnd w:id="7030"/>
          <w:p>
            <w:pPr>
              <w:pStyle w:val="0"/>
            </w:pPr>
            <w:r>
              <w:rPr>
                <w:sz w:val="20"/>
              </w:rPr>
              <w:t xml:space="preserve">Инженер &lt;категория&gt; категории</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p>
            <w:pPr>
              <w:pStyle w:val="0"/>
            </w:pPr>
            <w:r>
              <w:rPr>
                <w:sz w:val="20"/>
              </w:rPr>
              <w:t xml:space="preserve">Главный технолог</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p>
            <w:pPr>
              <w:pStyle w:val="0"/>
            </w:pPr>
            <w:r>
              <w:rPr>
                <w:sz w:val="20"/>
              </w:rPr>
              <w:t xml:space="preserve">Технолог &lt;категория&gt; категории</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2</w:t>
            </w:r>
          </w:p>
        </w:tc>
        <w:tc>
          <w:tcPr>
            <w:tcW w:w="3101" w:type="dxa"/>
            <w:tcBorders>
              <w:top w:val="nil"/>
              <w:left w:val="nil"/>
              <w:bottom w:val="nil"/>
              <w:right w:val="nil"/>
            </w:tcBorders>
          </w:tcPr>
          <w:bookmarkStart w:id="7060" w:name="P7060"/>
          <w:bookmarkEnd w:id="7060"/>
          <w:p>
            <w:pPr>
              <w:pStyle w:val="0"/>
            </w:pPr>
            <w:r>
              <w:rPr>
                <w:sz w:val="20"/>
              </w:rPr>
              <w:t xml:space="preserve">ЭМ</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bookmarkStart w:id="7070" w:name="P7070"/>
          <w:bookmarkEnd w:id="7070"/>
          <w:p>
            <w:pPr>
              <w:pStyle w:val="0"/>
            </w:pPr>
            <w:r>
              <w:rPr>
                <w:sz w:val="20"/>
              </w:rPr>
              <w:t xml:space="preserve">ОТм (ЗТм)</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01" w:type="dxa"/>
            <w:tcBorders>
              <w:top w:val="nil"/>
              <w:left w:val="nil"/>
              <w:bottom w:val="nil"/>
              <w:right w:val="nil"/>
            </w:tcBorders>
          </w:tcPr>
          <w:p>
            <w:pPr>
              <w:pStyle w:val="0"/>
            </w:pPr>
            <w:r>
              <w:rPr>
                <w:sz w:val="20"/>
              </w:rPr>
              <w:t xml:space="preserve">&lt;Наименование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p>
            <w:pPr>
              <w:pStyle w:val="0"/>
            </w:pPr>
            <w:r>
              <w:rPr>
                <w:sz w:val="20"/>
              </w:rPr>
              <w:t xml:space="preserve">ОТм (ЗТм) Средний разряд машинистов &lt;разряд&gt;</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01" w:type="dxa"/>
            <w:tcBorders>
              <w:top w:val="nil"/>
              <w:left w:val="nil"/>
              <w:bottom w:val="nil"/>
              <w:right w:val="nil"/>
            </w:tcBorders>
          </w:tcPr>
          <w:p>
            <w:pPr>
              <w:pStyle w:val="0"/>
            </w:pPr>
            <w:r>
              <w:rPr>
                <w:sz w:val="20"/>
              </w:rPr>
              <w:t xml:space="preserve">&lt;Наименование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p>
            <w:pPr>
              <w:pStyle w:val="0"/>
            </w:pPr>
            <w:r>
              <w:rPr>
                <w:sz w:val="20"/>
              </w:rPr>
              <w:t xml:space="preserve">ОТм (ЗТм) Средний разряд машинистов &lt;разряд&gt;</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4</w:t>
            </w:r>
          </w:p>
        </w:tc>
        <w:tc>
          <w:tcPr>
            <w:tcW w:w="3101" w:type="dxa"/>
            <w:tcBorders>
              <w:top w:val="nil"/>
              <w:left w:val="nil"/>
              <w:bottom w:val="nil"/>
              <w:right w:val="nil"/>
            </w:tcBorders>
          </w:tcPr>
          <w:bookmarkStart w:id="7120" w:name="P7120"/>
          <w:bookmarkEnd w:id="7120"/>
          <w:p>
            <w:pPr>
              <w:pStyle w:val="0"/>
            </w:pPr>
            <w:r>
              <w:rPr>
                <w:sz w:val="20"/>
              </w:rPr>
              <w:t xml:space="preserve">М</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учтенного ресурса&gt;</w:t>
            </w:r>
          </w:p>
        </w:tc>
        <w:tc>
          <w:tcPr>
            <w:tcW w:w="3101" w:type="dxa"/>
            <w:tcBorders>
              <w:top w:val="nil"/>
              <w:left w:val="nil"/>
              <w:bottom w:val="nil"/>
              <w:right w:val="nil"/>
            </w:tcBorders>
          </w:tcPr>
          <w:p>
            <w:pPr>
              <w:pStyle w:val="0"/>
            </w:pPr>
            <w:r>
              <w:rPr>
                <w:sz w:val="20"/>
              </w:rPr>
              <w:t xml:space="preserve">&lt;Наименование 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измерения&gt;</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учтенного ресурса&gt;</w:t>
            </w:r>
          </w:p>
        </w:tc>
        <w:tc>
          <w:tcPr>
            <w:tcW w:w="3101" w:type="dxa"/>
            <w:tcBorders>
              <w:top w:val="nil"/>
              <w:left w:val="nil"/>
              <w:bottom w:val="nil"/>
              <w:right w:val="nil"/>
            </w:tcBorders>
          </w:tcPr>
          <w:p>
            <w:pPr>
              <w:pStyle w:val="0"/>
            </w:pPr>
            <w:r>
              <w:rPr>
                <w:sz w:val="20"/>
              </w:rPr>
              <w:t xml:space="preserve">&lt;Наименование 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измерения&gt;</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группы неучтенного ресурса&gt;</w:t>
            </w:r>
          </w:p>
        </w:tc>
        <w:tc>
          <w:tcPr>
            <w:tcW w:w="3101" w:type="dxa"/>
            <w:tcBorders>
              <w:top w:val="nil"/>
              <w:left w:val="nil"/>
              <w:bottom w:val="nil"/>
              <w:right w:val="nil"/>
            </w:tcBorders>
          </w:tcPr>
          <w:p>
            <w:pPr>
              <w:pStyle w:val="0"/>
            </w:pPr>
            <w:r>
              <w:rPr>
                <w:sz w:val="20"/>
              </w:rPr>
              <w:t xml:space="preserve">&lt;Наименование группы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 группы неучтенного ресурса&gt;</w:t>
            </w:r>
          </w:p>
        </w:tc>
        <w:tc>
          <w:tcPr>
            <w:tcW w:w="3101" w:type="dxa"/>
            <w:tcBorders>
              <w:top w:val="nil"/>
              <w:left w:val="nil"/>
              <w:bottom w:val="single" w:sz="4"/>
              <w:right w:val="nil"/>
            </w:tcBorders>
          </w:tcPr>
          <w:p>
            <w:pPr>
              <w:pStyle w:val="0"/>
            </w:pPr>
            <w:r>
              <w:rPr>
                <w:sz w:val="20"/>
              </w:rPr>
              <w:t xml:space="preserve">&lt;Наименование группы неучтенного ресурса&gt;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850" w:type="dxa"/>
            <w:tcBorders>
              <w:top w:val="nil"/>
              <w:left w:val="nil"/>
              <w:bottom w:val="single" w:sz="4"/>
              <w:right w:val="nil"/>
            </w:tcBorders>
          </w:tcPr>
          <w:p>
            <w:pPr>
              <w:pStyle w:val="0"/>
              <w:jc w:val="center"/>
            </w:pPr>
            <w:r>
              <w:rPr>
                <w:sz w:val="20"/>
              </w:rPr>
              <w:t xml:space="preserve">&lt;X&gt;</w:t>
            </w:r>
          </w:p>
        </w:tc>
        <w:tc>
          <w:tcPr>
            <w:tcW w:w="1644"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50" w:type="dxa"/>
            <w:tcBorders>
              <w:top w:val="nil"/>
              <w:left w:val="nil"/>
              <w:bottom w:val="single" w:sz="4"/>
              <w:right w:val="nil"/>
            </w:tcBorders>
          </w:tcPr>
          <w:p>
            <w:pPr>
              <w:pStyle w:val="0"/>
            </w:pPr>
            <w:r>
              <w:rPr>
                <w:sz w:val="20"/>
              </w:rPr>
            </w:r>
          </w:p>
        </w:tc>
        <w:tc>
          <w:tcPr>
            <w:tcW w:w="1020" w:type="dxa"/>
            <w:tcBorders>
              <w:top w:val="nil"/>
              <w:left w:val="nil"/>
              <w:bottom w:val="single" w:sz="4"/>
              <w:right w:val="nil"/>
            </w:tcBorders>
          </w:tcPr>
          <w:p>
            <w:pPr>
              <w:pStyle w:val="0"/>
            </w:pPr>
            <w:r>
              <w:rPr>
                <w:sz w:val="20"/>
              </w:rPr>
            </w:r>
          </w:p>
        </w:tc>
        <w:tc>
          <w:tcPr>
            <w:tcW w:w="1077" w:type="dxa"/>
            <w:tcBorders>
              <w:top w:val="nil"/>
              <w:left w:val="nil"/>
              <w:bottom w:val="single" w:sz="4"/>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single" w:sz="4"/>
              <w:left w:val="nil"/>
              <w:bottom w:val="nil"/>
              <w:right w:val="nil"/>
            </w:tcBorders>
          </w:tcPr>
          <w:bookmarkStart w:id="7170" w:name="P7170"/>
          <w:bookmarkEnd w:id="7170"/>
          <w:p>
            <w:pPr>
              <w:pStyle w:val="0"/>
            </w:pPr>
            <w:r>
              <w:rPr>
                <w:sz w:val="20"/>
              </w:rPr>
              <w:t xml:space="preserve">Итого прямые затраты</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&lt;Обоснование&gt;</w:t>
            </w:r>
          </w:p>
        </w:tc>
        <w:tc>
          <w:tcPr>
            <w:tcW w:w="3101" w:type="dxa"/>
            <w:tcBorders>
              <w:top w:val="nil"/>
              <w:left w:val="nil"/>
              <w:bottom w:val="nil"/>
              <w:right w:val="nil"/>
            </w:tcBorders>
          </w:tcPr>
          <w:bookmarkStart w:id="7180" w:name="P7180"/>
          <w:bookmarkEnd w:id="7180"/>
          <w:p>
            <w:pPr>
              <w:pStyle w:val="0"/>
            </w:pPr>
            <w:r>
              <w:rPr>
                <w:sz w:val="20"/>
              </w:rPr>
              <w:t xml:space="preserve">Вспомогательные ненормируемые материальные ресурсы</w:t>
            </w:r>
          </w:p>
        </w:tc>
        <w:tc>
          <w:tcPr>
            <w:tcW w:w="1247" w:type="dxa"/>
            <w:tcBorders>
              <w:top w:val="nil"/>
              <w:left w:val="nil"/>
              <w:bottom w:val="nil"/>
              <w:right w:val="nil"/>
            </w:tcBorders>
          </w:tcPr>
          <w:p>
            <w:pPr>
              <w:pStyle w:val="0"/>
              <w:jc w:val="center"/>
            </w:pPr>
            <w:r>
              <w:rPr>
                <w:sz w:val="20"/>
              </w:rPr>
              <w:t xml:space="preserve">%</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ресурса&gt;</w:t>
            </w:r>
          </w:p>
        </w:tc>
        <w:tc>
          <w:tcPr>
            <w:tcW w:w="3101" w:type="dxa"/>
            <w:tcBorders>
              <w:top w:val="nil"/>
              <w:left w:val="nil"/>
              <w:bottom w:val="nil"/>
              <w:right w:val="nil"/>
            </w:tcBorders>
          </w:tcPr>
          <w:p>
            <w:pPr>
              <w:pStyle w:val="0"/>
            </w:pPr>
            <w:r>
              <w:rPr>
                <w:sz w:val="20"/>
              </w:rPr>
              <w:t xml:space="preserve">&lt;Наименование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ресурса&gt;</w:t>
            </w:r>
          </w:p>
        </w:tc>
        <w:tc>
          <w:tcPr>
            <w:tcW w:w="3101" w:type="dxa"/>
            <w:tcBorders>
              <w:top w:val="nil"/>
              <w:left w:val="nil"/>
              <w:bottom w:val="nil"/>
              <w:right w:val="nil"/>
            </w:tcBorders>
          </w:tcPr>
          <w:p>
            <w:pPr>
              <w:pStyle w:val="0"/>
            </w:pPr>
            <w:r>
              <w:rPr>
                <w:sz w:val="20"/>
              </w:rPr>
              <w:t xml:space="preserve">&lt;Наименование неучтенного ресурса&gt;</w:t>
            </w:r>
          </w:p>
        </w:tc>
        <w:tc>
          <w:tcPr>
            <w:tcW w:w="1247" w:type="dxa"/>
            <w:tcBorders>
              <w:top w:val="nil"/>
              <w:left w:val="nil"/>
              <w:bottom w:val="nil"/>
              <w:right w:val="nil"/>
            </w:tcBorders>
          </w:tcPr>
          <w:p>
            <w:pPr>
              <w:pStyle w:val="0"/>
              <w:jc w:val="center"/>
            </w:pPr>
            <w:r>
              <w:rPr>
                <w:sz w:val="20"/>
              </w:rPr>
              <w:t xml:space="preserve">&lt;единица измерения неучтенного ресурса&gt;</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ресурса_обоснование перевозки&gt;</w:t>
            </w:r>
          </w:p>
        </w:tc>
        <w:tc>
          <w:tcPr>
            <w:tcW w:w="3101" w:type="dxa"/>
            <w:tcBorders>
              <w:top w:val="nil"/>
              <w:left w:val="nil"/>
              <w:bottom w:val="nil"/>
              <w:right w:val="nil"/>
            </w:tcBorders>
          </w:tcPr>
          <w:p>
            <w:pPr>
              <w:pStyle w:val="0"/>
            </w:pPr>
            <w:r>
              <w:rPr>
                <w:sz w:val="20"/>
              </w:rPr>
              <w:t xml:space="preserve">Затраты на перевозку на расстояние в соответствии с проектной и (или) иной технической документацией (дополнительные затраты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tc>
        <w:tc>
          <w:tcPr>
            <w:tcW w:w="1247" w:type="dxa"/>
            <w:tcBorders>
              <w:top w:val="nil"/>
              <w:left w:val="nil"/>
              <w:bottom w:val="nil"/>
              <w:right w:val="nil"/>
            </w:tcBorders>
          </w:tcPr>
          <w:p>
            <w:pPr>
              <w:pStyle w:val="0"/>
              <w:jc w:val="center"/>
            </w:pPr>
            <w:r>
              <w:rPr>
                <w:sz w:val="20"/>
              </w:rPr>
              <w:t xml:space="preserve">&lt;единица измерения &gt;</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неучтенного ресурса_обоснование перевозки&gt;</w:t>
            </w:r>
          </w:p>
        </w:tc>
        <w:tc>
          <w:tcPr>
            <w:tcW w:w="3101" w:type="dxa"/>
            <w:tcBorders>
              <w:top w:val="nil"/>
              <w:left w:val="nil"/>
              <w:bottom w:val="nil"/>
              <w:right w:val="nil"/>
            </w:tcBorders>
          </w:tcPr>
          <w:p>
            <w:pPr>
              <w:pStyle w:val="0"/>
            </w:pPr>
            <w:r>
              <w:rPr>
                <w:sz w:val="20"/>
              </w:rPr>
              <w:t xml:space="preserve">Исключение затрат на перевозку на расстояние, учтенное сметными ценами (дополнительные затраты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tc>
        <w:tc>
          <w:tcPr>
            <w:tcW w:w="1247" w:type="dxa"/>
            <w:tcBorders>
              <w:top w:val="nil"/>
              <w:left w:val="nil"/>
              <w:bottom w:val="nil"/>
              <w:right w:val="nil"/>
            </w:tcBorders>
          </w:tcPr>
          <w:p>
            <w:pPr>
              <w:pStyle w:val="0"/>
              <w:jc w:val="center"/>
            </w:pPr>
            <w:r>
              <w:rPr>
                <w:sz w:val="20"/>
              </w:rPr>
              <w:t xml:space="preserve">&lt;единица измерения &gt;</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01" w:type="dxa"/>
            <w:tcBorders>
              <w:top w:val="nil"/>
              <w:left w:val="nil"/>
              <w:bottom w:val="nil"/>
              <w:right w:val="nil"/>
            </w:tcBorders>
          </w:tcPr>
          <w:p>
            <w:pPr>
              <w:pStyle w:val="0"/>
            </w:pPr>
            <w:r>
              <w:rPr>
                <w:sz w:val="20"/>
              </w:rPr>
              <w:t xml:space="preserve">&lt;Наименование неучтенных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p>
            <w:pPr>
              <w:pStyle w:val="0"/>
            </w:pPr>
            <w:r>
              <w:rPr>
                <w:sz w:val="20"/>
              </w:rPr>
              <w:t xml:space="preserve">ОТм (ЗТм) Средний разряд машинистов &lt;разряд&gt;</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&lt;результирующии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jc w:val="center"/>
            </w:pPr>
            <w:r>
              <w:rPr>
                <w:sz w:val="20"/>
              </w:rPr>
              <w:t xml:space="preserve">&lt;подпункт&gt;</w:t>
            </w:r>
          </w:p>
        </w:tc>
        <w:tc>
          <w:tcPr>
            <w:tcW w:w="1417" w:type="dxa"/>
            <w:tcBorders>
              <w:top w:val="nil"/>
              <w:left w:val="nil"/>
              <w:bottom w:val="nil"/>
              <w:right w:val="nil"/>
            </w:tcBorders>
          </w:tcPr>
          <w:p>
            <w:pPr>
              <w:pStyle w:val="0"/>
              <w:jc w:val="center"/>
            </w:pPr>
            <w:r>
              <w:rPr>
                <w:sz w:val="20"/>
              </w:rPr>
              <w:t xml:space="preserve">&lt;код машины или механизма&gt;</w:t>
            </w:r>
          </w:p>
        </w:tc>
        <w:tc>
          <w:tcPr>
            <w:tcW w:w="3101" w:type="dxa"/>
            <w:tcBorders>
              <w:top w:val="nil"/>
              <w:left w:val="nil"/>
              <w:bottom w:val="nil"/>
              <w:right w:val="nil"/>
            </w:tcBorders>
          </w:tcPr>
          <w:p>
            <w:pPr>
              <w:pStyle w:val="0"/>
            </w:pPr>
            <w:r>
              <w:rPr>
                <w:sz w:val="20"/>
              </w:rPr>
              <w:t xml:space="preserve">&lt;Наименование неучтенных машины или механизма&gt;</w:t>
            </w:r>
          </w:p>
        </w:tc>
        <w:tc>
          <w:tcPr>
            <w:tcW w:w="1247" w:type="dxa"/>
            <w:tcBorders>
              <w:top w:val="nil"/>
              <w:left w:val="nil"/>
              <w:bottom w:val="nil"/>
              <w:right w:val="nil"/>
            </w:tcBorders>
          </w:tcPr>
          <w:p>
            <w:pPr>
              <w:pStyle w:val="0"/>
              <w:jc w:val="center"/>
            </w:pPr>
            <w:r>
              <w:rPr>
                <w:sz w:val="20"/>
              </w:rPr>
              <w:t xml:space="preserve">маш.-ч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&lt;код&gt;</w:t>
            </w:r>
          </w:p>
        </w:tc>
        <w:tc>
          <w:tcPr>
            <w:tcW w:w="3101" w:type="dxa"/>
            <w:tcBorders>
              <w:top w:val="nil"/>
              <w:left w:val="nil"/>
              <w:bottom w:val="nil"/>
              <w:right w:val="nil"/>
            </w:tcBorders>
          </w:tcPr>
          <w:p>
            <w:pPr>
              <w:pStyle w:val="0"/>
            </w:pPr>
            <w:r>
              <w:rPr>
                <w:sz w:val="20"/>
              </w:rPr>
              <w:t xml:space="preserve">ОТм (ЗТм) Средний разряд машинистов &lt;разряд&gt;</w:t>
            </w:r>
          </w:p>
        </w:tc>
        <w:tc>
          <w:tcPr>
            <w:tcW w:w="1247" w:type="dxa"/>
            <w:tcBorders>
              <w:top w:val="nil"/>
              <w:left w:val="nil"/>
              <w:bottom w:val="nil"/>
              <w:right w:val="nil"/>
            </w:tcBorders>
          </w:tcPr>
          <w:p>
            <w:pPr>
              <w:pStyle w:val="0"/>
              <w:jc w:val="center"/>
            </w:pPr>
            <w:r>
              <w:rPr>
                <w:sz w:val="20"/>
              </w:rPr>
              <w:t xml:space="preserve">чел.-ч</w:t>
            </w:r>
          </w:p>
        </w:tc>
        <w:tc>
          <w:tcPr>
            <w:tcW w:w="850" w:type="dxa"/>
            <w:tcBorders>
              <w:top w:val="nil"/>
              <w:left w:val="nil"/>
              <w:bottom w:val="nil"/>
              <w:right w:val="nil"/>
            </w:tcBorders>
          </w:tcPr>
          <w:p>
            <w:pPr>
              <w:pStyle w:val="0"/>
              <w:jc w:val="center"/>
            </w:pPr>
            <w:r>
              <w:rPr>
                <w:sz w:val="20"/>
              </w:rPr>
              <w:t xml:space="preserve">&lt;X&gt;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jc w:val="center"/>
            </w:pPr>
            <w:r>
              <w:rPr>
                <w:sz w:val="20"/>
              </w:rPr>
              <w:t xml:space="preserve">&lt;результирующий коэффициент&gt;</w:t>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bookmarkStart w:id="7270" w:name="P7270"/>
          <w:bookmarkEnd w:id="7270"/>
          <w:p>
            <w:pPr>
              <w:pStyle w:val="0"/>
            </w:pPr>
            <w:r>
              <w:rPr>
                <w:sz w:val="20"/>
              </w:rPr>
              <w:t xml:space="preserve">ФОТ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01" w:type="dxa"/>
            <w:tcBorders>
              <w:top w:val="nil"/>
              <w:left w:val="nil"/>
              <w:bottom w:val="nil"/>
              <w:right w:val="nil"/>
            </w:tcBorders>
          </w:tcPr>
          <w:bookmarkStart w:id="7280" w:name="P7280"/>
          <w:bookmarkEnd w:id="7280"/>
          <w:p>
            <w:pPr>
              <w:pStyle w:val="0"/>
            </w:pPr>
            <w:r>
              <w:rPr>
                <w:sz w:val="20"/>
              </w:rPr>
              <w:t xml:space="preserve">НР &lt;вид работ&gt;</w:t>
            </w:r>
          </w:p>
        </w:tc>
        <w:tc>
          <w:tcPr>
            <w:tcW w:w="1247" w:type="dxa"/>
            <w:tcBorders>
              <w:top w:val="nil"/>
              <w:left w:val="nil"/>
              <w:bottom w:val="nil"/>
              <w:right w:val="nil"/>
            </w:tcBorders>
          </w:tcPr>
          <w:p>
            <w:pPr>
              <w:pStyle w:val="0"/>
              <w:jc w:val="center"/>
            </w:pPr>
            <w:r>
              <w:rPr>
                <w:sz w:val="20"/>
              </w:rPr>
              <w:t xml:space="preserve">%</w:t>
            </w:r>
          </w:p>
        </w:tc>
        <w:tc>
          <w:tcPr>
            <w:tcW w:w="850" w:type="dxa"/>
            <w:tcBorders>
              <w:top w:val="nil"/>
              <w:left w:val="nil"/>
              <w:bottom w:val="nil"/>
              <w:right w:val="nil"/>
            </w:tcBorders>
          </w:tcPr>
          <w:p>
            <w:pPr>
              <w:pStyle w:val="0"/>
              <w:jc w:val="center"/>
            </w:pPr>
            <w:r>
              <w:rPr>
                <w:sz w:val="20"/>
              </w:rPr>
              <w:t xml:space="preserve">&lt;норматив НР&gt;</w:t>
            </w:r>
          </w:p>
        </w:tc>
        <w:tc>
          <w:tcPr>
            <w:tcW w:w="1644" w:type="dxa"/>
            <w:tcBorders>
              <w:top w:val="nil"/>
              <w:left w:val="nil"/>
              <w:bottom w:val="nil"/>
              <w:right w:val="nil"/>
            </w:tcBorders>
          </w:tcPr>
          <w:p>
            <w:pPr>
              <w:pStyle w:val="0"/>
              <w:jc w:val="center"/>
            </w:pPr>
            <w:r>
              <w:rPr>
                <w:sz w:val="20"/>
              </w:rPr>
              <w:t xml:space="preserve">&lt;результирующий коэффициент&gt;</w:t>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jc w:val="center"/>
            </w:pPr>
            <w:r>
              <w:rPr>
                <w:sz w:val="20"/>
              </w:rPr>
              <w:t xml:space="preserve">&lt;X&gt;</w:t>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jc w:val="center"/>
            </w:pPr>
            <w:r>
              <w:rPr>
                <w:sz w:val="20"/>
              </w:rPr>
              <w:t xml:space="preserve">&lt;обоснование&gt;</w:t>
            </w:r>
          </w:p>
        </w:tc>
        <w:tc>
          <w:tcPr>
            <w:tcW w:w="3101" w:type="dxa"/>
            <w:tcBorders>
              <w:top w:val="nil"/>
              <w:left w:val="nil"/>
              <w:bottom w:val="single" w:sz="4"/>
              <w:right w:val="nil"/>
            </w:tcBorders>
          </w:tcPr>
          <w:bookmarkStart w:id="7290" w:name="P7290"/>
          <w:bookmarkEnd w:id="7290"/>
          <w:p>
            <w:pPr>
              <w:pStyle w:val="0"/>
            </w:pPr>
            <w:r>
              <w:rPr>
                <w:sz w:val="20"/>
              </w:rPr>
              <w:t xml:space="preserve">СП &lt;вид работ&gt;</w:t>
            </w:r>
          </w:p>
        </w:tc>
        <w:tc>
          <w:tcPr>
            <w:tcW w:w="1247" w:type="dxa"/>
            <w:tcBorders>
              <w:top w:val="nil"/>
              <w:left w:val="nil"/>
              <w:bottom w:val="single" w:sz="4"/>
              <w:right w:val="nil"/>
            </w:tcBorders>
          </w:tcPr>
          <w:p>
            <w:pPr>
              <w:pStyle w:val="0"/>
              <w:jc w:val="center"/>
            </w:pPr>
            <w:r>
              <w:rPr>
                <w:sz w:val="20"/>
              </w:rPr>
              <w:t xml:space="preserve">%</w:t>
            </w:r>
          </w:p>
        </w:tc>
        <w:tc>
          <w:tcPr>
            <w:tcW w:w="850" w:type="dxa"/>
            <w:tcBorders>
              <w:top w:val="nil"/>
              <w:left w:val="nil"/>
              <w:bottom w:val="single" w:sz="4"/>
              <w:right w:val="nil"/>
            </w:tcBorders>
          </w:tcPr>
          <w:p>
            <w:pPr>
              <w:pStyle w:val="0"/>
              <w:jc w:val="center"/>
            </w:pPr>
            <w:r>
              <w:rPr>
                <w:sz w:val="20"/>
              </w:rPr>
              <w:t xml:space="preserve">&lt;норматив СП&gt;</w:t>
            </w:r>
          </w:p>
        </w:tc>
        <w:tc>
          <w:tcPr>
            <w:tcW w:w="1644"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50" w:type="dxa"/>
            <w:tcBorders>
              <w:top w:val="nil"/>
              <w:left w:val="nil"/>
              <w:bottom w:val="single" w:sz="4"/>
              <w:right w:val="nil"/>
            </w:tcBorders>
          </w:tcPr>
          <w:p>
            <w:pPr>
              <w:pStyle w:val="0"/>
              <w:jc w:val="center"/>
            </w:pPr>
            <w:r>
              <w:rPr>
                <w:sz w:val="20"/>
              </w:rPr>
              <w:t xml:space="preserve">&lt;X&gt;</w:t>
            </w:r>
          </w:p>
        </w:tc>
        <w:tc>
          <w:tcPr>
            <w:tcW w:w="1020" w:type="dxa"/>
            <w:tcBorders>
              <w:top w:val="nil"/>
              <w:left w:val="nil"/>
              <w:bottom w:val="single" w:sz="4"/>
              <w:right w:val="nil"/>
            </w:tcBorders>
          </w:tcPr>
          <w:p>
            <w:pPr>
              <w:pStyle w:val="0"/>
            </w:pPr>
            <w:r>
              <w:rPr>
                <w:sz w:val="20"/>
              </w:rPr>
            </w:r>
          </w:p>
        </w:tc>
        <w:tc>
          <w:tcPr>
            <w:tcW w:w="1077"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01" w:type="dxa"/>
            <w:tcBorders>
              <w:top w:val="single" w:sz="4"/>
              <w:left w:val="nil"/>
              <w:bottom w:val="nil"/>
              <w:right w:val="nil"/>
            </w:tcBorders>
          </w:tcPr>
          <w:bookmarkStart w:id="7300" w:name="P7300"/>
          <w:bookmarkEnd w:id="7300"/>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jc w:val="center"/>
            </w:pPr>
            <w:r>
              <w:rPr>
                <w:sz w:val="20"/>
              </w:rPr>
              <w:t xml:space="preserve">&lt;X&gt;</w:t>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&lt;код ресурса&gt;</w:t>
            </w:r>
          </w:p>
        </w:tc>
        <w:tc>
          <w:tcPr>
            <w:tcW w:w="3101" w:type="dxa"/>
            <w:tcBorders>
              <w:top w:val="nil"/>
              <w:left w:val="nil"/>
              <w:bottom w:val="single" w:sz="4"/>
              <w:right w:val="nil"/>
            </w:tcBorders>
          </w:tcPr>
          <w:p>
            <w:pPr>
              <w:pStyle w:val="0"/>
            </w:pPr>
            <w:r>
              <w:rPr>
                <w:sz w:val="20"/>
              </w:rPr>
              <w:t xml:space="preserve">&lt;Наименование неучтенного ресурса&gt;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850" w:type="dxa"/>
            <w:tcBorders>
              <w:top w:val="nil"/>
              <w:left w:val="nil"/>
              <w:bottom w:val="single" w:sz="4"/>
              <w:right w:val="nil"/>
            </w:tcBorders>
          </w:tcPr>
          <w:p>
            <w:pPr>
              <w:pStyle w:val="0"/>
              <w:jc w:val="center"/>
            </w:pPr>
            <w:r>
              <w:rPr>
                <w:sz w:val="20"/>
              </w:rPr>
              <w:t xml:space="preserve">&lt;X&gt;</w:t>
            </w:r>
          </w:p>
        </w:tc>
        <w:tc>
          <w:tcPr>
            <w:tcW w:w="1644" w:type="dxa"/>
            <w:tcBorders>
              <w:top w:val="nil"/>
              <w:left w:val="nil"/>
              <w:bottom w:val="single" w:sz="4"/>
              <w:right w:val="nil"/>
            </w:tcBorders>
          </w:tcPr>
          <w:p>
            <w:pPr>
              <w:pStyle w:val="0"/>
              <w:jc w:val="center"/>
            </w:pPr>
            <w:r>
              <w:rPr>
                <w:sz w:val="20"/>
              </w:rPr>
              <w:t xml:space="preserve">&lt;результирующий коэффициент&gt;</w:t>
            </w:r>
          </w:p>
        </w:tc>
        <w:tc>
          <w:tcPr>
            <w:tcW w:w="680" w:type="dxa"/>
            <w:tcBorders>
              <w:top w:val="nil"/>
              <w:left w:val="nil"/>
              <w:bottom w:val="single" w:sz="4"/>
              <w:right w:val="nil"/>
            </w:tcBorders>
          </w:tcPr>
          <w:p>
            <w:pPr>
              <w:pStyle w:val="0"/>
              <w:jc w:val="center"/>
            </w:pPr>
            <w:r>
              <w:rPr>
                <w:sz w:val="20"/>
              </w:rPr>
              <w:t xml:space="preserve">&lt;X&gt;</w:t>
            </w:r>
          </w:p>
        </w:tc>
        <w:tc>
          <w:tcPr>
            <w:tcW w:w="850" w:type="dxa"/>
            <w:tcBorders>
              <w:top w:val="nil"/>
              <w:left w:val="nil"/>
              <w:bottom w:val="single" w:sz="4"/>
              <w:right w:val="nil"/>
            </w:tcBorders>
          </w:tcPr>
          <w:p>
            <w:pPr>
              <w:pStyle w:val="0"/>
              <w:jc w:val="center"/>
            </w:pPr>
            <w:r>
              <w:rPr>
                <w:sz w:val="20"/>
              </w:rPr>
              <w:t xml:space="preserve">&lt;X&gt;</w:t>
            </w:r>
          </w:p>
        </w:tc>
        <w:tc>
          <w:tcPr>
            <w:tcW w:w="1020" w:type="dxa"/>
            <w:tcBorders>
              <w:top w:val="nil"/>
              <w:left w:val="nil"/>
              <w:bottom w:val="single" w:sz="4"/>
              <w:right w:val="nil"/>
            </w:tcBorders>
          </w:tcPr>
          <w:p>
            <w:pPr>
              <w:pStyle w:val="0"/>
              <w:jc w:val="center"/>
            </w:pPr>
            <w:r>
              <w:rPr>
                <w:sz w:val="20"/>
              </w:rPr>
              <w:t xml:space="preserve">&lt;результирующий коэффициент&gt;</w:t>
            </w:r>
          </w:p>
        </w:tc>
        <w:tc>
          <w:tcPr>
            <w:tcW w:w="1077"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01"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&lt;код ресурса&gt;</w:t>
            </w:r>
          </w:p>
        </w:tc>
        <w:tc>
          <w:tcPr>
            <w:tcW w:w="3101" w:type="dxa"/>
            <w:tcBorders>
              <w:top w:val="nil"/>
              <w:left w:val="nil"/>
              <w:bottom w:val="single" w:sz="4"/>
              <w:right w:val="nil"/>
            </w:tcBorders>
          </w:tcPr>
          <w:p>
            <w:pPr>
              <w:pStyle w:val="0"/>
            </w:pPr>
            <w:r>
              <w:rPr>
                <w:sz w:val="20"/>
              </w:rPr>
              <w:t xml:space="preserve">&lt;Наименование неучтенного ресурса&gt;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850" w:type="dxa"/>
            <w:tcBorders>
              <w:top w:val="nil"/>
              <w:left w:val="nil"/>
              <w:bottom w:val="single" w:sz="4"/>
              <w:right w:val="nil"/>
            </w:tcBorders>
          </w:tcPr>
          <w:p>
            <w:pPr>
              <w:pStyle w:val="0"/>
              <w:jc w:val="center"/>
            </w:pPr>
            <w:r>
              <w:rPr>
                <w:sz w:val="20"/>
              </w:rPr>
              <w:t xml:space="preserve">&lt;X&gt;</w:t>
            </w:r>
          </w:p>
        </w:tc>
        <w:tc>
          <w:tcPr>
            <w:tcW w:w="1644" w:type="dxa"/>
            <w:tcBorders>
              <w:top w:val="nil"/>
              <w:left w:val="nil"/>
              <w:bottom w:val="single" w:sz="4"/>
              <w:right w:val="nil"/>
            </w:tcBorders>
          </w:tcPr>
          <w:p>
            <w:pPr>
              <w:pStyle w:val="0"/>
              <w:jc w:val="center"/>
            </w:pPr>
            <w:r>
              <w:rPr>
                <w:sz w:val="20"/>
              </w:rPr>
              <w:t xml:space="preserve">&lt;результирующий коэффициент</w:t>
            </w:r>
          </w:p>
        </w:tc>
        <w:tc>
          <w:tcPr>
            <w:tcW w:w="680" w:type="dxa"/>
            <w:tcBorders>
              <w:top w:val="nil"/>
              <w:left w:val="nil"/>
              <w:bottom w:val="single" w:sz="4"/>
              <w:right w:val="nil"/>
            </w:tcBorders>
          </w:tcPr>
          <w:p>
            <w:pPr>
              <w:pStyle w:val="0"/>
              <w:jc w:val="center"/>
            </w:pPr>
            <w:r>
              <w:rPr>
                <w:sz w:val="20"/>
              </w:rPr>
              <w:t xml:space="preserve">&lt;X&gt;</w:t>
            </w:r>
          </w:p>
        </w:tc>
        <w:tc>
          <w:tcPr>
            <w:tcW w:w="850" w:type="dxa"/>
            <w:tcBorders>
              <w:top w:val="nil"/>
              <w:left w:val="nil"/>
              <w:bottom w:val="single" w:sz="4"/>
              <w:right w:val="nil"/>
            </w:tcBorders>
          </w:tcPr>
          <w:p>
            <w:pPr>
              <w:pStyle w:val="0"/>
              <w:jc w:val="center"/>
            </w:pPr>
            <w:r>
              <w:rPr>
                <w:sz w:val="20"/>
              </w:rPr>
              <w:t xml:space="preserve">&lt;X&gt;</w:t>
            </w:r>
          </w:p>
        </w:tc>
        <w:tc>
          <w:tcPr>
            <w:tcW w:w="1020" w:type="dxa"/>
            <w:tcBorders>
              <w:top w:val="nil"/>
              <w:left w:val="nil"/>
              <w:bottom w:val="single" w:sz="4"/>
              <w:right w:val="nil"/>
            </w:tcBorders>
          </w:tcPr>
          <w:p>
            <w:pPr>
              <w:pStyle w:val="0"/>
              <w:jc w:val="center"/>
            </w:pPr>
            <w:r>
              <w:rPr>
                <w:sz w:val="20"/>
              </w:rPr>
              <w:t xml:space="preserve">&lt;результирующий коэффициент&gt;</w:t>
            </w:r>
          </w:p>
        </w:tc>
        <w:tc>
          <w:tcPr>
            <w:tcW w:w="1077"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01"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01" w:type="dxa"/>
            <w:tcBorders>
              <w:top w:val="nil"/>
              <w:left w:val="nil"/>
              <w:bottom w:val="single" w:sz="4"/>
              <w:right w:val="nil"/>
            </w:tcBorders>
          </w:tcPr>
          <w:p>
            <w:pPr>
              <w:pStyle w:val="0"/>
            </w:pPr>
            <w:r>
              <w:rPr>
                <w:sz w:val="20"/>
              </w:rPr>
              <w:t xml:space="preserve">&lt;Наименование неучтенного ресурса, отсутствующего в ФРСН&gt;</w:t>
            </w:r>
          </w:p>
        </w:tc>
        <w:tc>
          <w:tcPr>
            <w:tcW w:w="1247" w:type="dxa"/>
            <w:tcBorders>
              <w:top w:val="nil"/>
              <w:left w:val="nil"/>
              <w:bottom w:val="single" w:sz="4"/>
              <w:right w:val="nil"/>
            </w:tcBorders>
          </w:tcPr>
          <w:p>
            <w:pPr>
              <w:pStyle w:val="0"/>
              <w:jc w:val="center"/>
            </w:pPr>
            <w:r>
              <w:rPr>
                <w:sz w:val="20"/>
              </w:rPr>
              <w:t xml:space="preserve">&lt;единица измерения неучтенного ресурса&gt;</w:t>
            </w:r>
          </w:p>
        </w:tc>
        <w:tc>
          <w:tcPr>
            <w:tcW w:w="850" w:type="dxa"/>
            <w:tcBorders>
              <w:top w:val="nil"/>
              <w:left w:val="nil"/>
              <w:bottom w:val="single" w:sz="4"/>
              <w:right w:val="nil"/>
            </w:tcBorders>
          </w:tcPr>
          <w:p>
            <w:pPr>
              <w:pStyle w:val="0"/>
              <w:jc w:val="center"/>
            </w:pPr>
            <w:r>
              <w:rPr>
                <w:sz w:val="20"/>
              </w:rPr>
              <w:t xml:space="preserve">&lt;X&gt;</w:t>
            </w:r>
          </w:p>
        </w:tc>
        <w:tc>
          <w:tcPr>
            <w:tcW w:w="1644" w:type="dxa"/>
            <w:tcBorders>
              <w:top w:val="nil"/>
              <w:left w:val="nil"/>
              <w:bottom w:val="single" w:sz="4"/>
              <w:right w:val="nil"/>
            </w:tcBorders>
          </w:tcPr>
          <w:p>
            <w:pPr>
              <w:pStyle w:val="0"/>
              <w:jc w:val="center"/>
            </w:pPr>
            <w:r>
              <w:rPr>
                <w:sz w:val="20"/>
              </w:rPr>
              <w:t xml:space="preserve">&lt;результирующий коэффициент</w:t>
            </w:r>
          </w:p>
        </w:tc>
        <w:tc>
          <w:tcPr>
            <w:tcW w:w="680" w:type="dxa"/>
            <w:tcBorders>
              <w:top w:val="nil"/>
              <w:left w:val="nil"/>
              <w:bottom w:val="single" w:sz="4"/>
              <w:right w:val="nil"/>
            </w:tcBorders>
          </w:tcPr>
          <w:p>
            <w:pPr>
              <w:pStyle w:val="0"/>
              <w:jc w:val="center"/>
            </w:pPr>
            <w:r>
              <w:rPr>
                <w:sz w:val="20"/>
              </w:rPr>
              <w:t xml:space="preserve">&lt;X&gt;</w:t>
            </w:r>
          </w:p>
        </w:tc>
        <w:tc>
          <w:tcPr>
            <w:tcW w:w="850" w:type="dxa"/>
            <w:tcBorders>
              <w:top w:val="nil"/>
              <w:left w:val="nil"/>
              <w:bottom w:val="single" w:sz="4"/>
              <w:right w:val="nil"/>
            </w:tcBorders>
          </w:tcPr>
          <w:p>
            <w:pPr>
              <w:pStyle w:val="0"/>
              <w:jc w:val="center"/>
            </w:pPr>
            <w:r>
              <w:rPr>
                <w:sz w:val="20"/>
              </w:rPr>
              <w:t xml:space="preserve">&lt;X&gt;</w:t>
            </w:r>
          </w:p>
        </w:tc>
        <w:tc>
          <w:tcPr>
            <w:tcW w:w="1020" w:type="dxa"/>
            <w:tcBorders>
              <w:top w:val="nil"/>
              <w:left w:val="nil"/>
              <w:bottom w:val="single" w:sz="4"/>
              <w:right w:val="nil"/>
            </w:tcBorders>
          </w:tcPr>
          <w:p>
            <w:pPr>
              <w:pStyle w:val="0"/>
              <w:jc w:val="center"/>
            </w:pPr>
            <w:r>
              <w:rPr>
                <w:sz w:val="20"/>
              </w:rPr>
              <w:t xml:space="preserve">&lt;результирующий коэффициент</w:t>
            </w:r>
          </w:p>
        </w:tc>
        <w:tc>
          <w:tcPr>
            <w:tcW w:w="1077"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01"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01" w:type="dxa"/>
            <w:tcBorders>
              <w:top w:val="nil"/>
              <w:left w:val="nil"/>
              <w:bottom w:val="single" w:sz="4"/>
              <w:right w:val="nil"/>
            </w:tcBorders>
          </w:tcPr>
          <w:p>
            <w:pPr>
              <w:pStyle w:val="0"/>
            </w:pPr>
            <w:r>
              <w:rPr>
                <w:sz w:val="20"/>
              </w:rPr>
              <w:t xml:space="preserve">&lt;Перевозка&gt;</w:t>
            </w:r>
          </w:p>
        </w:tc>
        <w:tc>
          <w:tcPr>
            <w:tcW w:w="1247" w:type="dxa"/>
            <w:tcBorders>
              <w:top w:val="nil"/>
              <w:left w:val="nil"/>
              <w:bottom w:val="single" w:sz="4"/>
              <w:right w:val="nil"/>
            </w:tcBorders>
          </w:tcPr>
          <w:p>
            <w:pPr>
              <w:pStyle w:val="0"/>
              <w:jc w:val="center"/>
            </w:pPr>
            <w:r>
              <w:rPr>
                <w:sz w:val="20"/>
              </w:rPr>
              <w:t xml:space="preserve">&lt;единица измерения &gt;</w:t>
            </w:r>
          </w:p>
        </w:tc>
        <w:tc>
          <w:tcPr>
            <w:tcW w:w="850" w:type="dxa"/>
            <w:tcBorders>
              <w:top w:val="nil"/>
              <w:left w:val="nil"/>
              <w:bottom w:val="single" w:sz="4"/>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50" w:type="dxa"/>
            <w:tcBorders>
              <w:top w:val="nil"/>
              <w:left w:val="nil"/>
              <w:bottom w:val="single" w:sz="4"/>
              <w:right w:val="nil"/>
            </w:tcBorders>
          </w:tcPr>
          <w:p>
            <w:pPr>
              <w:pStyle w:val="0"/>
              <w:jc w:val="center"/>
            </w:pPr>
            <w:r>
              <w:rPr>
                <w:sz w:val="20"/>
              </w:rPr>
              <w:t xml:space="preserve">&lt;X&gt;</w:t>
            </w:r>
          </w:p>
        </w:tc>
        <w:tc>
          <w:tcPr>
            <w:tcW w:w="1020" w:type="dxa"/>
            <w:tcBorders>
              <w:top w:val="nil"/>
              <w:left w:val="nil"/>
              <w:bottom w:val="single" w:sz="4"/>
              <w:right w:val="nil"/>
            </w:tcBorders>
          </w:tcPr>
          <w:p>
            <w:pPr>
              <w:pStyle w:val="0"/>
              <w:jc w:val="center"/>
            </w:pPr>
            <w:r>
              <w:rPr>
                <w:sz w:val="20"/>
              </w:rPr>
              <w:t xml:space="preserve">&lt;результирующий коэффициент&gt;</w:t>
            </w:r>
          </w:p>
        </w:tc>
        <w:tc>
          <w:tcPr>
            <w:tcW w:w="1077"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01"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single" w:sz="4"/>
              <w:right w:val="nil"/>
            </w:tcBorders>
          </w:tcPr>
          <w:p>
            <w:pPr>
              <w:pStyle w:val="0"/>
              <w:jc w:val="center"/>
            </w:pPr>
            <w:r>
              <w:rPr>
                <w:sz w:val="20"/>
              </w:rPr>
              <w:t xml:space="preserve">&lt;пункт&gt;</w:t>
            </w:r>
          </w:p>
        </w:tc>
        <w:tc>
          <w:tcPr>
            <w:tcW w:w="1417" w:type="dxa"/>
            <w:tcBorders>
              <w:top w:val="nil"/>
              <w:left w:val="nil"/>
              <w:bottom w:val="single" w:sz="4"/>
              <w:right w:val="nil"/>
            </w:tcBorders>
          </w:tcPr>
          <w:p>
            <w:pPr>
              <w:pStyle w:val="0"/>
              <w:jc w:val="center"/>
            </w:pPr>
            <w:r>
              <w:rPr>
                <w:sz w:val="20"/>
              </w:rPr>
              <w:t xml:space="preserve">&lt;обоснование&gt;</w:t>
            </w:r>
          </w:p>
        </w:tc>
        <w:tc>
          <w:tcPr>
            <w:tcW w:w="3101" w:type="dxa"/>
            <w:tcBorders>
              <w:top w:val="nil"/>
              <w:left w:val="nil"/>
              <w:bottom w:val="single" w:sz="4"/>
              <w:right w:val="nil"/>
            </w:tcBorders>
          </w:tcPr>
          <w:p>
            <w:pPr>
              <w:pStyle w:val="0"/>
            </w:pPr>
            <w:r>
              <w:rPr>
                <w:sz w:val="20"/>
              </w:rPr>
              <w:t xml:space="preserve">&lt;Прочие затраты&gt; </w:t>
            </w:r>
            <w:hyperlink w:history="0" w:anchor="P8363" w:tooltip="&lt;1&gt; Под прочими затратами понимаются затраты, учитываемые в соответствии с пунктом 184 Методики.">
              <w:r>
                <w:rPr>
                  <w:sz w:val="20"/>
                  <w:color w:val="0000ff"/>
                </w:rPr>
                <w:t xml:space="preserve">&lt;1&gt;</w:t>
              </w:r>
            </w:hyperlink>
          </w:p>
        </w:tc>
        <w:tc>
          <w:tcPr>
            <w:tcW w:w="1247" w:type="dxa"/>
            <w:tcBorders>
              <w:top w:val="nil"/>
              <w:left w:val="nil"/>
              <w:bottom w:val="single" w:sz="4"/>
              <w:right w:val="nil"/>
            </w:tcBorders>
          </w:tcPr>
          <w:p>
            <w:pPr>
              <w:pStyle w:val="0"/>
              <w:jc w:val="center"/>
            </w:pPr>
            <w:r>
              <w:rPr>
                <w:sz w:val="20"/>
              </w:rPr>
              <w:t xml:space="preserve">&lt;единица измерения &gt;</w:t>
            </w:r>
          </w:p>
        </w:tc>
        <w:tc>
          <w:tcPr>
            <w:tcW w:w="850" w:type="dxa"/>
            <w:tcBorders>
              <w:top w:val="nil"/>
              <w:left w:val="nil"/>
              <w:bottom w:val="single" w:sz="4"/>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50" w:type="dxa"/>
            <w:tcBorders>
              <w:top w:val="nil"/>
              <w:left w:val="nil"/>
              <w:bottom w:val="single" w:sz="4"/>
              <w:right w:val="nil"/>
            </w:tcBorders>
          </w:tcPr>
          <w:p>
            <w:pPr>
              <w:pStyle w:val="0"/>
              <w:jc w:val="center"/>
            </w:pPr>
            <w:r>
              <w:rPr>
                <w:sz w:val="20"/>
              </w:rPr>
              <w:t xml:space="preserve">&lt;X&gt;</w:t>
            </w:r>
          </w:p>
        </w:tc>
        <w:tc>
          <w:tcPr>
            <w:tcW w:w="1020" w:type="dxa"/>
            <w:tcBorders>
              <w:top w:val="nil"/>
              <w:left w:val="nil"/>
              <w:bottom w:val="single" w:sz="4"/>
              <w:right w:val="nil"/>
            </w:tcBorders>
          </w:tcPr>
          <w:p>
            <w:pPr>
              <w:pStyle w:val="0"/>
              <w:jc w:val="center"/>
            </w:pPr>
            <w:r>
              <w:rPr>
                <w:sz w:val="20"/>
              </w:rPr>
              <w:t xml:space="preserve">&lt;результирующий коэффициент&gt;</w:t>
            </w:r>
          </w:p>
        </w:tc>
        <w:tc>
          <w:tcPr>
            <w:tcW w:w="1077" w:type="dxa"/>
            <w:tcBorders>
              <w:top w:val="nil"/>
              <w:left w:val="nil"/>
              <w:bottom w:val="single" w:sz="4"/>
              <w:right w:val="nil"/>
            </w:tcBorders>
          </w:tcPr>
          <w:p>
            <w:pPr>
              <w:pStyle w:val="0"/>
              <w:jc w:val="center"/>
            </w:pPr>
            <w:r>
              <w:rPr>
                <w:sz w:val="20"/>
              </w:rPr>
              <w:t xml:space="preserve">&lt;X&gt;</w:t>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01" w:type="dxa"/>
            <w:tcBorders>
              <w:top w:val="single" w:sz="4"/>
              <w:left w:val="nil"/>
              <w:bottom w:val="nil"/>
              <w:right w:val="nil"/>
            </w:tcBorders>
          </w:tcPr>
          <w:p>
            <w:pPr>
              <w:pStyle w:val="0"/>
            </w:pPr>
            <w:r>
              <w:rPr>
                <w:sz w:val="20"/>
              </w:rPr>
              <w:t xml:space="preserve">Всего по позиции</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4"/>
            <w:tcW w:w="6842" w:type="dxa"/>
            <w:tcBorders>
              <w:top w:val="nil"/>
              <w:left w:val="nil"/>
              <w:bottom w:val="nil"/>
              <w:right w:val="nil"/>
            </w:tcBorders>
          </w:tcPr>
          <w:p>
            <w:pPr>
              <w:pStyle w:val="0"/>
            </w:pPr>
            <w:r>
              <w:rPr>
                <w:sz w:val="20"/>
              </w:rPr>
              <w:t xml:space="preserve">Итого прямые затраты по разделу X. &lt;Наименование раздела&gt;</w:t>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перевозка</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Итого ФОТ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Итого накладные расходы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Итого сметная прибыль</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Итого оборудование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Итого прочие затраты </w:t>
            </w:r>
            <w:hyperlink w:history="0" w:anchor="P8363" w:tooltip="&lt;1&gt; Под прочими затратами понимаются затраты, учитываемые в соответствии с пунктом 184 Методики.">
              <w:r>
                <w:rPr>
                  <w:sz w:val="20"/>
                  <w:color w:val="0000ff"/>
                </w:rPr>
                <w:t xml:space="preserve">&lt;1&gt;</w:t>
              </w:r>
            </w:hyperlink>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3"/>
            <w:tcW w:w="5198" w:type="dxa"/>
            <w:tcBorders>
              <w:top w:val="nil"/>
              <w:left w:val="nil"/>
              <w:bottom w:val="nil"/>
              <w:right w:val="nil"/>
            </w:tcBorders>
          </w:tcPr>
          <w:p>
            <w:pPr>
              <w:pStyle w:val="0"/>
            </w:pPr>
            <w:r>
              <w:rPr>
                <w:sz w:val="20"/>
              </w:rPr>
              <w:t xml:space="preserve">Итого по разделу X. &lt;Наименование раздела&gt;</w:t>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3"/>
            <w:tcW w:w="5198" w:type="dxa"/>
            <w:tcBorders>
              <w:top w:val="nil"/>
              <w:left w:val="nil"/>
              <w:bottom w:val="nil"/>
              <w:right w:val="nil"/>
            </w:tcBorders>
          </w:tcPr>
          <w:p>
            <w:pPr>
              <w:pStyle w:val="0"/>
              <w:ind w:left="566"/>
            </w:pPr>
            <w:r>
              <w:rPr>
                <w:sz w:val="20"/>
              </w:rPr>
              <w:t xml:space="preserve">в том числе</w:t>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3"/>
            <w:tcW w:w="5198" w:type="dxa"/>
            <w:tcBorders>
              <w:top w:val="nil"/>
              <w:left w:val="nil"/>
              <w:bottom w:val="nil"/>
              <w:right w:val="nil"/>
            </w:tcBorders>
          </w:tcPr>
          <w:p>
            <w:pPr>
              <w:pStyle w:val="0"/>
              <w:ind w:left="566"/>
            </w:pPr>
            <w:r>
              <w:rPr>
                <w:sz w:val="20"/>
              </w:rPr>
              <w:t xml:space="preserve">материальные ресурсы, отсутствующие в ФРСН</w:t>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3"/>
            <w:tcW w:w="5198" w:type="dxa"/>
            <w:tcBorders>
              <w:top w:val="nil"/>
              <w:left w:val="nil"/>
              <w:bottom w:val="nil"/>
              <w:right w:val="nil"/>
            </w:tcBorders>
          </w:tcPr>
          <w:p>
            <w:pPr>
              <w:pStyle w:val="0"/>
              <w:ind w:left="566"/>
            </w:pPr>
            <w:r>
              <w:rPr>
                <w:sz w:val="20"/>
              </w:rPr>
              <w:t xml:space="preserve">оборудование, отсутствующее в ФРСН</w:t>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3"/>
            <w:tcW w:w="5198" w:type="dxa"/>
            <w:tcBorders>
              <w:top w:val="nil"/>
              <w:left w:val="nil"/>
              <w:bottom w:val="nil"/>
              <w:right w:val="nil"/>
            </w:tcBorders>
          </w:tcPr>
          <w:p>
            <w:pPr>
              <w:pStyle w:val="0"/>
              <w:ind w:left="566"/>
            </w:pPr>
            <w:r>
              <w:rPr>
                <w:sz w:val="20"/>
              </w:rPr>
              <w:t xml:space="preserve">справочно</w:t>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gridSpan w:val="3"/>
            <w:tcW w:w="5198" w:type="dxa"/>
            <w:tcBorders>
              <w:top w:val="nil"/>
              <w:left w:val="nil"/>
              <w:bottom w:val="nil"/>
              <w:right w:val="nil"/>
            </w:tcBorders>
          </w:tcPr>
          <w:p>
            <w:pPr>
              <w:pStyle w:val="0"/>
              <w:ind w:left="566"/>
            </w:pPr>
            <w:r>
              <w:rPr>
                <w:sz w:val="20"/>
              </w:rPr>
              <w:t xml:space="preserve">затраты труда рабочих</w:t>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single" w:sz="4"/>
              <w:right w:val="nil"/>
            </w:tcBorders>
          </w:tcPr>
          <w:p>
            <w:pPr>
              <w:pStyle w:val="0"/>
            </w:pPr>
            <w:r>
              <w:rPr>
                <w:sz w:val="20"/>
              </w:rPr>
            </w:r>
          </w:p>
        </w:tc>
        <w:tc>
          <w:tcPr>
            <w:tcW w:w="1417" w:type="dxa"/>
            <w:tcBorders>
              <w:top w:val="nil"/>
              <w:left w:val="nil"/>
              <w:bottom w:val="single" w:sz="4"/>
              <w:right w:val="nil"/>
            </w:tcBorders>
          </w:tcPr>
          <w:p>
            <w:pPr>
              <w:pStyle w:val="0"/>
            </w:pPr>
            <w:r>
              <w:rPr>
                <w:sz w:val="20"/>
              </w:rPr>
            </w:r>
          </w:p>
        </w:tc>
        <w:tc>
          <w:tcPr>
            <w:gridSpan w:val="3"/>
            <w:tcW w:w="5198" w:type="dxa"/>
            <w:tcBorders>
              <w:top w:val="nil"/>
              <w:left w:val="nil"/>
              <w:bottom w:val="single" w:sz="4"/>
              <w:right w:val="nil"/>
            </w:tcBorders>
          </w:tcPr>
          <w:p>
            <w:pPr>
              <w:pStyle w:val="0"/>
              <w:ind w:left="566"/>
            </w:pPr>
            <w:r>
              <w:rPr>
                <w:sz w:val="20"/>
              </w:rPr>
              <w:t xml:space="preserve">затраты труда машинистов</w:t>
            </w:r>
          </w:p>
        </w:tc>
        <w:tc>
          <w:tcPr>
            <w:tcW w:w="1644" w:type="dxa"/>
            <w:tcBorders>
              <w:top w:val="nil"/>
              <w:left w:val="nil"/>
              <w:bottom w:val="single" w:sz="4"/>
              <w:right w:val="nil"/>
            </w:tcBorders>
          </w:tcPr>
          <w:p>
            <w:pPr>
              <w:pStyle w:val="0"/>
            </w:pPr>
            <w:r>
              <w:rPr>
                <w:sz w:val="20"/>
              </w:rPr>
            </w:r>
          </w:p>
        </w:tc>
        <w:tc>
          <w:tcPr>
            <w:tcW w:w="680" w:type="dxa"/>
            <w:tcBorders>
              <w:top w:val="nil"/>
              <w:left w:val="nil"/>
              <w:bottom w:val="single" w:sz="4"/>
              <w:right w:val="nil"/>
            </w:tcBorders>
          </w:tcPr>
          <w:p>
            <w:pPr>
              <w:pStyle w:val="0"/>
              <w:jc w:val="center"/>
            </w:pPr>
            <w:r>
              <w:rPr>
                <w:sz w:val="20"/>
              </w:rPr>
              <w:t xml:space="preserve">&lt;X&gt;</w:t>
            </w:r>
          </w:p>
        </w:tc>
        <w:tc>
          <w:tcPr>
            <w:tcW w:w="850" w:type="dxa"/>
            <w:tcBorders>
              <w:top w:val="nil"/>
              <w:left w:val="nil"/>
              <w:bottom w:val="single" w:sz="4"/>
              <w:right w:val="nil"/>
            </w:tcBorders>
          </w:tcPr>
          <w:p>
            <w:pPr>
              <w:pStyle w:val="0"/>
            </w:pPr>
            <w:r>
              <w:rPr>
                <w:sz w:val="20"/>
              </w:rPr>
            </w:r>
          </w:p>
        </w:tc>
        <w:tc>
          <w:tcPr>
            <w:tcW w:w="1020" w:type="dxa"/>
            <w:tcBorders>
              <w:top w:val="nil"/>
              <w:left w:val="nil"/>
              <w:bottom w:val="single" w:sz="4"/>
              <w:right w:val="nil"/>
            </w:tcBorders>
          </w:tcPr>
          <w:p>
            <w:pPr>
              <w:pStyle w:val="0"/>
            </w:pPr>
            <w:r>
              <w:rPr>
                <w:sz w:val="20"/>
              </w:rPr>
            </w:r>
          </w:p>
        </w:tc>
        <w:tc>
          <w:tcPr>
            <w:tcW w:w="1077" w:type="dxa"/>
            <w:tcBorders>
              <w:top w:val="nil"/>
              <w:left w:val="nil"/>
              <w:bottom w:val="single" w:sz="4"/>
              <w:right w:val="nil"/>
            </w:tcBorders>
          </w:tcPr>
          <w:p>
            <w:pPr>
              <w:pStyle w:val="0"/>
            </w:pPr>
            <w:r>
              <w:rPr>
                <w:sz w:val="20"/>
              </w:rPr>
            </w:r>
          </w:p>
        </w:tc>
      </w:tr>
      <w:tr>
        <w:tc>
          <w:tcPr>
            <w:tcW w:w="1020" w:type="dxa"/>
            <w:tcBorders>
              <w:top w:val="single" w:sz="4"/>
              <w:left w:val="nil"/>
              <w:bottom w:val="nil"/>
              <w:right w:val="nil"/>
            </w:tcBorders>
          </w:tcPr>
          <w:p>
            <w:pPr>
              <w:pStyle w:val="0"/>
            </w:pPr>
            <w:r>
              <w:rPr>
                <w:sz w:val="20"/>
              </w:rPr>
            </w:r>
          </w:p>
        </w:tc>
        <w:tc>
          <w:tcPr>
            <w:tcW w:w="1417" w:type="dxa"/>
            <w:tcBorders>
              <w:top w:val="single" w:sz="4"/>
              <w:left w:val="nil"/>
              <w:bottom w:val="nil"/>
              <w:right w:val="nil"/>
            </w:tcBorders>
          </w:tcPr>
          <w:p>
            <w:pPr>
              <w:pStyle w:val="0"/>
            </w:pPr>
            <w:r>
              <w:rPr>
                <w:sz w:val="20"/>
              </w:rPr>
            </w:r>
          </w:p>
        </w:tc>
        <w:tc>
          <w:tcPr>
            <w:tcW w:w="3101" w:type="dxa"/>
            <w:tcBorders>
              <w:top w:val="single" w:sz="4"/>
              <w:left w:val="nil"/>
              <w:bottom w:val="nil"/>
              <w:right w:val="nil"/>
            </w:tcBorders>
          </w:tcPr>
          <w:p>
            <w:pPr>
              <w:pStyle w:val="0"/>
            </w:pPr>
            <w:r>
              <w:rPr>
                <w:sz w:val="20"/>
              </w:rPr>
              <w:t xml:space="preserve">ИТОГИ ПО СМЕТЕ</w:t>
            </w:r>
          </w:p>
        </w:tc>
        <w:tc>
          <w:tcPr>
            <w:tcW w:w="1247"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644" w:type="dxa"/>
            <w:tcBorders>
              <w:top w:val="single" w:sz="4"/>
              <w:left w:val="nil"/>
              <w:bottom w:val="nil"/>
              <w:right w:val="nil"/>
            </w:tcBorders>
          </w:tcPr>
          <w:p>
            <w:pPr>
              <w:pStyle w:val="0"/>
            </w:pPr>
            <w:r>
              <w:rPr>
                <w:sz w:val="20"/>
              </w:rPr>
            </w:r>
          </w:p>
        </w:tc>
        <w:tc>
          <w:tcPr>
            <w:tcW w:w="680" w:type="dxa"/>
            <w:tcBorders>
              <w:top w:val="single" w:sz="4"/>
              <w:left w:val="nil"/>
              <w:bottom w:val="nil"/>
              <w:right w:val="nil"/>
            </w:tcBorders>
          </w:tcPr>
          <w:p>
            <w:pPr>
              <w:pStyle w:val="0"/>
            </w:pPr>
            <w:r>
              <w:rPr>
                <w:sz w:val="20"/>
              </w:rPr>
            </w:r>
          </w:p>
        </w:tc>
        <w:tc>
          <w:tcPr>
            <w:tcW w:w="850" w:type="dxa"/>
            <w:tcBorders>
              <w:top w:val="single" w:sz="4"/>
              <w:left w:val="nil"/>
              <w:bottom w:val="nil"/>
              <w:right w:val="nil"/>
            </w:tcBorders>
          </w:tcPr>
          <w:p>
            <w:pPr>
              <w:pStyle w:val="0"/>
            </w:pPr>
            <w:r>
              <w:rPr>
                <w:sz w:val="20"/>
              </w:rPr>
            </w:r>
          </w:p>
        </w:tc>
        <w:tc>
          <w:tcPr>
            <w:tcW w:w="1020" w:type="dxa"/>
            <w:tcBorders>
              <w:top w:val="single" w:sz="4"/>
              <w:left w:val="nil"/>
              <w:bottom w:val="nil"/>
              <w:right w:val="nil"/>
            </w:tcBorders>
          </w:tcPr>
          <w:p>
            <w:pPr>
              <w:pStyle w:val="0"/>
            </w:pPr>
            <w:r>
              <w:rPr>
                <w:sz w:val="20"/>
              </w:rPr>
            </w:r>
          </w:p>
        </w:tc>
        <w:tc>
          <w:tcPr>
            <w:tcW w:w="1077" w:type="dxa"/>
            <w:tcBorders>
              <w:top w:val="single" w:sz="4"/>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строительные работы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перевозка</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ФОТ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монтажных работ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перевозка</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ФОТ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оборудование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прочие затраты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прочие затраты </w:t>
            </w:r>
            <w:hyperlink w:history="0" w:anchor="P8363" w:tooltip="&lt;1&gt; Под прочими затратами понимаются затраты, учитываемые в соответствии с пунктом 184 Методики.">
              <w:r>
                <w:rPr>
                  <w:sz w:val="20"/>
                  <w:color w:val="0000ff"/>
                </w:rPr>
                <w:t xml:space="preserve">&lt;1&gt;</w:t>
              </w:r>
            </w:hyperlink>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прочие работы </w:t>
            </w:r>
            <w:hyperlink w:history="0" w:anchor="P8364" w:tooltip="&lt;2&gt; Под прочими работами понимаются затраты, учитываемые в соответствии с пунктами 122 - 128 Методики.">
              <w:r>
                <w:rPr>
                  <w:sz w:val="20"/>
                  <w:color w:val="0000ff"/>
                </w:rPr>
                <w:t xml:space="preserve">&lt;2&gt;</w:t>
              </w:r>
            </w:hyperlink>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283"/>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перевозка</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ФОТ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по смете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прямые затраты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оплата труда (ОТ)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эксплуатация машин и механизмов</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оплата труда машинистов (ОТм)</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материальные ресурсы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566"/>
            </w:pPr>
            <w:r>
              <w:rPr>
                <w:sz w:val="20"/>
              </w:rPr>
              <w:t xml:space="preserve">перевозка</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ФОТ</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накладные расходы</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сметная прибыль</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Всего прочие затраты </w:t>
            </w:r>
            <w:hyperlink w:history="0" w:anchor="P8363" w:tooltip="&lt;1&gt; Под прочими затратами понимаются затраты, учитываемые в соответствии с пунктом 184 Методики.">
              <w:r>
                <w:rPr>
                  <w:sz w:val="20"/>
                  <w:color w:val="0000ff"/>
                </w:rPr>
                <w:t xml:space="preserve">&lt;1&gt;</w:t>
              </w:r>
            </w:hyperlink>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Справочно</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849"/>
            </w:pPr>
            <w:r>
              <w:rPr>
                <w:sz w:val="20"/>
              </w:rPr>
              <w:t xml:space="preserve">материальные ресурсы, отсутствующие в ФРСН</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849"/>
            </w:pPr>
            <w:r>
              <w:rPr>
                <w:sz w:val="20"/>
              </w:rPr>
              <w:t xml:space="preserve">оборудование, отсутствующие в ФРСН</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849"/>
            </w:pPr>
            <w:r>
              <w:rPr>
                <w:sz w:val="20"/>
              </w:rPr>
              <w:t xml:space="preserve">затраты труда рабочих</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ind w:left="849"/>
            </w:pPr>
            <w:r>
              <w:rPr>
                <w:sz w:val="20"/>
              </w:rPr>
              <w:t xml:space="preserve">затраты труда машинистов</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ПНР "вхолостую"</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01"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01"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01"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ПНР "под нагрузкой"</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pPr>
            <w:r>
              <w:rPr>
                <w:sz w:val="20"/>
              </w:rPr>
            </w:r>
          </w:p>
        </w:tc>
        <w:tc>
          <w:tcPr>
            <w:tcW w:w="3101" w:type="dxa"/>
            <w:tcBorders>
              <w:top w:val="nil"/>
              <w:left w:val="nil"/>
              <w:bottom w:val="nil"/>
              <w:right w:val="nil"/>
            </w:tcBorders>
          </w:tcPr>
          <w:p>
            <w:pPr>
              <w:pStyle w:val="0"/>
            </w:pPr>
            <w:r>
              <w:rPr>
                <w:sz w:val="20"/>
              </w:rPr>
              <w:t xml:space="preserve">в том числе</w:t>
            </w:r>
          </w:p>
        </w:tc>
        <w:tc>
          <w:tcPr>
            <w:tcW w:w="1247"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pPr>
            <w:r>
              <w:rPr>
                <w:sz w:val="20"/>
              </w:rPr>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01"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01"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r>
        <w:tc>
          <w:tcPr>
            <w:tcW w:w="1020" w:type="dxa"/>
            <w:tcBorders>
              <w:top w:val="nil"/>
              <w:left w:val="nil"/>
              <w:bottom w:val="nil"/>
              <w:right w:val="nil"/>
            </w:tcBorders>
          </w:tcPr>
          <w:p>
            <w:pPr>
              <w:pStyle w:val="0"/>
            </w:pPr>
            <w:r>
              <w:rPr>
                <w:sz w:val="20"/>
              </w:rPr>
            </w:r>
          </w:p>
        </w:tc>
        <w:tc>
          <w:tcPr>
            <w:tcW w:w="1417" w:type="dxa"/>
            <w:tcBorders>
              <w:top w:val="nil"/>
              <w:left w:val="nil"/>
              <w:bottom w:val="nil"/>
              <w:right w:val="nil"/>
            </w:tcBorders>
          </w:tcPr>
          <w:p>
            <w:pPr>
              <w:pStyle w:val="0"/>
              <w:jc w:val="center"/>
            </w:pPr>
            <w:r>
              <w:rPr>
                <w:sz w:val="20"/>
              </w:rPr>
              <w:t xml:space="preserve">&lt;обоснование&gt;</w:t>
            </w:r>
          </w:p>
        </w:tc>
        <w:tc>
          <w:tcPr>
            <w:tcW w:w="3101" w:type="dxa"/>
            <w:tcBorders>
              <w:top w:val="nil"/>
              <w:left w:val="nil"/>
              <w:bottom w:val="nil"/>
              <w:right w:val="nil"/>
            </w:tcBorders>
          </w:tcPr>
          <w:p>
            <w:pPr>
              <w:pStyle w:val="0"/>
            </w:pPr>
            <w:r>
              <w:rPr>
                <w:sz w:val="20"/>
              </w:rPr>
              <w:t xml:space="preserve">&lt;Наименование сборника, номер отдела, раздела, таблицы&gt;</w:t>
            </w:r>
          </w:p>
        </w:tc>
        <w:tc>
          <w:tcPr>
            <w:tcW w:w="1247" w:type="dxa"/>
            <w:tcBorders>
              <w:top w:val="nil"/>
              <w:left w:val="nil"/>
              <w:bottom w:val="nil"/>
              <w:right w:val="nil"/>
            </w:tcBorders>
          </w:tcPr>
          <w:p>
            <w:pPr>
              <w:pStyle w:val="0"/>
              <w:jc w:val="center"/>
            </w:pPr>
            <w:r>
              <w:rPr>
                <w:sz w:val="20"/>
              </w:rPr>
              <w:t xml:space="preserve">%</w:t>
            </w:r>
          </w:p>
        </w:tc>
        <w:tc>
          <w:tcPr>
            <w:tcW w:w="85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680" w:type="dxa"/>
            <w:tcBorders>
              <w:top w:val="nil"/>
              <w:left w:val="nil"/>
              <w:bottom w:val="nil"/>
              <w:right w:val="nil"/>
            </w:tcBorders>
          </w:tcPr>
          <w:p>
            <w:pPr>
              <w:pStyle w:val="0"/>
              <w:jc w:val="center"/>
            </w:pPr>
            <w:r>
              <w:rPr>
                <w:sz w:val="20"/>
              </w:rPr>
              <w:t xml:space="preserve">&lt;X&gt;</w:t>
            </w:r>
          </w:p>
        </w:tc>
        <w:tc>
          <w:tcPr>
            <w:tcW w:w="850" w:type="dxa"/>
            <w:tcBorders>
              <w:top w:val="nil"/>
              <w:left w:val="nil"/>
              <w:bottom w:val="nil"/>
              <w:right w:val="nil"/>
            </w:tcBorders>
          </w:tcPr>
          <w:p>
            <w:pPr>
              <w:pStyle w:val="0"/>
            </w:pPr>
            <w:r>
              <w:rPr>
                <w:sz w:val="20"/>
              </w:rPr>
            </w:r>
          </w:p>
        </w:tc>
        <w:tc>
          <w:tcPr>
            <w:tcW w:w="102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center"/>
            </w:pPr>
            <w:r>
              <w:rPr>
                <w:sz w:val="20"/>
              </w:rPr>
              <w:t xml:space="preserve">&lt;X&gt;</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345"/>
        <w:gridCol w:w="5499"/>
        <w:gridCol w:w="5046"/>
      </w:tblGrid>
      <w:tr>
        <w:tc>
          <w:tcPr>
            <w:tcW w:w="1345" w:type="dxa"/>
            <w:tcBorders>
              <w:top w:val="nil"/>
              <w:left w:val="nil"/>
              <w:bottom w:val="nil"/>
              <w:right w:val="nil"/>
            </w:tcBorders>
          </w:tcPr>
          <w:p>
            <w:pPr>
              <w:pStyle w:val="0"/>
              <w:ind w:left="283"/>
            </w:pPr>
            <w:r>
              <w:rPr>
                <w:sz w:val="20"/>
              </w:rPr>
              <w:t xml:space="preserve">Составил</w:t>
            </w:r>
          </w:p>
        </w:tc>
        <w:tc>
          <w:tcPr>
            <w:tcW w:w="5499" w:type="dxa"/>
            <w:tcBorders>
              <w:top w:val="nil"/>
              <w:left w:val="nil"/>
              <w:bottom w:val="single" w:sz="4"/>
              <w:right w:val="nil"/>
            </w:tcBorders>
          </w:tcPr>
          <w:p>
            <w:pPr>
              <w:pStyle w:val="0"/>
            </w:pPr>
            <w:r>
              <w:rPr>
                <w:sz w:val="20"/>
              </w:rPr>
            </w:r>
          </w:p>
        </w:tc>
        <w:tc>
          <w:tcPr>
            <w:tcW w:w="5046" w:type="dxa"/>
            <w:tcBorders>
              <w:top w:val="nil"/>
              <w:left w:val="nil"/>
              <w:bottom w:val="nil"/>
              <w:right w:val="nil"/>
            </w:tcBorders>
          </w:tcPr>
          <w:p>
            <w:pPr>
              <w:pStyle w:val="0"/>
            </w:pPr>
            <w:r>
              <w:rPr>
                <w:sz w:val="20"/>
              </w:rPr>
            </w:r>
          </w:p>
        </w:tc>
      </w:tr>
      <w:tr>
        <w:tc>
          <w:tcPr>
            <w:tcW w:w="1345" w:type="dxa"/>
            <w:tcBorders>
              <w:top w:val="nil"/>
              <w:left w:val="nil"/>
              <w:bottom w:val="nil"/>
              <w:right w:val="nil"/>
            </w:tcBorders>
          </w:tcPr>
          <w:p>
            <w:pPr>
              <w:pStyle w:val="0"/>
            </w:pPr>
            <w:r>
              <w:rPr>
                <w:sz w:val="20"/>
              </w:rPr>
            </w:r>
          </w:p>
        </w:tc>
        <w:tc>
          <w:tcPr>
            <w:tcW w:w="5499" w:type="dxa"/>
            <w:tcBorders>
              <w:top w:val="single" w:sz="4"/>
              <w:left w:val="nil"/>
              <w:bottom w:val="nil"/>
              <w:right w:val="nil"/>
            </w:tcBorders>
          </w:tcPr>
          <w:p>
            <w:pPr>
              <w:pStyle w:val="0"/>
            </w:pPr>
            <w:r>
              <w:rPr>
                <w:sz w:val="20"/>
              </w:rPr>
              <w:t xml:space="preserve">[должность, подпись (инициалы, фамилия)]</w:t>
            </w:r>
          </w:p>
        </w:tc>
        <w:tc>
          <w:tcPr>
            <w:tcW w:w="5046" w:type="dxa"/>
            <w:tcBorders>
              <w:top w:val="nil"/>
              <w:left w:val="nil"/>
              <w:bottom w:val="nil"/>
              <w:right w:val="nil"/>
            </w:tcBorders>
          </w:tcPr>
          <w:p>
            <w:pPr>
              <w:pStyle w:val="0"/>
            </w:pPr>
            <w:r>
              <w:rPr>
                <w:sz w:val="20"/>
              </w:rPr>
            </w:r>
          </w:p>
        </w:tc>
      </w:tr>
      <w:tr>
        <w:tc>
          <w:tcPr>
            <w:tcW w:w="1345" w:type="dxa"/>
            <w:tcBorders>
              <w:top w:val="nil"/>
              <w:left w:val="nil"/>
              <w:bottom w:val="nil"/>
              <w:right w:val="nil"/>
            </w:tcBorders>
          </w:tcPr>
          <w:p>
            <w:pPr>
              <w:pStyle w:val="0"/>
              <w:ind w:left="283"/>
            </w:pPr>
            <w:r>
              <w:rPr>
                <w:sz w:val="20"/>
              </w:rPr>
              <w:t xml:space="preserve">Проверил</w:t>
            </w:r>
          </w:p>
        </w:tc>
        <w:tc>
          <w:tcPr>
            <w:tcW w:w="5499" w:type="dxa"/>
            <w:tcBorders>
              <w:top w:val="nil"/>
              <w:left w:val="nil"/>
              <w:bottom w:val="single" w:sz="4"/>
              <w:right w:val="nil"/>
            </w:tcBorders>
          </w:tcPr>
          <w:p>
            <w:pPr>
              <w:pStyle w:val="0"/>
            </w:pPr>
            <w:r>
              <w:rPr>
                <w:sz w:val="20"/>
              </w:rPr>
            </w:r>
          </w:p>
        </w:tc>
        <w:tc>
          <w:tcPr>
            <w:tcW w:w="5046" w:type="dxa"/>
            <w:tcBorders>
              <w:top w:val="nil"/>
              <w:left w:val="nil"/>
              <w:bottom w:val="nil"/>
              <w:right w:val="nil"/>
            </w:tcBorders>
          </w:tcPr>
          <w:p>
            <w:pPr>
              <w:pStyle w:val="0"/>
            </w:pPr>
            <w:r>
              <w:rPr>
                <w:sz w:val="20"/>
              </w:rPr>
              <w:t xml:space="preserve">[должность, подпись (инициалы, фамилия)]</w:t>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8363" w:name="P8363"/>
    <w:bookmarkEnd w:id="8363"/>
    <w:p>
      <w:pPr>
        <w:pStyle w:val="0"/>
        <w:spacing w:before="200" w:line-rule="auto"/>
        <w:ind w:firstLine="540"/>
        <w:jc w:val="both"/>
      </w:pPr>
      <w:r>
        <w:rPr>
          <w:sz w:val="20"/>
        </w:rPr>
        <w:t xml:space="preserve">&lt;1&gt; Под прочими затратами понимаются затраты, учитываемые в соответствии с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пунктом 184</w:t>
        </w:r>
      </w:hyperlink>
      <w:r>
        <w:rPr>
          <w:sz w:val="20"/>
        </w:rPr>
        <w:t xml:space="preserve"> Методики.</w:t>
      </w:r>
    </w:p>
    <w:bookmarkStart w:id="8364" w:name="P8364"/>
    <w:bookmarkEnd w:id="8364"/>
    <w:p>
      <w:pPr>
        <w:pStyle w:val="0"/>
        <w:spacing w:before="200" w:line-rule="auto"/>
        <w:ind w:firstLine="540"/>
        <w:jc w:val="both"/>
      </w:pPr>
      <w:r>
        <w:rPr>
          <w:sz w:val="20"/>
        </w:rPr>
        <w:t xml:space="preserve">&lt;2&gt; Под прочими работами понимаются затраты, учитываемые в соответствии с </w:t>
      </w:r>
      <w:hyperlink w:history="0" w:anchor="P525" w:tooltip="122. Сметная стоимость пусконаладочных работ определяется на основании программы и графика выполнения пусконаладочных работ.">
        <w:r>
          <w:rPr>
            <w:sz w:val="20"/>
            <w:color w:val="0000ff"/>
          </w:rPr>
          <w:t xml:space="preserve">пунктами 122</w:t>
        </w:r>
      </w:hyperlink>
      <w:r>
        <w:rPr>
          <w:sz w:val="20"/>
        </w:rPr>
        <w:t xml:space="preserve"> - </w:t>
      </w:r>
      <w:hyperlink w:history="0" w:anchor="P540" w:tooltip="128. При определении сметной стоимости строительства особо опасных, технически сложных и уникальных объектов капитального строительства необходимость учета в главе 9 (графы 7 и 8) сводного сметного расчета затрат &quot;под нагрузкой&quot;, определенных сметными расчетами, разработанными по рекомендуемым образцам, приведенным в Приложениях N 2 - 6 к Методике, устанавливается заказчиком по согласованию с главным распорядителем средств соответствующего бюджета (за исключением случаев, когда заказчиком является главны...">
        <w:r>
          <w:rPr>
            <w:sz w:val="20"/>
            <w:color w:val="0000ff"/>
          </w:rPr>
          <w:t xml:space="preserve">128</w:t>
        </w:r>
      </w:hyperlink>
      <w:r>
        <w:rPr>
          <w:sz w:val="20"/>
        </w:rPr>
        <w:t xml:space="preserve"> Методики.</w:t>
      </w:r>
    </w:p>
    <w:p>
      <w:pPr>
        <w:pStyle w:val="0"/>
        <w:jc w:val="both"/>
      </w:pPr>
      <w:r>
        <w:rPr>
          <w:sz w:val="20"/>
        </w:rPr>
      </w:r>
    </w:p>
    <w:p>
      <w:pPr>
        <w:pStyle w:val="0"/>
        <w:ind w:firstLine="540"/>
        <w:jc w:val="both"/>
      </w:pPr>
      <w:r>
        <w:rPr>
          <w:sz w:val="20"/>
        </w:rPr>
        <w:t xml:space="preserve">Примечания к форме локального сметного расчета (сметы), разработанного ресурсным методом:</w:t>
      </w:r>
    </w:p>
    <w:p>
      <w:pPr>
        <w:pStyle w:val="0"/>
        <w:spacing w:before="200" w:line-rule="auto"/>
        <w:ind w:firstLine="540"/>
        <w:jc w:val="both"/>
      </w:pPr>
      <w:r>
        <w:rPr>
          <w:sz w:val="20"/>
        </w:rPr>
        <w:t xml:space="preserve">1. В </w:t>
      </w:r>
      <w:hyperlink w:history="0" w:anchor="P6940" w:tooltip="1">
        <w:r>
          <w:rPr>
            <w:sz w:val="20"/>
            <w:color w:val="0000ff"/>
          </w:rPr>
          <w:t xml:space="preserve">графе 1</w:t>
        </w:r>
      </w:hyperlink>
      <w:r>
        <w:rPr>
          <w:sz w:val="20"/>
        </w:rPr>
        <w:t xml:space="preserve"> производится сквозная нумерация позиций сметного расчета, к которым относятся сметные нормы и оборудование, при этом:</w:t>
      </w:r>
    </w:p>
    <w:p>
      <w:pPr>
        <w:pStyle w:val="0"/>
        <w:spacing w:before="200" w:line-rule="auto"/>
        <w:ind w:firstLine="540"/>
        <w:jc w:val="both"/>
      </w:pPr>
      <w:r>
        <w:rPr>
          <w:sz w:val="20"/>
        </w:rPr>
        <w:t xml:space="preserve">в строках строительных ресурсов, неучтенных сметной нормой, указывается номер, состоящих из двух групп цифр, разделенных точкой, первая группа цифр которого соответствует номеру позиции, вторая - порядковому номеру строки в позиции, например, 1.1;</w:t>
      </w:r>
    </w:p>
    <w:p>
      <w:pPr>
        <w:pStyle w:val="0"/>
        <w:spacing w:before="200" w:line-rule="auto"/>
        <w:ind w:firstLine="540"/>
        <w:jc w:val="both"/>
      </w:pPr>
      <w:r>
        <w:rPr>
          <w:sz w:val="20"/>
        </w:rPr>
        <w:t xml:space="preserve">в строках дополнительной перевозки, учитываемой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указывается номер, состоящих из двух групп цифр, разделенных точкой, первая группа цифр которых соответствует номеру позиции неучтенного ресурса, к которому относятся затраты на дополнительную перевозку, вторая - порядковому номеру строки дополнительной перевозки в позиции (1 или 2), например, 7.2.1, где 7.2 - номер позиции неучтенного ресурса или оборудования, 1 - порядковый номер строки дополнительной перевозки в позиции.</w:t>
      </w:r>
    </w:p>
    <w:p>
      <w:pPr>
        <w:pStyle w:val="0"/>
        <w:spacing w:before="200" w:line-rule="auto"/>
        <w:ind w:firstLine="540"/>
        <w:jc w:val="both"/>
      </w:pPr>
      <w:r>
        <w:rPr>
          <w:sz w:val="20"/>
        </w:rPr>
        <w:t xml:space="preserve">2. В </w:t>
      </w:r>
      <w:hyperlink w:history="0" w:anchor="P6941" w:tooltip="2">
        <w:r>
          <w:rPr>
            <w:sz w:val="20"/>
            <w:color w:val="0000ff"/>
          </w:rPr>
          <w:t xml:space="preserve">графе 2</w:t>
        </w:r>
      </w:hyperlink>
      <w:r>
        <w:rPr>
          <w:sz w:val="20"/>
        </w:rPr>
        <w:t xml:space="preserve"> указываются:</w:t>
      </w:r>
    </w:p>
    <w:p>
      <w:pPr>
        <w:pStyle w:val="0"/>
        <w:spacing w:before="200" w:line-rule="auto"/>
        <w:ind w:firstLine="540"/>
        <w:jc w:val="both"/>
      </w:pPr>
      <w:r>
        <w:rPr>
          <w:sz w:val="20"/>
        </w:rPr>
        <w:t xml:space="preserve">шифры сметных норм, коды учтенных строительных ресурсов, а также неучтенных строительных ресурсов (при замене, исключении, добавлении ресурсов);</w:t>
      </w:r>
    </w:p>
    <w:p>
      <w:pPr>
        <w:pStyle w:val="0"/>
        <w:spacing w:before="200" w:line-rule="auto"/>
        <w:ind w:firstLine="540"/>
        <w:jc w:val="both"/>
      </w:pPr>
      <w:r>
        <w:rPr>
          <w:sz w:val="20"/>
        </w:rPr>
        <w:t xml:space="preserve">шифр накладных расходов и сметной прибыли, содержащий ссылку на сметные нормативы, для позиций накладных расходов и сметной прибыли;</w:t>
      </w:r>
    </w:p>
    <w:p>
      <w:pPr>
        <w:pStyle w:val="0"/>
        <w:spacing w:before="200" w:line-rule="auto"/>
        <w:ind w:firstLine="540"/>
        <w:jc w:val="both"/>
      </w:pPr>
      <w:r>
        <w:rPr>
          <w:sz w:val="20"/>
        </w:rPr>
        <w:t xml:space="preserve">шифры/коды материальных ресурсов и оборудования, отсутствующих в ФРСН (присвоенные в соответствии с </w:t>
      </w:r>
      <w:hyperlink w:history="0" w:anchor="P147" w:tooltip="23. Материальным ресурсам и оборудованию, отпускная цена которых в текущем уровне цен определена в соответствии с положениями пунктов 13 - 21 Методики, присваивается код, состоящий из буквенного обозначения &quot;ТЦ&quot; и пяти групп цифр: первая группа цифр соответствует коду группы Классификатора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
        <w:r>
          <w:rPr>
            <w:sz w:val="20"/>
            <w:color w:val="0000ff"/>
          </w:rPr>
          <w:t xml:space="preserve">пунктом 23</w:t>
        </w:r>
      </w:hyperlink>
      <w:r>
        <w:rPr>
          <w:sz w:val="20"/>
        </w:rPr>
        <w:t xml:space="preserve"> Методики);</w:t>
      </w:r>
    </w:p>
    <w:p>
      <w:pPr>
        <w:pStyle w:val="0"/>
        <w:spacing w:before="200" w:line-rule="auto"/>
        <w:ind w:firstLine="540"/>
        <w:jc w:val="both"/>
      </w:pPr>
      <w:r>
        <w:rPr>
          <w:sz w:val="20"/>
        </w:rPr>
        <w:t xml:space="preserve">обоснование прочих затрат, учитываемых в локальном сметном расчете (смете) согласно </w:t>
      </w:r>
      <w:hyperlink w:history="0" w:anchor="P703" w:tooltip="184. Стоимость работ по созданию произведений изобразительного искусства монументального характера учитывается в сметной стоимости соответствующего объекта капитального строительства и относится к прочим затратам (графа 7 сводного сметного расчета).">
        <w:r>
          <w:rPr>
            <w:sz w:val="20"/>
            <w:color w:val="0000ff"/>
          </w:rPr>
          <w:t xml:space="preserve">пункту 184</w:t>
        </w:r>
      </w:hyperlink>
      <w:r>
        <w:rPr>
          <w:sz w:val="20"/>
        </w:rPr>
        <w:t xml:space="preserve"> Методики (далее - прочих затрат);</w:t>
      </w:r>
    </w:p>
    <w:p>
      <w:pPr>
        <w:pStyle w:val="0"/>
        <w:spacing w:before="200" w:line-rule="auto"/>
        <w:ind w:firstLine="540"/>
        <w:jc w:val="both"/>
      </w:pPr>
      <w:r>
        <w:rPr>
          <w:sz w:val="20"/>
        </w:rPr>
        <w:t xml:space="preserve">шифры/коды позиций оплаты труда;</w:t>
      </w:r>
    </w:p>
    <w:p>
      <w:pPr>
        <w:pStyle w:val="0"/>
        <w:spacing w:before="200" w:line-rule="auto"/>
        <w:ind w:firstLine="540"/>
        <w:jc w:val="both"/>
      </w:pPr>
      <w:r>
        <w:rPr>
          <w:sz w:val="20"/>
        </w:rPr>
        <w:t xml:space="preserve">шифр коэффициента, содержащий ссылку на положения сметных нормативов и (или) пункты разделов сборников сметных норм - в случае применения коэффициентов, учитывающих усложняющие факторы и (или) условия производства работ, а также иных коэффициентов или доплат к сметной стоимости.</w:t>
      </w:r>
    </w:p>
    <w:p>
      <w:pPr>
        <w:pStyle w:val="0"/>
        <w:spacing w:before="200" w:line-rule="auto"/>
        <w:ind w:firstLine="540"/>
        <w:jc w:val="both"/>
      </w:pPr>
      <w:r>
        <w:rPr>
          <w:sz w:val="20"/>
        </w:rPr>
        <w:t xml:space="preserve">3. В </w:t>
      </w:r>
      <w:hyperlink w:history="0" w:anchor="P6942" w:tooltip="3">
        <w:r>
          <w:rPr>
            <w:sz w:val="20"/>
            <w:color w:val="0000ff"/>
          </w:rPr>
          <w:t xml:space="preserve">графе 3</w:t>
        </w:r>
      </w:hyperlink>
      <w:r>
        <w:rPr>
          <w:sz w:val="20"/>
        </w:rPr>
        <w:t xml:space="preserve"> указываются:</w:t>
      </w:r>
    </w:p>
    <w:p>
      <w:pPr>
        <w:pStyle w:val="0"/>
        <w:spacing w:before="200" w:line-rule="auto"/>
        <w:ind w:firstLine="540"/>
        <w:jc w:val="both"/>
      </w:pPr>
      <w:r>
        <w:rPr>
          <w:sz w:val="20"/>
        </w:rPr>
        <w:t xml:space="preserve">наименования сметных норм (полностью, без сокращений), учтенных и неучтенных сметными нормами строительных ресурсов, в соответствии с данными, включенными в ФРСН, или в соответствии с проектной и иной технической документацией, а также обосновывающими сметную цену строительных ресурсов документами;</w:t>
      </w:r>
    </w:p>
    <w:p>
      <w:pPr>
        <w:pStyle w:val="0"/>
        <w:spacing w:before="200" w:line-rule="auto"/>
        <w:ind w:firstLine="540"/>
        <w:jc w:val="both"/>
      </w:pPr>
      <w:r>
        <w:rPr>
          <w:sz w:val="20"/>
        </w:rPr>
        <w:t xml:space="preserve">средний разряд работы или средний разряд рабочего и категория исполнителей пусконаладочных работ (инженеров, техников и других), при этом в случаях, когда в сметных нормах указан средний разряд работы, строки "</w:t>
      </w:r>
      <w:hyperlink w:history="0" w:anchor="P7010" w:tooltip="Рабочий &lt;разряд&gt; разряда">
        <w:r>
          <w:rPr>
            <w:sz w:val="20"/>
            <w:color w:val="0000ff"/>
          </w:rPr>
          <w:t xml:space="preserve">Рабочий</w:t>
        </w:r>
      </w:hyperlink>
      <w:r>
        <w:rPr>
          <w:sz w:val="20"/>
        </w:rPr>
        <w:t xml:space="preserve"> &lt;разряд&gt; разряда", "</w:t>
      </w:r>
      <w:hyperlink w:history="0" w:anchor="P7030" w:tooltip="Инженер &lt;категория&gt; категории">
        <w:r>
          <w:rPr>
            <w:sz w:val="20"/>
            <w:color w:val="0000ff"/>
          </w:rPr>
          <w:t xml:space="preserve">Инженер</w:t>
        </w:r>
      </w:hyperlink>
      <w:r>
        <w:rPr>
          <w:sz w:val="20"/>
        </w:rPr>
        <w:t xml:space="preserve"> &lt;категория&gt;" и другие строки с указанием исполнителей пусконаладочных работ не отображаются, в случаях, когда в сметных нормах указаны рабочие и исполнители пусконаладочных работ (инженеры, техники и другие) или исполнители пусконаладочных работ (инженеры, техники и другие), то </w:t>
      </w:r>
      <w:hyperlink w:history="0" w:anchor="P7000" w:tooltip="Средний разряд работы &lt;разряд&gt;">
        <w:r>
          <w:rPr>
            <w:sz w:val="20"/>
            <w:color w:val="0000ff"/>
          </w:rPr>
          <w:t xml:space="preserve">строка</w:t>
        </w:r>
      </w:hyperlink>
      <w:r>
        <w:rPr>
          <w:sz w:val="20"/>
        </w:rPr>
        <w:t xml:space="preserve"> "Средний разряд работы" не отображается.</w:t>
      </w:r>
    </w:p>
    <w:p>
      <w:pPr>
        <w:pStyle w:val="0"/>
        <w:spacing w:before="200" w:line-rule="auto"/>
        <w:ind w:firstLine="540"/>
        <w:jc w:val="both"/>
      </w:pPr>
      <w:r>
        <w:rPr>
          <w:sz w:val="20"/>
        </w:rPr>
        <w:t xml:space="preserve">наименование составляющих сметных норм и элементов сметной стоимости;</w:t>
      </w:r>
    </w:p>
    <w:p>
      <w:pPr>
        <w:pStyle w:val="0"/>
        <w:spacing w:before="200" w:line-rule="auto"/>
        <w:ind w:firstLine="540"/>
        <w:jc w:val="both"/>
      </w:pPr>
      <w:r>
        <w:rPr>
          <w:sz w:val="20"/>
        </w:rPr>
        <w:t xml:space="preserve">наименование материальных ресурсов и оборудования, отсутствующих в ФРСН;</w:t>
      </w:r>
    </w:p>
    <w:p>
      <w:pPr>
        <w:pStyle w:val="0"/>
        <w:spacing w:before="200" w:line-rule="auto"/>
        <w:ind w:firstLine="540"/>
        <w:jc w:val="both"/>
      </w:pPr>
      <w:r>
        <w:rPr>
          <w:sz w:val="20"/>
        </w:rPr>
        <w:t xml:space="preserve">наименование, величина коэффициентов, учитывающих усложняющие факторы и (или) условия производства работ, а также иных коэффициентов (в случае их применения), составляющие сметных норм и элементы сметной стоимости, к которым указанные коэффициенты применяются, наименования доплат к сметной стоимости.</w:t>
      </w:r>
    </w:p>
    <w:p>
      <w:pPr>
        <w:pStyle w:val="0"/>
        <w:spacing w:before="200" w:line-rule="auto"/>
        <w:ind w:firstLine="540"/>
        <w:jc w:val="both"/>
      </w:pPr>
      <w:r>
        <w:rPr>
          <w:sz w:val="20"/>
        </w:rPr>
        <w:t xml:space="preserve">4. В </w:t>
      </w:r>
      <w:hyperlink w:history="0" w:anchor="P6944" w:tooltip="5">
        <w:r>
          <w:rPr>
            <w:sz w:val="20"/>
            <w:color w:val="0000ff"/>
          </w:rPr>
          <w:t xml:space="preserve">графах 5</w:t>
        </w:r>
      </w:hyperlink>
      <w:r>
        <w:rPr>
          <w:sz w:val="20"/>
        </w:rPr>
        <w:t xml:space="preserve"> - </w:t>
      </w:r>
      <w:hyperlink w:history="0" w:anchor="P6946" w:tooltip="7">
        <w:r>
          <w:rPr>
            <w:sz w:val="20"/>
            <w:color w:val="0000ff"/>
          </w:rPr>
          <w:t xml:space="preserve">7</w:t>
        </w:r>
      </w:hyperlink>
      <w:r>
        <w:rPr>
          <w:sz w:val="20"/>
        </w:rPr>
        <w:t xml:space="preserve"> по </w:t>
      </w:r>
      <w:hyperlink w:history="0" w:anchor="P7070" w:tooltip="ОТм (ЗТм)">
        <w:r>
          <w:rPr>
            <w:sz w:val="20"/>
            <w:color w:val="0000ff"/>
          </w:rPr>
          <w:t xml:space="preserve">строке</w:t>
        </w:r>
      </w:hyperlink>
      <w:r>
        <w:rPr>
          <w:sz w:val="20"/>
        </w:rPr>
        <w:t xml:space="preserve"> ЗТм данные заполняются при их наличии.</w:t>
      </w:r>
    </w:p>
    <w:p>
      <w:pPr>
        <w:pStyle w:val="0"/>
        <w:spacing w:before="200" w:line-rule="auto"/>
        <w:ind w:firstLine="540"/>
        <w:jc w:val="both"/>
      </w:pPr>
      <w:r>
        <w:rPr>
          <w:sz w:val="20"/>
        </w:rPr>
        <w:t xml:space="preserve">5. В </w:t>
      </w:r>
      <w:hyperlink w:history="0" w:anchor="P6943" w:tooltip="4">
        <w:r>
          <w:rPr>
            <w:sz w:val="20"/>
            <w:color w:val="0000ff"/>
          </w:rPr>
          <w:t xml:space="preserve">графе 4</w:t>
        </w:r>
      </w:hyperlink>
      <w:r>
        <w:rPr>
          <w:sz w:val="20"/>
        </w:rPr>
        <w:t xml:space="preserve"> указываются:</w:t>
      </w:r>
    </w:p>
    <w:p>
      <w:pPr>
        <w:pStyle w:val="0"/>
        <w:spacing w:before="200" w:line-rule="auto"/>
        <w:ind w:firstLine="540"/>
        <w:jc w:val="both"/>
      </w:pPr>
      <w:r>
        <w:rPr>
          <w:sz w:val="20"/>
        </w:rPr>
        <w:t xml:space="preserve">единица измерения сметных норм, строительных ресурсов, перевозки, включая дополнительную, учитываемую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согласно данным, включенным в ФРСН;</w:t>
      </w:r>
    </w:p>
    <w:p>
      <w:pPr>
        <w:pStyle w:val="0"/>
        <w:spacing w:before="200" w:line-rule="auto"/>
        <w:ind w:firstLine="540"/>
        <w:jc w:val="both"/>
      </w:pPr>
      <w:r>
        <w:rPr>
          <w:sz w:val="20"/>
        </w:rPr>
        <w:t xml:space="preserve">единица измерения строительных ресурсов и прочих затрат в соответствии с проектной и (или) иной технической документацией - для материальных ресурсов, оборудования и прочих затрат, отсутствующих в ФРСН;</w:t>
      </w:r>
    </w:p>
    <w:p>
      <w:pPr>
        <w:pStyle w:val="0"/>
        <w:spacing w:before="200" w:line-rule="auto"/>
        <w:ind w:firstLine="540"/>
        <w:jc w:val="both"/>
      </w:pPr>
      <w:r>
        <w:rPr>
          <w:sz w:val="20"/>
        </w:rPr>
        <w:t xml:space="preserve">в строках вспомогательных ненормируемых ресурсов, </w:t>
      </w:r>
      <w:hyperlink w:history="0" w:anchor="P7280" w:tooltip="НР &lt;вид работ&gt;">
        <w:r>
          <w:rPr>
            <w:sz w:val="20"/>
            <w:color w:val="0000ff"/>
          </w:rPr>
          <w:t xml:space="preserve">НР</w:t>
        </w:r>
      </w:hyperlink>
      <w:r>
        <w:rPr>
          <w:sz w:val="20"/>
        </w:rPr>
        <w:t xml:space="preserve"> и </w:t>
      </w:r>
      <w:hyperlink w:history="0" w:anchor="P7290" w:tooltip="СП &lt;вид работ&gt;">
        <w:r>
          <w:rPr>
            <w:sz w:val="20"/>
            <w:color w:val="0000ff"/>
          </w:rPr>
          <w:t xml:space="preserve">СП</w:t>
        </w:r>
      </w:hyperlink>
      <w:r>
        <w:rPr>
          <w:sz w:val="20"/>
        </w:rPr>
        <w:t xml:space="preserve"> - %.</w:t>
      </w:r>
    </w:p>
    <w:p>
      <w:pPr>
        <w:pStyle w:val="0"/>
        <w:spacing w:before="200" w:line-rule="auto"/>
        <w:ind w:firstLine="540"/>
        <w:jc w:val="both"/>
      </w:pPr>
      <w:r>
        <w:rPr>
          <w:sz w:val="20"/>
        </w:rPr>
        <w:t xml:space="preserve">6. В </w:t>
      </w:r>
      <w:hyperlink w:history="0" w:anchor="P6944" w:tooltip="5">
        <w:r>
          <w:rPr>
            <w:sz w:val="20"/>
            <w:color w:val="0000ff"/>
          </w:rPr>
          <w:t xml:space="preserve">графе 5</w:t>
        </w:r>
      </w:hyperlink>
      <w:r>
        <w:rPr>
          <w:sz w:val="20"/>
        </w:rPr>
        <w:t xml:space="preserve"> указывается количество без применения коэффициентов:</w:t>
      </w:r>
    </w:p>
    <w:p>
      <w:pPr>
        <w:pStyle w:val="0"/>
        <w:spacing w:before="200" w:line-rule="auto"/>
        <w:ind w:firstLine="540"/>
        <w:jc w:val="both"/>
      </w:pPr>
      <w:r>
        <w:rPr>
          <w:sz w:val="20"/>
        </w:rPr>
        <w:t xml:space="preserve">в строках сметных норм - количество в соответствии с проектной и (или) иной технической документацией и с учетом единицы измерения сметной нормы;</w:t>
      </w:r>
    </w:p>
    <w:p>
      <w:pPr>
        <w:pStyle w:val="0"/>
        <w:spacing w:before="200" w:line-rule="auto"/>
        <w:ind w:firstLine="540"/>
        <w:jc w:val="both"/>
      </w:pPr>
      <w:r>
        <w:rPr>
          <w:sz w:val="20"/>
        </w:rPr>
        <w:t xml:space="preserve">для строительных ресурсов - количество на единицу изменения сметной нормы в соответствии с данными, включенными в ФРСН;</w:t>
      </w:r>
    </w:p>
    <w:p>
      <w:pPr>
        <w:pStyle w:val="0"/>
        <w:spacing w:before="200" w:line-rule="auto"/>
        <w:ind w:firstLine="540"/>
        <w:jc w:val="both"/>
      </w:pPr>
      <w:r>
        <w:rPr>
          <w:sz w:val="20"/>
        </w:rPr>
        <w:t xml:space="preserve">для строительных ресурсов, расход которых в сметной норме приведен с литерой "П" или строительных ресурсов, расход которых не приведен в норме, </w:t>
      </w:r>
      <w:hyperlink w:history="0" w:anchor="P6944" w:tooltip="5">
        <w:r>
          <w:rPr>
            <w:sz w:val="20"/>
            <w:color w:val="0000ff"/>
          </w:rPr>
          <w:t xml:space="preserve">графа 5</w:t>
        </w:r>
      </w:hyperlink>
      <w:r>
        <w:rPr>
          <w:sz w:val="20"/>
        </w:rPr>
        <w:t xml:space="preserve"> не заполняется;</w:t>
      </w:r>
    </w:p>
    <w:p>
      <w:pPr>
        <w:pStyle w:val="0"/>
        <w:spacing w:before="200" w:line-rule="auto"/>
        <w:ind w:firstLine="540"/>
        <w:jc w:val="both"/>
      </w:pPr>
      <w:r>
        <w:rPr>
          <w:sz w:val="20"/>
        </w:rPr>
        <w:t xml:space="preserve">в строках </w:t>
      </w:r>
      <w:hyperlink w:history="0" w:anchor="P7280" w:tooltip="НР &lt;вид работ&gt;">
        <w:r>
          <w:rPr>
            <w:sz w:val="20"/>
            <w:color w:val="0000ff"/>
          </w:rPr>
          <w:t xml:space="preserve">НР</w:t>
        </w:r>
      </w:hyperlink>
      <w:r>
        <w:rPr>
          <w:sz w:val="20"/>
        </w:rPr>
        <w:t xml:space="preserve"> и </w:t>
      </w:r>
      <w:hyperlink w:history="0" w:anchor="P7290" w:tooltip="СП &lt;вид работ&gt;">
        <w:r>
          <w:rPr>
            <w:sz w:val="20"/>
            <w:color w:val="0000ff"/>
          </w:rPr>
          <w:t xml:space="preserve">СП</w:t>
        </w:r>
      </w:hyperlink>
      <w:r>
        <w:rPr>
          <w:sz w:val="20"/>
        </w:rPr>
        <w:t xml:space="preserve"> - значение нормативов накладных расходов и сметной прибыли в соответствии со сметными нормативами, сведения о которых включены в ФРСН.</w:t>
      </w:r>
    </w:p>
    <w:p>
      <w:pPr>
        <w:pStyle w:val="0"/>
        <w:spacing w:before="200" w:line-rule="auto"/>
        <w:ind w:firstLine="540"/>
        <w:jc w:val="both"/>
      </w:pPr>
      <w:r>
        <w:rPr>
          <w:sz w:val="20"/>
        </w:rPr>
        <w:t xml:space="preserve">7. В </w:t>
      </w:r>
      <w:hyperlink w:history="0" w:anchor="P6945" w:tooltip="6">
        <w:r>
          <w:rPr>
            <w:sz w:val="20"/>
            <w:color w:val="0000ff"/>
          </w:rPr>
          <w:t xml:space="preserve">графе 6</w:t>
        </w:r>
      </w:hyperlink>
      <w:r>
        <w:rPr>
          <w:sz w:val="20"/>
        </w:rPr>
        <w:t xml:space="preserve"> указывается результирующее значение коэффициента к количеству, указываемому в </w:t>
      </w:r>
      <w:hyperlink w:history="0" w:anchor="P6944" w:tooltip="5">
        <w:r>
          <w:rPr>
            <w:sz w:val="20"/>
            <w:color w:val="0000ff"/>
          </w:rPr>
          <w:t xml:space="preserve">графе 5</w:t>
        </w:r>
      </w:hyperlink>
      <w:r>
        <w:rPr>
          <w:sz w:val="20"/>
        </w:rPr>
        <w:t xml:space="preserve">, полученное как произведение всех применяемых коэффициентов, с округлением до семи знаков после запятой по итогу перемножения.</w:t>
      </w:r>
    </w:p>
    <w:p>
      <w:pPr>
        <w:pStyle w:val="0"/>
        <w:spacing w:before="200" w:line-rule="auto"/>
        <w:ind w:firstLine="540"/>
        <w:jc w:val="both"/>
      </w:pPr>
      <w:r>
        <w:rPr>
          <w:sz w:val="20"/>
        </w:rPr>
        <w:t xml:space="preserve">К примерам коэффициентов к количеству сметной нормы относятся коэффициенты, учитывающие изменение толщины стяжек, покрытий, количества слоев гидроизоляции, огрунтовки, окраски и тому подобное.</w:t>
      </w:r>
    </w:p>
    <w:p>
      <w:pPr>
        <w:pStyle w:val="0"/>
        <w:spacing w:before="200" w:line-rule="auto"/>
        <w:ind w:firstLine="540"/>
        <w:jc w:val="both"/>
      </w:pPr>
      <w:r>
        <w:rPr>
          <w:sz w:val="20"/>
        </w:rPr>
        <w:t xml:space="preserve">8. В </w:t>
      </w:r>
      <w:hyperlink w:history="0" w:anchor="P6946" w:tooltip="7">
        <w:r>
          <w:rPr>
            <w:sz w:val="20"/>
            <w:color w:val="0000ff"/>
          </w:rPr>
          <w:t xml:space="preserve">графе 7</w:t>
        </w:r>
      </w:hyperlink>
      <w:r>
        <w:rPr>
          <w:sz w:val="20"/>
        </w:rPr>
        <w:t xml:space="preserve"> указываются:</w:t>
      </w:r>
    </w:p>
    <w:p>
      <w:pPr>
        <w:pStyle w:val="0"/>
        <w:spacing w:before="200" w:line-rule="auto"/>
        <w:ind w:firstLine="540"/>
        <w:jc w:val="both"/>
      </w:pPr>
      <w:r>
        <w:rPr>
          <w:sz w:val="20"/>
        </w:rPr>
        <w:t xml:space="preserve">результирующее количество строительных ресурсов на объем, указанный в </w:t>
      </w:r>
      <w:hyperlink w:history="0" w:anchor="P6944" w:tooltip="5">
        <w:r>
          <w:rPr>
            <w:sz w:val="20"/>
            <w:color w:val="0000ff"/>
          </w:rPr>
          <w:t xml:space="preserve">графе 5</w:t>
        </w:r>
      </w:hyperlink>
      <w:r>
        <w:rPr>
          <w:sz w:val="20"/>
        </w:rPr>
        <w:t xml:space="preserve"> строки сметной нормы, с учетом коэффициента, приведенного в </w:t>
      </w:r>
      <w:hyperlink w:history="0" w:anchor="P6945" w:tooltip="6">
        <w:r>
          <w:rPr>
            <w:sz w:val="20"/>
            <w:color w:val="0000ff"/>
          </w:rPr>
          <w:t xml:space="preserve">графе 6</w:t>
        </w:r>
      </w:hyperlink>
      <w:r>
        <w:rPr>
          <w:sz w:val="20"/>
        </w:rPr>
        <w:t xml:space="preserve">;</w:t>
      </w:r>
    </w:p>
    <w:p>
      <w:pPr>
        <w:pStyle w:val="0"/>
        <w:spacing w:before="200" w:line-rule="auto"/>
        <w:ind w:firstLine="540"/>
        <w:jc w:val="both"/>
      </w:pPr>
      <w:r>
        <w:rPr>
          <w:sz w:val="20"/>
        </w:rPr>
        <w:t xml:space="preserve">для строительных ресурсов, расход которых в сметной норме приведен с литерой "П" или строительных ресурсов, расход которых не приведен в норме, в </w:t>
      </w:r>
      <w:hyperlink w:history="0" w:anchor="P6946" w:tooltip="7">
        <w:r>
          <w:rPr>
            <w:sz w:val="20"/>
            <w:color w:val="0000ff"/>
          </w:rPr>
          <w:t xml:space="preserve">графе 7</w:t>
        </w:r>
      </w:hyperlink>
      <w:r>
        <w:rPr>
          <w:sz w:val="20"/>
        </w:rPr>
        <w:t xml:space="preserve"> указывается количество в соответствии с проектной и (или) иной технической документацией;</w:t>
      </w:r>
    </w:p>
    <w:p>
      <w:pPr>
        <w:pStyle w:val="0"/>
        <w:spacing w:before="200" w:line-rule="auto"/>
        <w:ind w:firstLine="540"/>
        <w:jc w:val="both"/>
      </w:pPr>
      <w:r>
        <w:rPr>
          <w:sz w:val="20"/>
        </w:rPr>
        <w:t xml:space="preserve">в строках </w:t>
      </w:r>
      <w:hyperlink w:history="0" w:anchor="P7280" w:tooltip="НР &lt;вид работ&gt;">
        <w:r>
          <w:rPr>
            <w:sz w:val="20"/>
            <w:color w:val="0000ff"/>
          </w:rPr>
          <w:t xml:space="preserve">НР</w:t>
        </w:r>
      </w:hyperlink>
      <w:r>
        <w:rPr>
          <w:sz w:val="20"/>
        </w:rPr>
        <w:t xml:space="preserve"> и </w:t>
      </w:r>
      <w:hyperlink w:history="0" w:anchor="P7290" w:tooltip="СП &lt;вид работ&gt;">
        <w:r>
          <w:rPr>
            <w:sz w:val="20"/>
            <w:color w:val="0000ff"/>
          </w:rPr>
          <w:t xml:space="preserve">СП</w:t>
        </w:r>
      </w:hyperlink>
      <w:r>
        <w:rPr>
          <w:sz w:val="20"/>
        </w:rPr>
        <w:t xml:space="preserve"> - норматив в процентах с учетом коэффициента, приведенного в </w:t>
      </w:r>
      <w:hyperlink w:history="0" w:anchor="P6945" w:tooltip="6">
        <w:r>
          <w:rPr>
            <w:sz w:val="20"/>
            <w:color w:val="0000ff"/>
          </w:rPr>
          <w:t xml:space="preserve">графе 6</w:t>
        </w:r>
      </w:hyperlink>
      <w:r>
        <w:rPr>
          <w:sz w:val="20"/>
        </w:rPr>
        <w:t xml:space="preserve">.</w:t>
      </w:r>
    </w:p>
    <w:p>
      <w:pPr>
        <w:pStyle w:val="0"/>
        <w:spacing w:before="200" w:line-rule="auto"/>
        <w:ind w:firstLine="540"/>
        <w:jc w:val="both"/>
      </w:pPr>
      <w:r>
        <w:rPr>
          <w:sz w:val="20"/>
        </w:rPr>
        <w:t xml:space="preserve">Результирующие количественные показатели, в том числе нормативы </w:t>
      </w:r>
      <w:hyperlink w:history="0" w:anchor="P7280" w:tooltip="НР &lt;вид работ&gt;">
        <w:r>
          <w:rPr>
            <w:sz w:val="20"/>
            <w:color w:val="0000ff"/>
          </w:rPr>
          <w:t xml:space="preserve">НР</w:t>
        </w:r>
      </w:hyperlink>
      <w:r>
        <w:rPr>
          <w:sz w:val="20"/>
        </w:rPr>
        <w:t xml:space="preserve"> и </w:t>
      </w:r>
      <w:hyperlink w:history="0" w:anchor="P7290" w:tooltip="СП &lt;вид работ&gt;">
        <w:r>
          <w:rPr>
            <w:sz w:val="20"/>
            <w:color w:val="0000ff"/>
          </w:rPr>
          <w:t xml:space="preserve">СП</w:t>
        </w:r>
      </w:hyperlink>
      <w:r>
        <w:rPr>
          <w:sz w:val="20"/>
        </w:rPr>
        <w:t xml:space="preserve"> в процентах с учетом коэффициентов, округляются до семи знаков после запятой по итогу перемножения.</w:t>
      </w:r>
    </w:p>
    <w:p>
      <w:pPr>
        <w:pStyle w:val="0"/>
        <w:spacing w:before="200" w:line-rule="auto"/>
        <w:ind w:firstLine="540"/>
        <w:jc w:val="both"/>
      </w:pPr>
      <w:r>
        <w:rPr>
          <w:sz w:val="20"/>
        </w:rPr>
        <w:t xml:space="preserve">9. В </w:t>
      </w:r>
      <w:hyperlink w:history="0" w:anchor="P6947" w:tooltip="8">
        <w:r>
          <w:rPr>
            <w:sz w:val="20"/>
            <w:color w:val="0000ff"/>
          </w:rPr>
          <w:t xml:space="preserve">графе 8</w:t>
        </w:r>
      </w:hyperlink>
      <w:r>
        <w:rPr>
          <w:sz w:val="20"/>
        </w:rPr>
        <w:t xml:space="preserve"> указывается сметная стоимость на единицу в текущем уровне цен, которая определятся:</w:t>
      </w:r>
    </w:p>
    <w:p>
      <w:pPr>
        <w:pStyle w:val="0"/>
        <w:spacing w:before="200" w:line-rule="auto"/>
        <w:ind w:firstLine="540"/>
        <w:jc w:val="both"/>
      </w:pPr>
      <w:r>
        <w:rPr>
          <w:sz w:val="20"/>
        </w:rPr>
        <w:t xml:space="preserve">а) в строках строительных ресурсов, информация о текущих сметных ценах которых размещена в ФГИС ЦС - на основании данных ФГИС ЦС;</w:t>
      </w:r>
    </w:p>
    <w:p>
      <w:pPr>
        <w:pStyle w:val="0"/>
        <w:spacing w:before="200" w:line-rule="auto"/>
        <w:ind w:firstLine="540"/>
        <w:jc w:val="both"/>
      </w:pPr>
      <w:r>
        <w:rPr>
          <w:sz w:val="20"/>
        </w:rPr>
        <w:t xml:space="preserve">б) в строках строительных ресурсов и затрат, информация о текущих сметных ценах которых отсутствует в ФГИС ЦС -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7" w:tooltip="23. Материальным ресурсам и оборудованию, отпускная цена которых в текущем уровне цен определена в соответствии с положениями пунктов 13 - 21 Методики, присваивается код, состоящий из буквенного обозначения &quot;ТЦ&quot; и пяти групп цифр: первая группа цифр соответствует коду группы Классификатора строительных ресурсов (далее - КСР), состоящей из четырех групп цифр, к которой относится строительный ресурс, вторая - коду субъекта Российской Федерации, на территории которого находится производитель (поставщик), тр...">
        <w:r>
          <w:rPr>
            <w:sz w:val="20"/>
            <w:color w:val="0000ff"/>
          </w:rPr>
          <w:t xml:space="preserve">23</w:t>
        </w:r>
      </w:hyperlink>
      <w:r>
        <w:rPr>
          <w:sz w:val="20"/>
        </w:rPr>
        <w:t xml:space="preserve"> Методики;</w:t>
      </w:r>
    </w:p>
    <w:p>
      <w:pPr>
        <w:pStyle w:val="0"/>
        <w:spacing w:before="200" w:line-rule="auto"/>
        <w:ind w:firstLine="540"/>
        <w:jc w:val="both"/>
      </w:pPr>
      <w:r>
        <w:rPr>
          <w:sz w:val="20"/>
        </w:rPr>
        <w:t xml:space="preserve">в) в строках перевозки, включая дополнительную, учитываемую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 на основании данных ФГИС ЦС;</w:t>
      </w:r>
    </w:p>
    <w:p>
      <w:pPr>
        <w:pStyle w:val="0"/>
        <w:spacing w:before="200" w:line-rule="auto"/>
        <w:ind w:firstLine="540"/>
        <w:jc w:val="both"/>
      </w:pPr>
      <w:r>
        <w:rPr>
          <w:sz w:val="20"/>
        </w:rPr>
        <w:t xml:space="preserve">г) в </w:t>
      </w:r>
      <w:hyperlink w:history="0" w:anchor="P7300" w:tooltip="Всего по позиции">
        <w:r>
          <w:rPr>
            <w:sz w:val="20"/>
            <w:color w:val="0000ff"/>
          </w:rPr>
          <w:t xml:space="preserve">строке</w:t>
        </w:r>
      </w:hyperlink>
      <w:r>
        <w:rPr>
          <w:sz w:val="20"/>
        </w:rPr>
        <w:t xml:space="preserve"> "Всего по позиции" - как частное от деления значений, указанных в графе 12 </w:t>
      </w:r>
      <w:hyperlink w:history="0" w:anchor="P7300" w:tooltip="Всего по позиции">
        <w:r>
          <w:rPr>
            <w:sz w:val="20"/>
            <w:color w:val="0000ff"/>
          </w:rPr>
          <w:t xml:space="preserve">строки</w:t>
        </w:r>
      </w:hyperlink>
      <w:r>
        <w:rPr>
          <w:sz w:val="20"/>
        </w:rPr>
        <w:t xml:space="preserve"> "Всего по позиции" и </w:t>
      </w:r>
      <w:hyperlink w:history="0" w:anchor="P6944" w:tooltip="5">
        <w:r>
          <w:rPr>
            <w:sz w:val="20"/>
            <w:color w:val="0000ff"/>
          </w:rPr>
          <w:t xml:space="preserve">графы 5</w:t>
        </w:r>
      </w:hyperlink>
      <w:r>
        <w:rPr>
          <w:sz w:val="20"/>
        </w:rPr>
        <w:t xml:space="preserve"> строки с наименованием сметной нормы.</w:t>
      </w:r>
    </w:p>
    <w:p>
      <w:pPr>
        <w:pStyle w:val="0"/>
        <w:spacing w:before="200" w:line-rule="auto"/>
        <w:ind w:firstLine="540"/>
        <w:jc w:val="both"/>
      </w:pPr>
      <w:r>
        <w:rPr>
          <w:sz w:val="20"/>
        </w:rPr>
        <w:t xml:space="preserve">10. В </w:t>
      </w:r>
      <w:hyperlink w:history="0" w:anchor="P6948" w:tooltip="9">
        <w:r>
          <w:rPr>
            <w:sz w:val="20"/>
            <w:color w:val="0000ff"/>
          </w:rPr>
          <w:t xml:space="preserve">графе 9</w:t>
        </w:r>
      </w:hyperlink>
      <w:r>
        <w:rPr>
          <w:sz w:val="20"/>
        </w:rPr>
        <w:t xml:space="preserve"> указывается результирующее значение коэффициента (в том числе с учетом надбавок к стоимости, выраженных в относительных величинах) к стоимостным показателям, полученное как произведение всех применяемых коэффициентов, при этом округление производится до семи знаков после запятой по результату перемножения.</w:t>
      </w:r>
    </w:p>
    <w:p>
      <w:pPr>
        <w:pStyle w:val="0"/>
        <w:spacing w:before="200" w:line-rule="auto"/>
        <w:ind w:firstLine="540"/>
        <w:jc w:val="both"/>
      </w:pPr>
      <w:r>
        <w:rPr>
          <w:sz w:val="20"/>
        </w:rPr>
        <w:t xml:space="preserve">11. В </w:t>
      </w:r>
      <w:hyperlink w:history="0" w:anchor="P6949" w:tooltip="10">
        <w:r>
          <w:rPr>
            <w:sz w:val="20"/>
            <w:color w:val="0000ff"/>
          </w:rPr>
          <w:t xml:space="preserve">графе 10</w:t>
        </w:r>
      </w:hyperlink>
      <w:r>
        <w:rPr>
          <w:sz w:val="20"/>
        </w:rPr>
        <w:t xml:space="preserve"> каждой позиции сметного расчета указывается сметная стоимость всего в текущем уровне цен, определенная:</w:t>
      </w:r>
    </w:p>
    <w:p>
      <w:pPr>
        <w:pStyle w:val="0"/>
        <w:spacing w:before="200" w:line-rule="auto"/>
        <w:ind w:firstLine="540"/>
        <w:jc w:val="both"/>
      </w:pPr>
      <w:r>
        <w:rPr>
          <w:sz w:val="20"/>
        </w:rPr>
        <w:t xml:space="preserve">а) в строках строительных ресурсов, перевозки, включая дополнительную, учитываемую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прочих затрат - как произведение </w:t>
      </w:r>
      <w:hyperlink w:history="0" w:anchor="P6946" w:tooltip="7">
        <w:r>
          <w:rPr>
            <w:sz w:val="20"/>
            <w:color w:val="0000ff"/>
          </w:rPr>
          <w:t xml:space="preserve">граф 7</w:t>
        </w:r>
      </w:hyperlink>
      <w:r>
        <w:rPr>
          <w:sz w:val="20"/>
        </w:rPr>
        <w:t xml:space="preserve">, </w:t>
      </w:r>
      <w:hyperlink w:history="0" w:anchor="P6949" w:tooltip="10">
        <w:r>
          <w:rPr>
            <w:sz w:val="20"/>
            <w:color w:val="0000ff"/>
          </w:rPr>
          <w:t xml:space="preserve">10</w:t>
        </w:r>
      </w:hyperlink>
      <w:r>
        <w:rPr>
          <w:sz w:val="20"/>
        </w:rPr>
        <w:t xml:space="preserve"> и 11;</w:t>
      </w:r>
    </w:p>
    <w:p>
      <w:pPr>
        <w:pStyle w:val="0"/>
        <w:spacing w:before="200" w:line-rule="auto"/>
        <w:ind w:firstLine="540"/>
        <w:jc w:val="both"/>
      </w:pPr>
      <w:r>
        <w:rPr>
          <w:sz w:val="20"/>
        </w:rPr>
        <w:t xml:space="preserve">б) в </w:t>
      </w:r>
      <w:hyperlink w:history="0" w:anchor="P6990" w:tooltip="ОТ (ЗТ)">
        <w:r>
          <w:rPr>
            <w:sz w:val="20"/>
            <w:color w:val="0000ff"/>
          </w:rPr>
          <w:t xml:space="preserve">строках ОТ</w:t>
        </w:r>
      </w:hyperlink>
      <w:r>
        <w:rPr>
          <w:sz w:val="20"/>
        </w:rPr>
        <w:t xml:space="preserve">, </w:t>
      </w:r>
      <w:hyperlink w:history="0" w:anchor="P7060" w:tooltip="ЭМ">
        <w:r>
          <w:rPr>
            <w:sz w:val="20"/>
            <w:color w:val="0000ff"/>
          </w:rPr>
          <w:t xml:space="preserve">ЭМ</w:t>
        </w:r>
      </w:hyperlink>
      <w:r>
        <w:rPr>
          <w:sz w:val="20"/>
        </w:rPr>
        <w:t xml:space="preserve">, </w:t>
      </w:r>
      <w:hyperlink w:history="0" w:anchor="P7070" w:tooltip="ОТм (ЗТм)">
        <w:r>
          <w:rPr>
            <w:sz w:val="20"/>
            <w:color w:val="0000ff"/>
          </w:rPr>
          <w:t xml:space="preserve">ОТм(ЗТм)</w:t>
        </w:r>
      </w:hyperlink>
      <w:r>
        <w:rPr>
          <w:sz w:val="20"/>
        </w:rPr>
        <w:t xml:space="preserve"> и </w:t>
      </w:r>
      <w:hyperlink w:history="0" w:anchor="P7120" w:tooltip="М">
        <w:r>
          <w:rPr>
            <w:sz w:val="20"/>
            <w:color w:val="0000ff"/>
          </w:rPr>
          <w:t xml:space="preserve">М</w:t>
        </w:r>
      </w:hyperlink>
      <w:r>
        <w:rPr>
          <w:sz w:val="20"/>
        </w:rPr>
        <w:t xml:space="preserve"> - суммированием значений </w:t>
      </w:r>
      <w:hyperlink w:history="0" w:anchor="P6949" w:tooltip="10">
        <w:r>
          <w:rPr>
            <w:sz w:val="20"/>
            <w:color w:val="0000ff"/>
          </w:rPr>
          <w:t xml:space="preserve">графы 10</w:t>
        </w:r>
      </w:hyperlink>
      <w:r>
        <w:rPr>
          <w:sz w:val="20"/>
        </w:rPr>
        <w:t xml:space="preserve"> соответствующих элементов сметной стоимости;</w:t>
      </w:r>
    </w:p>
    <w:p>
      <w:pPr>
        <w:pStyle w:val="0"/>
        <w:spacing w:before="200" w:line-rule="auto"/>
        <w:ind w:firstLine="540"/>
        <w:jc w:val="both"/>
      </w:pPr>
      <w:r>
        <w:rPr>
          <w:sz w:val="20"/>
        </w:rPr>
        <w:t xml:space="preserve">в) в </w:t>
      </w:r>
      <w:hyperlink w:history="0" w:anchor="P7270" w:tooltip="ФОТ">
        <w:r>
          <w:rPr>
            <w:sz w:val="20"/>
            <w:color w:val="0000ff"/>
          </w:rPr>
          <w:t xml:space="preserve">строке ФОТ</w:t>
        </w:r>
      </w:hyperlink>
      <w:r>
        <w:rPr>
          <w:sz w:val="20"/>
        </w:rPr>
        <w:t xml:space="preserve"> - суммированием значений </w:t>
      </w:r>
      <w:hyperlink w:history="0" w:anchor="P6949" w:tooltip="10">
        <w:r>
          <w:rPr>
            <w:sz w:val="20"/>
            <w:color w:val="0000ff"/>
          </w:rPr>
          <w:t xml:space="preserve">графы 10</w:t>
        </w:r>
      </w:hyperlink>
      <w:r>
        <w:rPr>
          <w:sz w:val="20"/>
        </w:rPr>
        <w:t xml:space="preserve"> </w:t>
      </w:r>
      <w:hyperlink w:history="0" w:anchor="P6990" w:tooltip="ОТ (ЗТ)">
        <w:r>
          <w:rPr>
            <w:sz w:val="20"/>
            <w:color w:val="0000ff"/>
          </w:rPr>
          <w:t xml:space="preserve">строк ОТ</w:t>
        </w:r>
      </w:hyperlink>
      <w:r>
        <w:rPr>
          <w:sz w:val="20"/>
        </w:rPr>
        <w:t xml:space="preserve"> и </w:t>
      </w:r>
      <w:hyperlink w:history="0" w:anchor="P7070" w:tooltip="ОТм (ЗТм)">
        <w:r>
          <w:rPr>
            <w:sz w:val="20"/>
            <w:color w:val="0000ff"/>
          </w:rPr>
          <w:t xml:space="preserve">ОТм(ЗТм)</w:t>
        </w:r>
      </w:hyperlink>
      <w:r>
        <w:rPr>
          <w:sz w:val="20"/>
        </w:rPr>
        <w:t xml:space="preserve">;</w:t>
      </w:r>
    </w:p>
    <w:p>
      <w:pPr>
        <w:pStyle w:val="0"/>
        <w:spacing w:before="200" w:line-rule="auto"/>
        <w:ind w:firstLine="540"/>
        <w:jc w:val="both"/>
      </w:pPr>
      <w:r>
        <w:rPr>
          <w:sz w:val="20"/>
        </w:rPr>
        <w:t xml:space="preserve">г) в </w:t>
      </w:r>
      <w:hyperlink w:history="0" w:anchor="P7170" w:tooltip="Итого прямые затраты">
        <w:r>
          <w:rPr>
            <w:sz w:val="20"/>
            <w:color w:val="0000ff"/>
          </w:rPr>
          <w:t xml:space="preserve">строке</w:t>
        </w:r>
      </w:hyperlink>
      <w:r>
        <w:rPr>
          <w:sz w:val="20"/>
        </w:rPr>
        <w:t xml:space="preserve"> "Итого прямые затраты" - суммированием </w:t>
      </w:r>
      <w:hyperlink w:history="0" w:anchor="P6990" w:tooltip="ОТ (ЗТ)">
        <w:r>
          <w:rPr>
            <w:sz w:val="20"/>
            <w:color w:val="0000ff"/>
          </w:rPr>
          <w:t xml:space="preserve">строк ОТ</w:t>
        </w:r>
      </w:hyperlink>
      <w:r>
        <w:rPr>
          <w:sz w:val="20"/>
        </w:rPr>
        <w:t xml:space="preserve">, </w:t>
      </w:r>
      <w:hyperlink w:history="0" w:anchor="P7060" w:tooltip="ЭМ">
        <w:r>
          <w:rPr>
            <w:sz w:val="20"/>
            <w:color w:val="0000ff"/>
          </w:rPr>
          <w:t xml:space="preserve">ЭМ</w:t>
        </w:r>
      </w:hyperlink>
      <w:r>
        <w:rPr>
          <w:sz w:val="20"/>
        </w:rPr>
        <w:t xml:space="preserve">, </w:t>
      </w:r>
      <w:hyperlink w:history="0" w:anchor="P7070" w:tooltip="ОТм (ЗТм)">
        <w:r>
          <w:rPr>
            <w:sz w:val="20"/>
            <w:color w:val="0000ff"/>
          </w:rPr>
          <w:t xml:space="preserve">ОТм(ЗТм)</w:t>
        </w:r>
      </w:hyperlink>
      <w:r>
        <w:rPr>
          <w:sz w:val="20"/>
        </w:rPr>
        <w:t xml:space="preserve"> и </w:t>
      </w:r>
      <w:hyperlink w:history="0" w:anchor="P7120" w:tooltip="М">
        <w:r>
          <w:rPr>
            <w:sz w:val="20"/>
            <w:color w:val="0000ff"/>
          </w:rPr>
          <w:t xml:space="preserve">М</w:t>
        </w:r>
      </w:hyperlink>
      <w:r>
        <w:rPr>
          <w:sz w:val="20"/>
        </w:rPr>
        <w:t xml:space="preserve"> по </w:t>
      </w:r>
      <w:hyperlink w:history="0" w:anchor="P6949" w:tooltip="10">
        <w:r>
          <w:rPr>
            <w:sz w:val="20"/>
            <w:color w:val="0000ff"/>
          </w:rPr>
          <w:t xml:space="preserve">графе 10</w:t>
        </w:r>
      </w:hyperlink>
      <w:r>
        <w:rPr>
          <w:sz w:val="20"/>
        </w:rPr>
        <w:t xml:space="preserve">;</w:t>
      </w:r>
    </w:p>
    <w:p>
      <w:pPr>
        <w:pStyle w:val="0"/>
        <w:spacing w:before="200" w:line-rule="auto"/>
        <w:ind w:firstLine="540"/>
        <w:jc w:val="both"/>
      </w:pPr>
      <w:r>
        <w:rPr>
          <w:sz w:val="20"/>
        </w:rPr>
        <w:t xml:space="preserve">д) в </w:t>
      </w:r>
      <w:hyperlink w:history="0" w:anchor="P7180" w:tooltip="Вспомогательные ненормируемые материальные ресурсы">
        <w:r>
          <w:rPr>
            <w:sz w:val="20"/>
            <w:color w:val="0000ff"/>
          </w:rPr>
          <w:t xml:space="preserve">строке</w:t>
        </w:r>
      </w:hyperlink>
      <w:r>
        <w:rPr>
          <w:sz w:val="20"/>
        </w:rPr>
        <w:t xml:space="preserve"> "Вспомогательные ненормируемые материальные ресурсы" - расчетом в соответствии с положениями </w:t>
      </w:r>
      <w:hyperlink w:history="0" w:anchor="P291" w:tooltip="75. При определении сметной стоимости работ с использованием сметных норм на монтаж оборудования (далее - ГЭСНм) и капитальный ремонт оборудования (далее - ГЭСНмр) дополнительно следует учитывать сметную стоимость вспомогательных ненормируемых материальных ресурсов, не учтенных в указанных сметных нормах (например, ветошь, бумага, керосин, бензин, смазочное масло, солидол) в следующих размерах:">
        <w:r>
          <w:rPr>
            <w:sz w:val="20"/>
            <w:color w:val="0000ff"/>
          </w:rPr>
          <w:t xml:space="preserve">пункта 75</w:t>
        </w:r>
      </w:hyperlink>
      <w:r>
        <w:rPr>
          <w:sz w:val="20"/>
        </w:rPr>
        <w:t xml:space="preserve"> Методики;</w:t>
      </w:r>
    </w:p>
    <w:p>
      <w:pPr>
        <w:pStyle w:val="0"/>
        <w:spacing w:before="200" w:line-rule="auto"/>
        <w:ind w:firstLine="540"/>
        <w:jc w:val="both"/>
      </w:pPr>
      <w:r>
        <w:rPr>
          <w:sz w:val="20"/>
        </w:rPr>
        <w:t xml:space="preserve">е) в строках </w:t>
      </w:r>
      <w:hyperlink w:history="0" w:anchor="P7280" w:tooltip="НР &lt;вид работ&gt;">
        <w:r>
          <w:rPr>
            <w:sz w:val="20"/>
            <w:color w:val="0000ff"/>
          </w:rPr>
          <w:t xml:space="preserve">НР</w:t>
        </w:r>
      </w:hyperlink>
      <w:r>
        <w:rPr>
          <w:sz w:val="20"/>
        </w:rPr>
        <w:t xml:space="preserve"> и </w:t>
      </w:r>
      <w:hyperlink w:history="0" w:anchor="P7290" w:tooltip="СП &lt;вид работ&gt;">
        <w:r>
          <w:rPr>
            <w:sz w:val="20"/>
            <w:color w:val="0000ff"/>
          </w:rPr>
          <w:t xml:space="preserve">СП</w:t>
        </w:r>
      </w:hyperlink>
      <w:r>
        <w:rPr>
          <w:sz w:val="20"/>
        </w:rPr>
        <w:t xml:space="preserve"> - расчетом в соответствии со сметными нормативами, сведения о которых включены в ФРСН.</w:t>
      </w:r>
    </w:p>
    <w:p>
      <w:pPr>
        <w:pStyle w:val="0"/>
        <w:spacing w:before="200" w:line-rule="auto"/>
        <w:ind w:firstLine="540"/>
        <w:jc w:val="both"/>
      </w:pPr>
      <w:r>
        <w:rPr>
          <w:sz w:val="20"/>
        </w:rPr>
        <w:t xml:space="preserve">Итоговое значение по позиции определяется суммированием </w:t>
      </w:r>
      <w:hyperlink w:history="0" w:anchor="P7170" w:tooltip="Итого прямые затраты">
        <w:r>
          <w:rPr>
            <w:sz w:val="20"/>
            <w:color w:val="0000ff"/>
          </w:rPr>
          <w:t xml:space="preserve">строк</w:t>
        </w:r>
      </w:hyperlink>
      <w:r>
        <w:rPr>
          <w:sz w:val="20"/>
        </w:rPr>
        <w:t xml:space="preserve"> "Итого прямые затраты", </w:t>
      </w:r>
      <w:hyperlink w:history="0" w:anchor="P7280" w:tooltip="НР &lt;вид работ&gt;">
        <w:r>
          <w:rPr>
            <w:sz w:val="20"/>
            <w:color w:val="0000ff"/>
          </w:rPr>
          <w:t xml:space="preserve">НР</w:t>
        </w:r>
      </w:hyperlink>
      <w:r>
        <w:rPr>
          <w:sz w:val="20"/>
        </w:rPr>
        <w:t xml:space="preserve">, </w:t>
      </w:r>
      <w:hyperlink w:history="0" w:anchor="P7290" w:tooltip="СП &lt;вид работ&gt;">
        <w:r>
          <w:rPr>
            <w:sz w:val="20"/>
            <w:color w:val="0000ff"/>
          </w:rPr>
          <w:t xml:space="preserve">СП</w:t>
        </w:r>
      </w:hyperlink>
      <w:r>
        <w:rPr>
          <w:sz w:val="20"/>
        </w:rPr>
        <w:t xml:space="preserve">, а также неучтенных строительных ресурсов и дополнительных затрат на перевозку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 приведенных в позиции сметного расчета до </w:t>
      </w:r>
      <w:hyperlink w:history="0" w:anchor="P7270" w:tooltip="ФОТ">
        <w:r>
          <w:rPr>
            <w:sz w:val="20"/>
            <w:color w:val="0000ff"/>
          </w:rPr>
          <w:t xml:space="preserve">строки</w:t>
        </w:r>
      </w:hyperlink>
      <w:r>
        <w:rPr>
          <w:sz w:val="20"/>
        </w:rPr>
        <w:t xml:space="preserve"> "ФОТ". Округление значений в </w:t>
      </w:r>
      <w:hyperlink w:history="0" w:anchor="P6949" w:tooltip="10">
        <w:r>
          <w:rPr>
            <w:sz w:val="20"/>
            <w:color w:val="0000ff"/>
          </w:rPr>
          <w:t xml:space="preserve">графе 10</w:t>
        </w:r>
      </w:hyperlink>
      <w:r>
        <w:rPr>
          <w:sz w:val="20"/>
        </w:rPr>
        <w:t xml:space="preserve"> производится до двух знаков после запятой (до копеек) по итогу произведенных вычислений.</w:t>
      </w:r>
    </w:p>
    <w:p>
      <w:pPr>
        <w:pStyle w:val="0"/>
        <w:spacing w:before="200" w:line-rule="auto"/>
        <w:ind w:firstLine="540"/>
        <w:jc w:val="both"/>
      </w:pPr>
      <w:r>
        <w:rPr>
          <w:sz w:val="20"/>
        </w:rPr>
        <w:t xml:space="preserve">12. Итоговые значения по разделу определяется суммированием значений составляющих сметной стоимости раздела по </w:t>
      </w:r>
      <w:hyperlink w:history="0" w:anchor="P6949" w:tooltip="10">
        <w:r>
          <w:rPr>
            <w:sz w:val="20"/>
            <w:color w:val="0000ff"/>
          </w:rPr>
          <w:t xml:space="preserve">графе 10</w:t>
        </w:r>
      </w:hyperlink>
      <w:r>
        <w:rPr>
          <w:sz w:val="20"/>
        </w:rPr>
        <w:t xml:space="preserve">, приводятся в сметных расчетах справочно.</w:t>
      </w:r>
    </w:p>
    <w:p>
      <w:pPr>
        <w:pStyle w:val="0"/>
        <w:spacing w:before="200" w:line-rule="auto"/>
        <w:ind w:firstLine="540"/>
        <w:jc w:val="both"/>
      </w:pPr>
      <w:r>
        <w:rPr>
          <w:sz w:val="20"/>
        </w:rPr>
        <w:t xml:space="preserve">13. Итоговые значения по смете определяется суммированием значений </w:t>
      </w:r>
      <w:hyperlink w:history="0" w:anchor="P6949" w:tooltip="10">
        <w:r>
          <w:rPr>
            <w:sz w:val="20"/>
            <w:color w:val="0000ff"/>
          </w:rPr>
          <w:t xml:space="preserve">(графа 10)</w:t>
        </w:r>
      </w:hyperlink>
      <w:r>
        <w:rPr>
          <w:sz w:val="20"/>
        </w:rPr>
        <w:t xml:space="preserve"> всех составляющих сметной стоимости по смете. НР и СП в зависимости от применяемых сборников сметных норм относятся соответственно к сметной стоимости строительных, монтажных работ или прочих затрат.</w:t>
      </w:r>
    </w:p>
    <w:p>
      <w:pPr>
        <w:pStyle w:val="0"/>
        <w:spacing w:before="200" w:line-rule="auto"/>
        <w:ind w:firstLine="540"/>
        <w:jc w:val="both"/>
      </w:pPr>
      <w:r>
        <w:rPr>
          <w:sz w:val="20"/>
        </w:rPr>
        <w:t xml:space="preserve">14. Итоговые значения перевозки определяются суммированием значений соответствующих позиций по перевозке грузов (грунт, мусор и подобное), за исключением дополнительной, учитываемой в соответствии с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пунктом 63</w:t>
        </w:r>
      </w:hyperlink>
      <w:r>
        <w:rPr>
          <w:sz w:val="20"/>
        </w:rPr>
        <w:t xml:space="preserve"> Методики.</w:t>
      </w:r>
    </w:p>
    <w:p>
      <w:pPr>
        <w:pStyle w:val="0"/>
        <w:spacing w:before="200" w:line-rule="auto"/>
        <w:ind w:firstLine="540"/>
        <w:jc w:val="both"/>
      </w:pPr>
      <w:r>
        <w:rPr>
          <w:sz w:val="20"/>
        </w:rPr>
        <w:t xml:space="preserve">15. Надбавки к стоимости материальных ресурсов, выраженные в абсолютных величинах, учитываются в локальных сметных расчетах (сметах) отдельной строкой.</w:t>
      </w:r>
    </w:p>
    <w:p>
      <w:pPr>
        <w:pStyle w:val="0"/>
        <w:spacing w:before="200" w:line-rule="auto"/>
        <w:ind w:firstLine="540"/>
        <w:jc w:val="both"/>
      </w:pPr>
      <w:r>
        <w:rPr>
          <w:sz w:val="20"/>
        </w:rPr>
        <w:t xml:space="preserve">16. Итоги сметной стоимости в соответствующих реквизитах локального сметного расчета (сметы), приведенных перед таблицей локального сметного расчета (сметы), указываются в тысячах рублей с округлением до двух знаков после запятой, при этом сметная стоимость пусконаладочных работ указывается в </w:t>
      </w:r>
      <w:hyperlink w:history="0" w:anchor="P6920" w:tooltip="прочих затрат">
        <w:r>
          <w:rPr>
            <w:sz w:val="20"/>
            <w:color w:val="0000ff"/>
          </w:rPr>
          <w:t xml:space="preserve">строке</w:t>
        </w:r>
      </w:hyperlink>
      <w:r>
        <w:rPr>
          <w:sz w:val="20"/>
        </w:rPr>
        <w:t xml:space="preserve"> "Сметная стоимость прочих затрат".</w:t>
      </w:r>
    </w:p>
    <w:p>
      <w:pPr>
        <w:pStyle w:val="0"/>
        <w:spacing w:before="200" w:line-rule="auto"/>
        <w:ind w:firstLine="540"/>
        <w:jc w:val="both"/>
      </w:pPr>
      <w:r>
        <w:rPr>
          <w:sz w:val="20"/>
        </w:rPr>
        <w:t xml:space="preserve">В итогах локального сметного расчета (сметы) сметная стоимость пусконаладочных работ распределяется на затраты "вхолостую" и "под нагрузкой" и указывается справочно, расчет производится с учетом </w:t>
      </w:r>
      <w:hyperlink w:history="0" w:anchor="P9093" w:tooltip="СТРУКТУРА">
        <w:r>
          <w:rPr>
            <w:sz w:val="20"/>
            <w:color w:val="0000ff"/>
          </w:rPr>
          <w:t xml:space="preserve">Приложения N 8</w:t>
        </w:r>
      </w:hyperlink>
      <w:r>
        <w:rPr>
          <w:sz w:val="20"/>
        </w:rPr>
        <w:t xml:space="preserve"> к Методике.</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4"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9071"/>
      </w:tblGrid>
      <w:tr>
        <w:tc>
          <w:tcPr>
            <w:tcW w:w="9071" w:type="dxa"/>
            <w:tcBorders>
              <w:top w:val="nil"/>
              <w:left w:val="nil"/>
              <w:right w:val="nil"/>
            </w:tcBorders>
          </w:tcPr>
          <w:p>
            <w:pPr>
              <w:pStyle w:val="0"/>
            </w:pPr>
            <w:r>
              <w:rPr>
                <w:sz w:val="20"/>
              </w:rPr>
            </w:r>
          </w:p>
        </w:tc>
      </w:tr>
      <w:tr>
        <w:tblPrEx>
          <w:tblBorders>
            <w:insideH w:val="nil"/>
          </w:tblBorders>
        </w:tblPrEx>
        <w:tc>
          <w:tcPr>
            <w:tcW w:w="9071" w:type="dxa"/>
            <w:tcBorders>
              <w:left w:val="nil"/>
              <w:bottom w:val="nil"/>
              <w:right w:val="nil"/>
            </w:tcBorders>
          </w:tcPr>
          <w:p>
            <w:pPr>
              <w:pStyle w:val="0"/>
              <w:jc w:val="center"/>
            </w:pPr>
            <w:r>
              <w:rPr>
                <w:sz w:val="20"/>
              </w:rPr>
              <w:t xml:space="preserve">(наименование стройки)</w:t>
            </w:r>
          </w:p>
        </w:tc>
      </w:tr>
      <w:tr>
        <w:tblPrEx>
          <w:tblBorders>
            <w:insideH w:val="nil"/>
          </w:tblBorders>
        </w:tblPrEx>
        <w:tc>
          <w:tcPr>
            <w:tcW w:w="9071" w:type="dxa"/>
            <w:tcBorders>
              <w:top w:val="nil"/>
              <w:left w:val="nil"/>
              <w:right w:val="nil"/>
            </w:tcBorders>
          </w:tcPr>
          <w:p>
            <w:pPr>
              <w:pStyle w:val="0"/>
            </w:pPr>
            <w:r>
              <w:rPr>
                <w:sz w:val="20"/>
              </w:rPr>
            </w:r>
          </w:p>
        </w:tc>
      </w:tr>
      <w:tr>
        <w:tc>
          <w:tcPr>
            <w:tcW w:w="9071" w:type="dxa"/>
            <w:tcBorders>
              <w:left w:val="nil"/>
              <w:bottom w:val="nil"/>
              <w:right w:val="nil"/>
            </w:tcBorders>
          </w:tcPr>
          <w:p>
            <w:pPr>
              <w:pStyle w:val="0"/>
              <w:jc w:val="center"/>
            </w:pPr>
            <w:r>
              <w:rPr>
                <w:sz w:val="20"/>
              </w:rPr>
              <w:t xml:space="preserve">(наименование объекта капитального строительства)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8449" w:name="P8449"/>
          <w:bookmarkEnd w:id="8449"/>
          <w:p>
            <w:pPr>
              <w:pStyle w:val="0"/>
              <w:jc w:val="center"/>
            </w:pPr>
            <w:r>
              <w:rPr>
                <w:sz w:val="20"/>
              </w:rPr>
              <w:t xml:space="preserve">ОБЪЕКТНЫЙ СМЕТНЫЙ РАСЧЕТ (СМЕТА) N ОС-_____</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411"/>
        <w:gridCol w:w="820"/>
        <w:gridCol w:w="1894"/>
        <w:gridCol w:w="2369"/>
        <w:gridCol w:w="1463"/>
        <w:gridCol w:w="454"/>
        <w:gridCol w:w="624"/>
      </w:tblGrid>
      <w:tr>
        <w:tc>
          <w:tcPr>
            <w:tcW w:w="1411" w:type="dxa"/>
            <w:tcBorders>
              <w:top w:val="nil"/>
              <w:left w:val="nil"/>
              <w:bottom w:val="nil"/>
              <w:right w:val="nil"/>
            </w:tcBorders>
          </w:tcPr>
          <w:p>
            <w:pPr>
              <w:pStyle w:val="0"/>
              <w:jc w:val="both"/>
            </w:pPr>
            <w:r>
              <w:rPr>
                <w:sz w:val="20"/>
              </w:rPr>
              <w:t xml:space="preserve">Основание</w:t>
            </w:r>
          </w:p>
        </w:tc>
        <w:tc>
          <w:tcPr>
            <w:gridSpan w:val="6"/>
            <w:tcW w:w="7624" w:type="dxa"/>
            <w:tcBorders>
              <w:top w:val="nil"/>
              <w:left w:val="nil"/>
              <w:bottom w:val="single" w:sz="4"/>
              <w:right w:val="nil"/>
            </w:tcBorders>
          </w:tcPr>
          <w:p>
            <w:pPr>
              <w:pStyle w:val="0"/>
            </w:pPr>
            <w:r>
              <w:rPr>
                <w:sz w:val="20"/>
              </w:rPr>
            </w:r>
          </w:p>
        </w:tc>
      </w:tr>
      <w:tr>
        <w:tc>
          <w:tcPr>
            <w:tcW w:w="1411" w:type="dxa"/>
            <w:tcBorders>
              <w:top w:val="nil"/>
              <w:left w:val="nil"/>
              <w:bottom w:val="nil"/>
              <w:right w:val="nil"/>
            </w:tcBorders>
          </w:tcPr>
          <w:p>
            <w:pPr>
              <w:pStyle w:val="0"/>
            </w:pPr>
            <w:r>
              <w:rPr>
                <w:sz w:val="20"/>
              </w:rPr>
            </w:r>
          </w:p>
        </w:tc>
        <w:tc>
          <w:tcPr>
            <w:gridSpan w:val="6"/>
            <w:tcW w:w="7624" w:type="dxa"/>
            <w:tcBorders>
              <w:top w:val="single" w:sz="4"/>
              <w:left w:val="nil"/>
              <w:bottom w:val="nil"/>
              <w:right w:val="nil"/>
            </w:tcBorders>
          </w:tcPr>
          <w:p>
            <w:pPr>
              <w:pStyle w:val="0"/>
              <w:jc w:val="center"/>
            </w:pPr>
            <w:r>
              <w:rPr>
                <w:sz w:val="20"/>
              </w:rPr>
              <w:t xml:space="preserve">((проектная и (или) иная техническая документация))</w:t>
            </w:r>
          </w:p>
        </w:tc>
      </w:tr>
      <w:tr>
        <w:tc>
          <w:tcPr>
            <w:gridSpan w:val="2"/>
            <w:tcW w:w="2231" w:type="dxa"/>
            <w:tcBorders>
              <w:top w:val="nil"/>
              <w:left w:val="nil"/>
              <w:bottom w:val="nil"/>
              <w:right w:val="nil"/>
            </w:tcBorders>
          </w:tcPr>
          <w:p>
            <w:pPr>
              <w:pStyle w:val="0"/>
              <w:jc w:val="both"/>
            </w:pPr>
            <w:r>
              <w:rPr>
                <w:sz w:val="20"/>
              </w:rPr>
              <w:t xml:space="preserve">Сметная стоимость</w:t>
            </w:r>
          </w:p>
        </w:tc>
        <w:tc>
          <w:tcPr>
            <w:gridSpan w:val="3"/>
            <w:tcW w:w="5726" w:type="dxa"/>
            <w:tcBorders>
              <w:top w:val="nil"/>
              <w:left w:val="nil"/>
              <w:bottom w:val="single" w:sz="4"/>
              <w:right w:val="nil"/>
            </w:tcBorders>
          </w:tcPr>
          <w:p>
            <w:pPr>
              <w:pStyle w:val="0"/>
            </w:pPr>
            <w:r>
              <w:rPr>
                <w:sz w:val="20"/>
              </w:rPr>
            </w:r>
          </w:p>
        </w:tc>
        <w:tc>
          <w:tcPr>
            <w:gridSpan w:val="2"/>
            <w:tcW w:w="1078" w:type="dxa"/>
            <w:vAlign w:val="bottom"/>
            <w:tcBorders>
              <w:top w:val="nil"/>
              <w:left w:val="nil"/>
              <w:bottom w:val="nil"/>
              <w:right w:val="nil"/>
            </w:tcBorders>
          </w:tcPr>
          <w:p>
            <w:pPr>
              <w:pStyle w:val="0"/>
              <w:jc w:val="right"/>
            </w:pPr>
            <w:r>
              <w:rPr>
                <w:sz w:val="20"/>
              </w:rPr>
              <w:t xml:space="preserve">тыс. руб.</w:t>
            </w:r>
          </w:p>
        </w:tc>
      </w:tr>
      <w:tr>
        <w:tc>
          <w:tcPr>
            <w:gridSpan w:val="3"/>
            <w:tcW w:w="4125" w:type="dxa"/>
            <w:tcBorders>
              <w:top w:val="nil"/>
              <w:left w:val="nil"/>
              <w:bottom w:val="nil"/>
              <w:right w:val="nil"/>
            </w:tcBorders>
          </w:tcPr>
          <w:p>
            <w:pPr>
              <w:pStyle w:val="0"/>
              <w:jc w:val="both"/>
            </w:pPr>
            <w:r>
              <w:rPr>
                <w:sz w:val="20"/>
              </w:rPr>
              <w:t xml:space="preserve">Расчетный измеритель</w:t>
            </w:r>
          </w:p>
          <w:p>
            <w:pPr>
              <w:pStyle w:val="0"/>
              <w:jc w:val="both"/>
            </w:pPr>
            <w:r>
              <w:rPr>
                <w:sz w:val="20"/>
              </w:rPr>
              <w:t xml:space="preserve">объекта капитального строительства</w:t>
            </w:r>
          </w:p>
        </w:tc>
        <w:tc>
          <w:tcPr>
            <w:gridSpan w:val="4"/>
            <w:tcW w:w="4910" w:type="dxa"/>
            <w:vAlign w:val="bottom"/>
            <w:tcBorders>
              <w:top w:val="nil"/>
              <w:left w:val="nil"/>
              <w:bottom w:val="single" w:sz="4"/>
              <w:right w:val="nil"/>
            </w:tcBorders>
          </w:tcPr>
          <w:p>
            <w:pPr>
              <w:pStyle w:val="0"/>
            </w:pPr>
            <w:r>
              <w:rPr>
                <w:sz w:val="20"/>
              </w:rPr>
            </w:r>
          </w:p>
        </w:tc>
      </w:tr>
      <w:tr>
        <w:tc>
          <w:tcPr>
            <w:gridSpan w:val="3"/>
            <w:tcW w:w="4125" w:type="dxa"/>
            <w:tcBorders>
              <w:top w:val="nil"/>
              <w:left w:val="nil"/>
              <w:bottom w:val="nil"/>
              <w:right w:val="nil"/>
            </w:tcBorders>
          </w:tcPr>
          <w:p>
            <w:pPr>
              <w:pStyle w:val="0"/>
            </w:pPr>
            <w:r>
              <w:rPr>
                <w:sz w:val="20"/>
              </w:rPr>
            </w:r>
          </w:p>
        </w:tc>
        <w:tc>
          <w:tcPr>
            <w:tcW w:w="2369" w:type="dxa"/>
            <w:tcBorders>
              <w:top w:val="single" w:sz="4"/>
              <w:left w:val="nil"/>
              <w:bottom w:val="nil"/>
              <w:right w:val="nil"/>
            </w:tcBorders>
          </w:tcPr>
          <w:p>
            <w:pPr>
              <w:pStyle w:val="0"/>
              <w:jc w:val="center"/>
            </w:pPr>
            <w:r>
              <w:rPr>
                <w:sz w:val="20"/>
              </w:rPr>
              <w:t xml:space="preserve">(количество)</w:t>
            </w:r>
          </w:p>
        </w:tc>
        <w:tc>
          <w:tcPr>
            <w:gridSpan w:val="3"/>
            <w:tcW w:w="2541" w:type="dxa"/>
            <w:tcBorders>
              <w:top w:val="single" w:sz="4"/>
              <w:left w:val="nil"/>
              <w:bottom w:val="nil"/>
              <w:right w:val="nil"/>
            </w:tcBorders>
          </w:tcPr>
          <w:p>
            <w:pPr>
              <w:pStyle w:val="0"/>
              <w:jc w:val="center"/>
            </w:pPr>
            <w:r>
              <w:rPr>
                <w:sz w:val="20"/>
              </w:rPr>
              <w:t xml:space="preserve">(измеритель)</w:t>
            </w:r>
          </w:p>
        </w:tc>
      </w:tr>
      <w:tr>
        <w:tc>
          <w:tcPr>
            <w:gridSpan w:val="3"/>
            <w:tcW w:w="4125" w:type="dxa"/>
            <w:tcBorders>
              <w:top w:val="nil"/>
              <w:left w:val="nil"/>
              <w:bottom w:val="nil"/>
              <w:right w:val="nil"/>
            </w:tcBorders>
          </w:tcPr>
          <w:p>
            <w:pPr>
              <w:pStyle w:val="0"/>
              <w:jc w:val="both"/>
            </w:pPr>
            <w:r>
              <w:rPr>
                <w:sz w:val="20"/>
              </w:rPr>
              <w:t xml:space="preserve">Показатель единичной стоимости</w:t>
            </w:r>
          </w:p>
          <w:p>
            <w:pPr>
              <w:pStyle w:val="0"/>
              <w:jc w:val="both"/>
            </w:pPr>
            <w:r>
              <w:rPr>
                <w:sz w:val="20"/>
              </w:rPr>
              <w:t xml:space="preserve">на расчетный измеритель</w:t>
            </w:r>
          </w:p>
          <w:p>
            <w:pPr>
              <w:pStyle w:val="0"/>
              <w:jc w:val="both"/>
            </w:pPr>
            <w:r>
              <w:rPr>
                <w:sz w:val="20"/>
              </w:rPr>
              <w:t xml:space="preserve">объекта капитального строительства</w:t>
            </w:r>
          </w:p>
        </w:tc>
        <w:tc>
          <w:tcPr>
            <w:gridSpan w:val="3"/>
            <w:tcW w:w="4286" w:type="dxa"/>
            <w:tcBorders>
              <w:top w:val="nil"/>
              <w:left w:val="nil"/>
              <w:bottom w:val="single" w:sz="4"/>
              <w:right w:val="nil"/>
            </w:tcBorders>
          </w:tcPr>
          <w:p>
            <w:pPr>
              <w:pStyle w:val="0"/>
            </w:pPr>
            <w:r>
              <w:rPr>
                <w:sz w:val="20"/>
              </w:rPr>
            </w:r>
          </w:p>
        </w:tc>
        <w:tc>
          <w:tcPr>
            <w:tcW w:w="624" w:type="dxa"/>
            <w:vAlign w:val="bottom"/>
            <w:tcBorders>
              <w:top w:val="nil"/>
              <w:left w:val="nil"/>
              <w:bottom w:val="nil"/>
              <w:right w:val="nil"/>
            </w:tcBorders>
          </w:tcPr>
          <w:p>
            <w:pPr>
              <w:pStyle w:val="0"/>
              <w:jc w:val="right"/>
            </w:pPr>
            <w:r>
              <w:rPr>
                <w:sz w:val="20"/>
              </w:rPr>
              <w:t xml:space="preserve">тыс. руб.</w:t>
            </w:r>
          </w:p>
        </w:tc>
      </w:tr>
      <w:tr>
        <w:tc>
          <w:tcPr>
            <w:gridSpan w:val="7"/>
            <w:tcW w:w="9035" w:type="dxa"/>
            <w:tcBorders>
              <w:top w:val="nil"/>
              <w:left w:val="nil"/>
              <w:bottom w:val="nil"/>
              <w:right w:val="nil"/>
            </w:tcBorders>
          </w:tcPr>
          <w:p>
            <w:pPr>
              <w:pStyle w:val="0"/>
              <w:jc w:val="both"/>
            </w:pPr>
            <w:r>
              <w:rPr>
                <w:sz w:val="20"/>
              </w:rPr>
              <w:t xml:space="preserve">Составлен(а) в базисном (текущем) уровне цен ________________ 20__ г.</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4"/>
        <w:gridCol w:w="960"/>
        <w:gridCol w:w="1871"/>
        <w:gridCol w:w="1709"/>
        <w:gridCol w:w="1411"/>
        <w:gridCol w:w="964"/>
        <w:gridCol w:w="907"/>
        <w:gridCol w:w="737"/>
      </w:tblGrid>
      <w:tr>
        <w:tc>
          <w:tcPr>
            <w:tcW w:w="494" w:type="dxa"/>
            <w:vMerge w:val="restart"/>
          </w:tcPr>
          <w:p>
            <w:pPr>
              <w:pStyle w:val="0"/>
              <w:jc w:val="center"/>
            </w:pPr>
            <w:r>
              <w:rPr>
                <w:sz w:val="20"/>
              </w:rPr>
              <w:t xml:space="preserve">N п/п</w:t>
            </w:r>
          </w:p>
        </w:tc>
        <w:tc>
          <w:tcPr>
            <w:tcW w:w="960" w:type="dxa"/>
            <w:vMerge w:val="restart"/>
          </w:tcPr>
          <w:p>
            <w:pPr>
              <w:pStyle w:val="0"/>
              <w:jc w:val="center"/>
            </w:pPr>
            <w:r>
              <w:rPr>
                <w:sz w:val="20"/>
              </w:rPr>
              <w:t xml:space="preserve">Обоснование</w:t>
            </w:r>
          </w:p>
        </w:tc>
        <w:tc>
          <w:tcPr>
            <w:tcW w:w="1871" w:type="dxa"/>
            <w:vMerge w:val="restart"/>
          </w:tcPr>
          <w:p>
            <w:pPr>
              <w:pStyle w:val="0"/>
              <w:jc w:val="center"/>
            </w:pPr>
            <w:r>
              <w:rPr>
                <w:sz w:val="20"/>
              </w:rPr>
              <w:t xml:space="preserve">Наименование локальных сметных расчетов (смет), затрат</w:t>
            </w:r>
          </w:p>
        </w:tc>
        <w:tc>
          <w:tcPr>
            <w:gridSpan w:val="5"/>
            <w:tcW w:w="5728" w:type="dxa"/>
          </w:tcPr>
          <w:p>
            <w:pPr>
              <w:pStyle w:val="0"/>
              <w:jc w:val="center"/>
            </w:pPr>
            <w:r>
              <w:rPr>
                <w:sz w:val="20"/>
              </w:rPr>
              <w:t xml:space="preserve">Сметная стоимость, тыс. руб.</w:t>
            </w:r>
          </w:p>
        </w:tc>
      </w:tr>
      <w:tr>
        <w:tc>
          <w:tcPr>
            <w:vMerge w:val="continue"/>
          </w:tcPr>
          <w:p/>
        </w:tc>
        <w:tc>
          <w:tcPr>
            <w:vMerge w:val="continue"/>
          </w:tcPr>
          <w:p/>
        </w:tc>
        <w:tc>
          <w:tcPr>
            <w:vMerge w:val="continue"/>
          </w:tcPr>
          <w:p/>
        </w:tc>
        <w:tc>
          <w:tcPr>
            <w:tcW w:w="1709" w:type="dxa"/>
          </w:tcPr>
          <w:p>
            <w:pPr>
              <w:pStyle w:val="0"/>
              <w:jc w:val="center"/>
            </w:pPr>
            <w:r>
              <w:rPr>
                <w:sz w:val="20"/>
              </w:rPr>
              <w:t xml:space="preserve">строительных (ремонтно-строительных, ремонтно-реставрационных) работ</w:t>
            </w:r>
          </w:p>
        </w:tc>
        <w:tc>
          <w:tcPr>
            <w:tcW w:w="1411" w:type="dxa"/>
          </w:tcPr>
          <w:p>
            <w:pPr>
              <w:pStyle w:val="0"/>
              <w:jc w:val="center"/>
            </w:pPr>
            <w:r>
              <w:rPr>
                <w:sz w:val="20"/>
              </w:rPr>
              <w:t xml:space="preserve">монтажных работ</w:t>
            </w:r>
          </w:p>
        </w:tc>
        <w:tc>
          <w:tcPr>
            <w:tcW w:w="964" w:type="dxa"/>
          </w:tcPr>
          <w:p>
            <w:pPr>
              <w:pStyle w:val="0"/>
              <w:jc w:val="center"/>
            </w:pPr>
            <w:r>
              <w:rPr>
                <w:sz w:val="20"/>
              </w:rPr>
              <w:t xml:space="preserve">оборудования</w:t>
            </w:r>
          </w:p>
        </w:tc>
        <w:tc>
          <w:tcPr>
            <w:tcW w:w="907" w:type="dxa"/>
          </w:tcPr>
          <w:p>
            <w:pPr>
              <w:pStyle w:val="0"/>
              <w:jc w:val="center"/>
            </w:pPr>
            <w:r>
              <w:rPr>
                <w:sz w:val="20"/>
              </w:rPr>
              <w:t xml:space="preserve">прочих затрат</w:t>
            </w:r>
          </w:p>
        </w:tc>
        <w:tc>
          <w:tcPr>
            <w:tcW w:w="737" w:type="dxa"/>
          </w:tcPr>
          <w:p>
            <w:pPr>
              <w:pStyle w:val="0"/>
              <w:jc w:val="center"/>
            </w:pPr>
            <w:r>
              <w:rPr>
                <w:sz w:val="20"/>
              </w:rPr>
              <w:t xml:space="preserve">всего</w:t>
            </w:r>
          </w:p>
        </w:tc>
      </w:tr>
      <w:tr>
        <w:tc>
          <w:tcPr>
            <w:tcW w:w="494" w:type="dxa"/>
          </w:tcPr>
          <w:p>
            <w:pPr>
              <w:pStyle w:val="0"/>
              <w:jc w:val="center"/>
            </w:pPr>
            <w:r>
              <w:rPr>
                <w:sz w:val="20"/>
              </w:rPr>
              <w:t xml:space="preserve">1</w:t>
            </w:r>
          </w:p>
        </w:tc>
        <w:tc>
          <w:tcPr>
            <w:tcW w:w="960" w:type="dxa"/>
          </w:tcPr>
          <w:p>
            <w:pPr>
              <w:pStyle w:val="0"/>
              <w:jc w:val="center"/>
            </w:pPr>
            <w:r>
              <w:rPr>
                <w:sz w:val="20"/>
              </w:rPr>
              <w:t xml:space="preserve">2</w:t>
            </w:r>
          </w:p>
        </w:tc>
        <w:tc>
          <w:tcPr>
            <w:tcW w:w="1871" w:type="dxa"/>
          </w:tcPr>
          <w:p>
            <w:pPr>
              <w:pStyle w:val="0"/>
              <w:jc w:val="center"/>
            </w:pPr>
            <w:r>
              <w:rPr>
                <w:sz w:val="20"/>
              </w:rPr>
              <w:t xml:space="preserve">3</w:t>
            </w:r>
          </w:p>
        </w:tc>
        <w:tc>
          <w:tcPr>
            <w:tcW w:w="1709" w:type="dxa"/>
          </w:tcPr>
          <w:bookmarkStart w:id="8483" w:name="P8483"/>
          <w:bookmarkEnd w:id="8483"/>
          <w:p>
            <w:pPr>
              <w:pStyle w:val="0"/>
              <w:jc w:val="center"/>
            </w:pPr>
            <w:r>
              <w:rPr>
                <w:sz w:val="20"/>
              </w:rPr>
              <w:t xml:space="preserve">4</w:t>
            </w:r>
          </w:p>
        </w:tc>
        <w:tc>
          <w:tcPr>
            <w:tcW w:w="1411" w:type="dxa"/>
          </w:tcPr>
          <w:p>
            <w:pPr>
              <w:pStyle w:val="0"/>
              <w:jc w:val="center"/>
            </w:pPr>
            <w:r>
              <w:rPr>
                <w:sz w:val="20"/>
              </w:rPr>
              <w:t xml:space="preserve">5</w:t>
            </w:r>
          </w:p>
        </w:tc>
        <w:tc>
          <w:tcPr>
            <w:tcW w:w="964" w:type="dxa"/>
          </w:tcPr>
          <w:bookmarkStart w:id="8485" w:name="P8485"/>
          <w:bookmarkEnd w:id="8485"/>
          <w:p>
            <w:pPr>
              <w:pStyle w:val="0"/>
              <w:jc w:val="center"/>
            </w:pPr>
            <w:r>
              <w:rPr>
                <w:sz w:val="20"/>
              </w:rPr>
              <w:t xml:space="preserve">6</w:t>
            </w:r>
          </w:p>
        </w:tc>
        <w:tc>
          <w:tcPr>
            <w:tcW w:w="907" w:type="dxa"/>
          </w:tcPr>
          <w:p>
            <w:pPr>
              <w:pStyle w:val="0"/>
              <w:jc w:val="center"/>
            </w:pPr>
            <w:r>
              <w:rPr>
                <w:sz w:val="20"/>
              </w:rPr>
              <w:t xml:space="preserve">7</w:t>
            </w:r>
          </w:p>
        </w:tc>
        <w:tc>
          <w:tcPr>
            <w:tcW w:w="737" w:type="dxa"/>
          </w:tcPr>
          <w:bookmarkStart w:id="8487" w:name="P8487"/>
          <w:bookmarkEnd w:id="8487"/>
          <w:p>
            <w:pPr>
              <w:pStyle w:val="0"/>
              <w:jc w:val="center"/>
            </w:pPr>
            <w:r>
              <w:rPr>
                <w:sz w:val="20"/>
              </w:rPr>
              <w:t xml:space="preserve">8</w:t>
            </w:r>
          </w:p>
        </w:tc>
      </w:tr>
      <w:tr>
        <w:tc>
          <w:tcPr>
            <w:tcW w:w="494" w:type="dxa"/>
          </w:tcPr>
          <w:p>
            <w:pPr>
              <w:pStyle w:val="0"/>
              <w:jc w:val="center"/>
            </w:pPr>
            <w:r>
              <w:rPr>
                <w:sz w:val="20"/>
              </w:rPr>
              <w:t xml:space="preserve">&lt;пункт&gt;</w:t>
            </w:r>
          </w:p>
        </w:tc>
        <w:tc>
          <w:tcPr>
            <w:tcW w:w="960" w:type="dxa"/>
          </w:tcPr>
          <w:p>
            <w:pPr>
              <w:pStyle w:val="0"/>
              <w:jc w:val="center"/>
            </w:pPr>
            <w:r>
              <w:rPr>
                <w:sz w:val="20"/>
              </w:rPr>
              <w:t xml:space="preserve">&lt;обоснование&gt;</w:t>
            </w:r>
          </w:p>
        </w:tc>
        <w:tc>
          <w:tcPr>
            <w:tcW w:w="1871" w:type="dxa"/>
          </w:tcPr>
          <w:p>
            <w:pPr>
              <w:pStyle w:val="0"/>
              <w:jc w:val="center"/>
            </w:pPr>
            <w:r>
              <w:rPr>
                <w:sz w:val="20"/>
              </w:rPr>
              <w:t xml:space="preserve">&lt;Наименование локального сметного расчета&gt;</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jc w:val="center"/>
            </w:pPr>
            <w:r>
              <w:rPr>
                <w:sz w:val="20"/>
              </w:rPr>
              <w:t xml:space="preserve">&lt;X&gt;</w:t>
            </w:r>
          </w:p>
        </w:tc>
        <w:tc>
          <w:tcPr>
            <w:tcW w:w="907" w:type="dxa"/>
          </w:tcPr>
          <w:p>
            <w:pPr>
              <w:pStyle w:val="0"/>
              <w:jc w:val="center"/>
            </w:pPr>
            <w:r>
              <w:rPr>
                <w:sz w:val="20"/>
              </w:rPr>
              <w:t xml:space="preserve">&lt;X&gt;</w:t>
            </w:r>
          </w:p>
        </w:tc>
        <w:tc>
          <w:tcPr>
            <w:tcW w:w="737" w:type="dxa"/>
          </w:tcPr>
          <w:p>
            <w:pPr>
              <w:pStyle w:val="0"/>
              <w:jc w:val="center"/>
            </w:pPr>
            <w:r>
              <w:rPr>
                <w:sz w:val="20"/>
              </w:rPr>
              <w:t xml:space="preserve">&lt;X&gt;</w:t>
            </w:r>
          </w:p>
        </w:tc>
      </w:tr>
      <w:tr>
        <w:tc>
          <w:tcPr>
            <w:tcW w:w="494" w:type="dxa"/>
          </w:tcPr>
          <w:p>
            <w:pPr>
              <w:pStyle w:val="0"/>
              <w:jc w:val="center"/>
            </w:pPr>
            <w:r>
              <w:rPr>
                <w:sz w:val="20"/>
              </w:rPr>
              <w:t xml:space="preserve">&lt;пункт&gt;</w:t>
            </w:r>
          </w:p>
        </w:tc>
        <w:tc>
          <w:tcPr>
            <w:tcW w:w="960" w:type="dxa"/>
          </w:tcPr>
          <w:p>
            <w:pPr>
              <w:pStyle w:val="0"/>
              <w:jc w:val="center"/>
            </w:pPr>
            <w:r>
              <w:rPr>
                <w:sz w:val="20"/>
              </w:rPr>
              <w:t xml:space="preserve">&lt;обоснование&gt;</w:t>
            </w:r>
          </w:p>
        </w:tc>
        <w:tc>
          <w:tcPr>
            <w:tcW w:w="1871" w:type="dxa"/>
          </w:tcPr>
          <w:p>
            <w:pPr>
              <w:pStyle w:val="0"/>
              <w:jc w:val="center"/>
            </w:pPr>
            <w:r>
              <w:rPr>
                <w:sz w:val="20"/>
              </w:rPr>
              <w:t xml:space="preserve">&lt;Наименование локального сметного расчета&gt;</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jc w:val="center"/>
            </w:pPr>
            <w:r>
              <w:rPr>
                <w:sz w:val="20"/>
              </w:rPr>
              <w:t xml:space="preserve">&lt;X&gt;</w:t>
            </w:r>
          </w:p>
        </w:tc>
        <w:tc>
          <w:tcPr>
            <w:tcW w:w="907" w:type="dxa"/>
          </w:tcPr>
          <w:p>
            <w:pPr>
              <w:pStyle w:val="0"/>
              <w:jc w:val="center"/>
            </w:pPr>
            <w:r>
              <w:rPr>
                <w:sz w:val="20"/>
              </w:rPr>
              <w:t xml:space="preserve">&lt;X&gt;</w:t>
            </w:r>
          </w:p>
        </w:tc>
        <w:tc>
          <w:tcPr>
            <w:tcW w:w="737" w:type="dxa"/>
          </w:tcPr>
          <w:p>
            <w:pPr>
              <w:pStyle w:val="0"/>
              <w:jc w:val="center"/>
            </w:pPr>
            <w:r>
              <w:rPr>
                <w:sz w:val="20"/>
              </w:rPr>
              <w:t xml:space="preserve">&lt;X&gt;</w:t>
            </w:r>
          </w:p>
        </w:tc>
      </w:tr>
      <w:tr>
        <w:tc>
          <w:tcPr>
            <w:tcW w:w="494" w:type="dxa"/>
          </w:tcPr>
          <w:p>
            <w:pPr>
              <w:pStyle w:val="0"/>
              <w:jc w:val="center"/>
            </w:pPr>
            <w:r>
              <w:rPr>
                <w:sz w:val="20"/>
              </w:rPr>
              <w:t xml:space="preserve">...</w:t>
            </w:r>
          </w:p>
        </w:tc>
        <w:tc>
          <w:tcPr>
            <w:tcW w:w="960" w:type="dxa"/>
          </w:tcPr>
          <w:p>
            <w:pPr>
              <w:pStyle w:val="0"/>
              <w:jc w:val="center"/>
            </w:pPr>
            <w:r>
              <w:rPr>
                <w:sz w:val="20"/>
              </w:rPr>
              <w:t xml:space="preserve">...</w:t>
            </w:r>
          </w:p>
        </w:tc>
        <w:tc>
          <w:tcPr>
            <w:tcW w:w="1871" w:type="dxa"/>
          </w:tcPr>
          <w:p>
            <w:pPr>
              <w:pStyle w:val="0"/>
              <w:jc w:val="center"/>
            </w:pPr>
            <w:r>
              <w:rPr>
                <w:sz w:val="20"/>
              </w:rPr>
              <w:t xml:space="preserve">...</w:t>
            </w:r>
          </w:p>
        </w:tc>
        <w:tc>
          <w:tcPr>
            <w:tcW w:w="1709" w:type="dxa"/>
          </w:tcPr>
          <w:p>
            <w:pPr>
              <w:pStyle w:val="0"/>
              <w:jc w:val="center"/>
            </w:pPr>
            <w:r>
              <w:rPr>
                <w:sz w:val="20"/>
              </w:rPr>
              <w:t xml:space="preserve">...</w:t>
            </w:r>
          </w:p>
        </w:tc>
        <w:tc>
          <w:tcPr>
            <w:tcW w:w="1411" w:type="dxa"/>
          </w:tcPr>
          <w:p>
            <w:pPr>
              <w:pStyle w:val="0"/>
              <w:jc w:val="center"/>
            </w:pPr>
            <w:r>
              <w:rPr>
                <w:sz w:val="20"/>
              </w:rPr>
              <w:t xml:space="preserve">...</w:t>
            </w:r>
          </w:p>
        </w:tc>
        <w:tc>
          <w:tcPr>
            <w:tcW w:w="964" w:type="dxa"/>
          </w:tcPr>
          <w:p>
            <w:pPr>
              <w:pStyle w:val="0"/>
              <w:jc w:val="center"/>
            </w:pPr>
            <w:r>
              <w:rPr>
                <w:sz w:val="20"/>
              </w:rPr>
              <w:t xml:space="preserve">...</w:t>
            </w:r>
          </w:p>
        </w:tc>
        <w:tc>
          <w:tcPr>
            <w:tcW w:w="907" w:type="dxa"/>
          </w:tcPr>
          <w:p>
            <w:pPr>
              <w:pStyle w:val="0"/>
              <w:jc w:val="center"/>
            </w:pPr>
            <w:r>
              <w:rPr>
                <w:sz w:val="20"/>
              </w:rPr>
              <w:t xml:space="preserve">...</w:t>
            </w:r>
          </w:p>
        </w:tc>
        <w:tc>
          <w:tcPr>
            <w:tcW w:w="737" w:type="dxa"/>
          </w:tcPr>
          <w:p>
            <w:pPr>
              <w:pStyle w:val="0"/>
              <w:jc w:val="center"/>
            </w:pPr>
            <w:r>
              <w:rPr>
                <w:sz w:val="20"/>
              </w:rPr>
              <w:t xml:space="preserve">...</w:t>
            </w:r>
          </w:p>
        </w:tc>
      </w:tr>
      <w:tr>
        <w:tc>
          <w:tcPr>
            <w:tcW w:w="494" w:type="dxa"/>
          </w:tcPr>
          <w:p>
            <w:pPr>
              <w:pStyle w:val="0"/>
              <w:jc w:val="center"/>
            </w:pPr>
            <w:r>
              <w:rPr>
                <w:sz w:val="20"/>
              </w:rPr>
              <w:t xml:space="preserve">&lt;пункт&gt;</w:t>
            </w:r>
          </w:p>
        </w:tc>
        <w:tc>
          <w:tcPr>
            <w:tcW w:w="960" w:type="dxa"/>
          </w:tcPr>
          <w:p>
            <w:pPr>
              <w:pStyle w:val="0"/>
              <w:jc w:val="center"/>
            </w:pPr>
            <w:r>
              <w:rPr>
                <w:sz w:val="20"/>
              </w:rPr>
              <w:t xml:space="preserve">&lt;обоснование&gt;</w:t>
            </w:r>
          </w:p>
        </w:tc>
        <w:tc>
          <w:tcPr>
            <w:tcW w:w="1871" w:type="dxa"/>
          </w:tcPr>
          <w:p>
            <w:pPr>
              <w:pStyle w:val="0"/>
              <w:jc w:val="center"/>
            </w:pPr>
            <w:r>
              <w:rPr>
                <w:sz w:val="20"/>
              </w:rPr>
              <w:t xml:space="preserve">&lt;Наименование локального сметного расчета&gt;</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jc w:val="center"/>
            </w:pPr>
            <w:r>
              <w:rPr>
                <w:sz w:val="20"/>
              </w:rPr>
              <w:t xml:space="preserve">&lt;X&gt;</w:t>
            </w:r>
          </w:p>
        </w:tc>
        <w:tc>
          <w:tcPr>
            <w:tcW w:w="907" w:type="dxa"/>
          </w:tcPr>
          <w:p>
            <w:pPr>
              <w:pStyle w:val="0"/>
              <w:jc w:val="center"/>
            </w:pPr>
            <w:r>
              <w:rPr>
                <w:sz w:val="20"/>
              </w:rPr>
              <w:t xml:space="preserve">&lt;X&gt;</w:t>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pPr>
            <w:r>
              <w:rPr>
                <w:sz w:val="20"/>
              </w:rPr>
              <w:t xml:space="preserve">Итого</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jc w:val="center"/>
            </w:pPr>
            <w:r>
              <w:rPr>
                <w:sz w:val="20"/>
              </w:rPr>
              <w:t xml:space="preserve">&lt;X&gt;</w:t>
            </w:r>
          </w:p>
        </w:tc>
        <w:tc>
          <w:tcPr>
            <w:tcW w:w="907" w:type="dxa"/>
          </w:tcPr>
          <w:p>
            <w:pPr>
              <w:pStyle w:val="0"/>
              <w:jc w:val="center"/>
            </w:pPr>
            <w:r>
              <w:rPr>
                <w:sz w:val="20"/>
              </w:rPr>
              <w:t xml:space="preserve">&lt;X&gt;</w:t>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jc w:val="center"/>
            </w:pPr>
            <w:r>
              <w:rPr>
                <w:sz w:val="20"/>
              </w:rPr>
              <w:t xml:space="preserve">&lt;обоснование&gt;</w:t>
            </w:r>
          </w:p>
        </w:tc>
        <w:tc>
          <w:tcPr>
            <w:tcW w:w="1871" w:type="dxa"/>
          </w:tcPr>
          <w:p>
            <w:pPr>
              <w:pStyle w:val="0"/>
            </w:pPr>
            <w:r>
              <w:rPr>
                <w:sz w:val="20"/>
              </w:rPr>
              <w:t xml:space="preserve">Затраты на строительство титульных временных зданий и сооружений</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pPr>
            <w:r>
              <w:rPr>
                <w:sz w:val="20"/>
              </w:rPr>
              <w:t xml:space="preserve">Итого</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jc w:val="center"/>
            </w:pPr>
            <w:r>
              <w:rPr>
                <w:sz w:val="20"/>
              </w:rPr>
              <w:t xml:space="preserve">&lt;X&gt;</w:t>
            </w:r>
          </w:p>
        </w:tc>
        <w:tc>
          <w:tcPr>
            <w:tcW w:w="907" w:type="dxa"/>
          </w:tcPr>
          <w:p>
            <w:pPr>
              <w:pStyle w:val="0"/>
              <w:jc w:val="center"/>
            </w:pPr>
            <w:r>
              <w:rPr>
                <w:sz w:val="20"/>
              </w:rPr>
              <w:t xml:space="preserve">&lt;X&gt;</w:t>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jc w:val="center"/>
            </w:pPr>
            <w:r>
              <w:rPr>
                <w:sz w:val="20"/>
              </w:rPr>
              <w:t xml:space="preserve">&lt;обоснование&gt;</w:t>
            </w:r>
          </w:p>
        </w:tc>
        <w:tc>
          <w:tcPr>
            <w:tcW w:w="1871" w:type="dxa"/>
          </w:tcPr>
          <w:p>
            <w:pPr>
              <w:pStyle w:val="0"/>
            </w:pPr>
            <w:r>
              <w:rPr>
                <w:sz w:val="20"/>
              </w:rPr>
              <w:t xml:space="preserve">Дополнительные затраты при производстве работ в зимнее время</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pPr>
            <w:r>
              <w:rPr>
                <w:sz w:val="20"/>
              </w:rPr>
              <w:t xml:space="preserve">Итого</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jc w:val="center"/>
            </w:pPr>
            <w:r>
              <w:rPr>
                <w:sz w:val="20"/>
              </w:rPr>
              <w:t xml:space="preserve">&lt;X&gt;</w:t>
            </w:r>
          </w:p>
        </w:tc>
        <w:tc>
          <w:tcPr>
            <w:tcW w:w="907" w:type="dxa"/>
          </w:tcPr>
          <w:p>
            <w:pPr>
              <w:pStyle w:val="0"/>
              <w:jc w:val="center"/>
            </w:pPr>
            <w:r>
              <w:rPr>
                <w:sz w:val="20"/>
              </w:rPr>
              <w:t xml:space="preserve">&lt;X&gt;</w:t>
            </w:r>
          </w:p>
        </w:tc>
        <w:tc>
          <w:tcPr>
            <w:tcW w:w="737" w:type="dxa"/>
          </w:tcPr>
          <w:p>
            <w:pPr>
              <w:pStyle w:val="0"/>
              <w:jc w:val="center"/>
            </w:pPr>
            <w:r>
              <w:rPr>
                <w:sz w:val="20"/>
              </w:rPr>
              <w:t xml:space="preserve">&lt;X&gt;</w:t>
            </w:r>
          </w:p>
        </w:tc>
      </w:tr>
      <w:tr>
        <w:tc>
          <w:tcPr>
            <w:tcW w:w="494" w:type="dxa"/>
          </w:tcPr>
          <w:p>
            <w:pPr>
              <w:pStyle w:val="0"/>
              <w:jc w:val="center"/>
            </w:pPr>
            <w:r>
              <w:rPr>
                <w:sz w:val="20"/>
              </w:rPr>
              <w:t xml:space="preserve">...</w:t>
            </w:r>
          </w:p>
        </w:tc>
        <w:tc>
          <w:tcPr>
            <w:tcW w:w="960" w:type="dxa"/>
          </w:tcPr>
          <w:p>
            <w:pPr>
              <w:pStyle w:val="0"/>
              <w:jc w:val="center"/>
            </w:pPr>
            <w:r>
              <w:rPr>
                <w:sz w:val="20"/>
              </w:rPr>
              <w:t xml:space="preserve">...</w:t>
            </w:r>
          </w:p>
        </w:tc>
        <w:tc>
          <w:tcPr>
            <w:tcW w:w="1871" w:type="dxa"/>
          </w:tcPr>
          <w:p>
            <w:pPr>
              <w:pStyle w:val="0"/>
              <w:jc w:val="center"/>
            </w:pPr>
            <w:r>
              <w:rPr>
                <w:sz w:val="20"/>
              </w:rPr>
              <w:t xml:space="preserve">...</w:t>
            </w:r>
          </w:p>
        </w:tc>
        <w:tc>
          <w:tcPr>
            <w:tcW w:w="1709" w:type="dxa"/>
          </w:tcPr>
          <w:p>
            <w:pPr>
              <w:pStyle w:val="0"/>
              <w:jc w:val="center"/>
            </w:pPr>
            <w:r>
              <w:rPr>
                <w:sz w:val="20"/>
              </w:rPr>
              <w:t xml:space="preserve">...</w:t>
            </w:r>
          </w:p>
        </w:tc>
        <w:tc>
          <w:tcPr>
            <w:tcW w:w="1411" w:type="dxa"/>
          </w:tcPr>
          <w:p>
            <w:pPr>
              <w:pStyle w:val="0"/>
              <w:jc w:val="center"/>
            </w:pPr>
            <w:r>
              <w:rPr>
                <w:sz w:val="20"/>
              </w:rPr>
              <w:t xml:space="preserve">...</w:t>
            </w:r>
          </w:p>
        </w:tc>
        <w:tc>
          <w:tcPr>
            <w:tcW w:w="964" w:type="dxa"/>
          </w:tcPr>
          <w:p>
            <w:pPr>
              <w:pStyle w:val="0"/>
              <w:jc w:val="center"/>
            </w:pPr>
            <w:r>
              <w:rPr>
                <w:sz w:val="20"/>
              </w:rPr>
              <w:t xml:space="preserve">...</w:t>
            </w:r>
          </w:p>
        </w:tc>
        <w:tc>
          <w:tcPr>
            <w:tcW w:w="907" w:type="dxa"/>
          </w:tcPr>
          <w:p>
            <w:pPr>
              <w:pStyle w:val="0"/>
              <w:jc w:val="center"/>
            </w:pPr>
            <w:r>
              <w:rPr>
                <w:sz w:val="20"/>
              </w:rPr>
              <w:t xml:space="preserve">...</w:t>
            </w:r>
          </w:p>
        </w:tc>
        <w:tc>
          <w:tcPr>
            <w:tcW w:w="737" w:type="dxa"/>
          </w:tcPr>
          <w:p>
            <w:pPr>
              <w:pStyle w:val="0"/>
              <w:jc w:val="center"/>
            </w:pPr>
            <w:r>
              <w:rPr>
                <w:sz w:val="20"/>
              </w:rPr>
              <w:t xml:space="preserve">...</w:t>
            </w:r>
          </w:p>
        </w:tc>
      </w:tr>
      <w:tr>
        <w:tc>
          <w:tcPr>
            <w:tcW w:w="494" w:type="dxa"/>
          </w:tcPr>
          <w:p>
            <w:pPr>
              <w:pStyle w:val="0"/>
            </w:pPr>
            <w:r>
              <w:rPr>
                <w:sz w:val="20"/>
              </w:rPr>
            </w:r>
          </w:p>
        </w:tc>
        <w:tc>
          <w:tcPr>
            <w:tcW w:w="960" w:type="dxa"/>
          </w:tcPr>
          <w:p>
            <w:pPr>
              <w:pStyle w:val="0"/>
            </w:pPr>
            <w:r>
              <w:rPr>
                <w:sz w:val="20"/>
              </w:rPr>
            </w:r>
          </w:p>
        </w:tc>
        <w:tc>
          <w:tcPr>
            <w:tcW w:w="1871" w:type="dxa"/>
          </w:tcPr>
          <w:p>
            <w:pPr>
              <w:pStyle w:val="0"/>
            </w:pPr>
            <w:r>
              <w:rPr>
                <w:sz w:val="20"/>
              </w:rPr>
              <w:t xml:space="preserve">Итого</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jc w:val="center"/>
            </w:pPr>
            <w:r>
              <w:rPr>
                <w:sz w:val="20"/>
              </w:rPr>
              <w:t xml:space="preserve">&lt;X&gt;</w:t>
            </w:r>
          </w:p>
        </w:tc>
        <w:tc>
          <w:tcPr>
            <w:tcW w:w="907" w:type="dxa"/>
          </w:tcPr>
          <w:p>
            <w:pPr>
              <w:pStyle w:val="0"/>
              <w:jc w:val="center"/>
            </w:pPr>
            <w:r>
              <w:rPr>
                <w:sz w:val="20"/>
              </w:rPr>
              <w:t xml:space="preserve">&lt;X&gt;</w:t>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pPr>
            <w:r>
              <w:rPr>
                <w:sz w:val="20"/>
              </w:rPr>
              <w:t xml:space="preserve">ВСЕГО</w:t>
            </w:r>
          </w:p>
        </w:tc>
        <w:tc>
          <w:tcPr>
            <w:tcW w:w="1709" w:type="dxa"/>
          </w:tcPr>
          <w:p>
            <w:pPr>
              <w:pStyle w:val="0"/>
              <w:jc w:val="center"/>
            </w:pPr>
            <w:r>
              <w:rPr>
                <w:sz w:val="20"/>
              </w:rPr>
              <w:t xml:space="preserve">&lt;X&gt;</w:t>
            </w:r>
          </w:p>
        </w:tc>
        <w:tc>
          <w:tcPr>
            <w:tcW w:w="1411" w:type="dxa"/>
          </w:tcPr>
          <w:p>
            <w:pPr>
              <w:pStyle w:val="0"/>
              <w:jc w:val="center"/>
            </w:pPr>
            <w:r>
              <w:rPr>
                <w:sz w:val="20"/>
              </w:rPr>
              <w:t xml:space="preserve">&lt;X&gt;</w:t>
            </w:r>
          </w:p>
        </w:tc>
        <w:tc>
          <w:tcPr>
            <w:tcW w:w="964" w:type="dxa"/>
          </w:tcPr>
          <w:p>
            <w:pPr>
              <w:pStyle w:val="0"/>
              <w:jc w:val="center"/>
            </w:pPr>
            <w:r>
              <w:rPr>
                <w:sz w:val="20"/>
              </w:rPr>
              <w:t xml:space="preserve">&lt;X&gt;</w:t>
            </w:r>
          </w:p>
        </w:tc>
        <w:tc>
          <w:tcPr>
            <w:tcW w:w="907" w:type="dxa"/>
          </w:tcPr>
          <w:p>
            <w:pPr>
              <w:pStyle w:val="0"/>
              <w:jc w:val="center"/>
            </w:pPr>
            <w:r>
              <w:rPr>
                <w:sz w:val="20"/>
              </w:rPr>
              <w:t xml:space="preserve">&lt;X&gt;</w:t>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pPr>
            <w:r>
              <w:rPr>
                <w:sz w:val="20"/>
              </w:rPr>
              <w:t xml:space="preserve">в том числе:</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pPr>
            <w:r>
              <w:rPr>
                <w:sz w:val="20"/>
              </w:rPr>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ОТ</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ЭМ</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ОТм</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М</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Перевозка</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НР</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СП</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оборудование</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r>
        <w:tc>
          <w:tcPr>
            <w:tcW w:w="494" w:type="dxa"/>
          </w:tcPr>
          <w:p>
            <w:pPr>
              <w:pStyle w:val="0"/>
            </w:pPr>
            <w:r>
              <w:rPr>
                <w:sz w:val="20"/>
              </w:rPr>
            </w:r>
          </w:p>
        </w:tc>
        <w:tc>
          <w:tcPr>
            <w:tcW w:w="960" w:type="dxa"/>
          </w:tcPr>
          <w:p>
            <w:pPr>
              <w:pStyle w:val="0"/>
            </w:pPr>
            <w:r>
              <w:rPr>
                <w:sz w:val="20"/>
              </w:rPr>
            </w:r>
          </w:p>
        </w:tc>
        <w:tc>
          <w:tcPr>
            <w:tcW w:w="1871" w:type="dxa"/>
          </w:tcPr>
          <w:p>
            <w:pPr>
              <w:pStyle w:val="0"/>
              <w:ind w:left="283"/>
            </w:pPr>
            <w:r>
              <w:rPr>
                <w:sz w:val="20"/>
              </w:rPr>
              <w:t xml:space="preserve">прочие затраты</w:t>
            </w:r>
          </w:p>
        </w:tc>
        <w:tc>
          <w:tcPr>
            <w:tcW w:w="1709" w:type="dxa"/>
          </w:tcPr>
          <w:p>
            <w:pPr>
              <w:pStyle w:val="0"/>
            </w:pPr>
            <w:r>
              <w:rPr>
                <w:sz w:val="20"/>
              </w:rPr>
            </w:r>
          </w:p>
        </w:tc>
        <w:tc>
          <w:tcPr>
            <w:tcW w:w="141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&lt;X&gt;</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531"/>
        <w:gridCol w:w="1741"/>
        <w:gridCol w:w="1084"/>
        <w:gridCol w:w="964"/>
        <w:gridCol w:w="3742"/>
      </w:tblGrid>
      <w:tr>
        <w:tc>
          <w:tcPr>
            <w:gridSpan w:val="2"/>
            <w:tcW w:w="3272" w:type="dxa"/>
            <w:tcBorders>
              <w:top w:val="nil"/>
              <w:left w:val="nil"/>
              <w:bottom w:val="nil"/>
              <w:right w:val="nil"/>
            </w:tcBorders>
          </w:tcPr>
          <w:p>
            <w:pPr>
              <w:pStyle w:val="0"/>
              <w:ind w:left="283"/>
            </w:pPr>
            <w:r>
              <w:rPr>
                <w:sz w:val="20"/>
              </w:rPr>
              <w:t xml:space="preserve">Главный инженер проекта</w:t>
            </w:r>
          </w:p>
        </w:tc>
        <w:tc>
          <w:tcPr>
            <w:gridSpan w:val="3"/>
            <w:tcW w:w="5790" w:type="dxa"/>
            <w:tcBorders>
              <w:top w:val="nil"/>
              <w:left w:val="nil"/>
              <w:bottom w:val="single" w:sz="4"/>
              <w:right w:val="nil"/>
            </w:tcBorders>
          </w:tcPr>
          <w:p>
            <w:pPr>
              <w:pStyle w:val="0"/>
            </w:pPr>
            <w:r>
              <w:rPr>
                <w:sz w:val="20"/>
              </w:rPr>
            </w:r>
          </w:p>
        </w:tc>
      </w:tr>
      <w:tr>
        <w:tc>
          <w:tcPr>
            <w:gridSpan w:val="2"/>
            <w:tcW w:w="3272" w:type="dxa"/>
            <w:tcBorders>
              <w:top w:val="nil"/>
              <w:left w:val="nil"/>
              <w:bottom w:val="nil"/>
              <w:right w:val="nil"/>
            </w:tcBorders>
          </w:tcPr>
          <w:p>
            <w:pPr>
              <w:pStyle w:val="0"/>
            </w:pPr>
            <w:r>
              <w:rPr>
                <w:sz w:val="20"/>
              </w:rPr>
            </w:r>
          </w:p>
        </w:tc>
        <w:tc>
          <w:tcPr>
            <w:gridSpan w:val="3"/>
            <w:tcW w:w="5790" w:type="dxa"/>
            <w:tcBorders>
              <w:top w:val="single" w:sz="4"/>
              <w:left w:val="nil"/>
              <w:bottom w:val="nil"/>
              <w:right w:val="nil"/>
            </w:tcBorders>
          </w:tcPr>
          <w:p>
            <w:pPr>
              <w:pStyle w:val="0"/>
              <w:jc w:val="center"/>
            </w:pPr>
            <w:r>
              <w:rPr>
                <w:sz w:val="20"/>
              </w:rPr>
              <w:t xml:space="preserve">[подпись (инициалы, фамилия)]</w:t>
            </w:r>
          </w:p>
        </w:tc>
      </w:tr>
      <w:tr>
        <w:tc>
          <w:tcPr>
            <w:tcW w:w="1531" w:type="dxa"/>
            <w:tcBorders>
              <w:top w:val="nil"/>
              <w:left w:val="nil"/>
              <w:bottom w:val="nil"/>
              <w:right w:val="nil"/>
            </w:tcBorders>
          </w:tcPr>
          <w:p>
            <w:pPr>
              <w:pStyle w:val="0"/>
              <w:ind w:left="283"/>
            </w:pPr>
            <w:r>
              <w:rPr>
                <w:sz w:val="20"/>
              </w:rPr>
              <w:t xml:space="preserve">Начальник</w:t>
            </w:r>
          </w:p>
        </w:tc>
        <w:tc>
          <w:tcPr>
            <w:gridSpan w:val="2"/>
            <w:tcW w:w="2825" w:type="dxa"/>
            <w:tcBorders>
              <w:top w:val="nil"/>
              <w:left w:val="nil"/>
              <w:bottom w:val="single" w:sz="4"/>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отдела</w:t>
            </w:r>
          </w:p>
        </w:tc>
        <w:tc>
          <w:tcPr>
            <w:tcW w:w="3742" w:type="dxa"/>
            <w:tcBorders>
              <w:top w:val="nil"/>
              <w:left w:val="nil"/>
              <w:bottom w:val="single" w:sz="4"/>
              <w:right w:val="nil"/>
            </w:tcBorders>
          </w:tcPr>
          <w:p>
            <w:pPr>
              <w:pStyle w:val="0"/>
            </w:pPr>
            <w:r>
              <w:rPr>
                <w:sz w:val="20"/>
              </w:rPr>
            </w:r>
          </w:p>
        </w:tc>
      </w:tr>
      <w:tr>
        <w:tc>
          <w:tcPr>
            <w:tcW w:w="1531" w:type="dxa"/>
            <w:tcBorders>
              <w:top w:val="nil"/>
              <w:left w:val="nil"/>
              <w:bottom w:val="nil"/>
              <w:right w:val="nil"/>
            </w:tcBorders>
          </w:tcPr>
          <w:p>
            <w:pPr>
              <w:pStyle w:val="0"/>
            </w:pPr>
            <w:r>
              <w:rPr>
                <w:sz w:val="20"/>
              </w:rPr>
            </w:r>
          </w:p>
        </w:tc>
        <w:tc>
          <w:tcPr>
            <w:gridSpan w:val="2"/>
            <w:tcW w:w="2825" w:type="dxa"/>
            <w:tcBorders>
              <w:top w:val="single" w:sz="4"/>
              <w:left w:val="nil"/>
              <w:bottom w:val="nil"/>
              <w:right w:val="nil"/>
            </w:tcBorders>
          </w:tcPr>
          <w:p>
            <w:pPr>
              <w:pStyle w:val="0"/>
              <w:jc w:val="center"/>
            </w:pPr>
            <w:r>
              <w:rPr>
                <w:sz w:val="20"/>
              </w:rPr>
              <w:t xml:space="preserve">(наименование)</w:t>
            </w:r>
          </w:p>
        </w:tc>
        <w:tc>
          <w:tcPr>
            <w:tcW w:w="964" w:type="dxa"/>
            <w:tcBorders>
              <w:top w:val="nil"/>
              <w:left w:val="nil"/>
              <w:bottom w:val="nil"/>
              <w:right w:val="nil"/>
            </w:tcBorders>
          </w:tcPr>
          <w:p>
            <w:pPr>
              <w:pStyle w:val="0"/>
            </w:pPr>
            <w:r>
              <w:rPr>
                <w:sz w:val="20"/>
              </w:rPr>
            </w:r>
          </w:p>
        </w:tc>
        <w:tc>
          <w:tcPr>
            <w:tcW w:w="3742" w:type="dxa"/>
            <w:tcBorders>
              <w:top w:val="single" w:sz="4"/>
              <w:left w:val="nil"/>
              <w:bottom w:val="nil"/>
              <w:right w:val="nil"/>
            </w:tcBorders>
          </w:tcPr>
          <w:p>
            <w:pPr>
              <w:pStyle w:val="0"/>
              <w:jc w:val="center"/>
            </w:pPr>
            <w:r>
              <w:rPr>
                <w:sz w:val="20"/>
              </w:rPr>
              <w:t xml:space="preserve">[подпись (инициалы, фамилия)]</w:t>
            </w:r>
          </w:p>
        </w:tc>
      </w:tr>
      <w:tr>
        <w:tc>
          <w:tcPr>
            <w:tcW w:w="1531" w:type="dxa"/>
            <w:tcBorders>
              <w:top w:val="nil"/>
              <w:left w:val="nil"/>
              <w:bottom w:val="nil"/>
              <w:right w:val="nil"/>
            </w:tcBorders>
          </w:tcPr>
          <w:p>
            <w:pPr>
              <w:pStyle w:val="0"/>
              <w:ind w:left="283"/>
            </w:pPr>
            <w:r>
              <w:rPr>
                <w:sz w:val="20"/>
              </w:rPr>
              <w:t xml:space="preserve">Составил</w:t>
            </w:r>
          </w:p>
        </w:tc>
        <w:tc>
          <w:tcPr>
            <w:gridSpan w:val="4"/>
            <w:tcW w:w="7531" w:type="dxa"/>
            <w:tcBorders>
              <w:top w:val="nil"/>
              <w:left w:val="nil"/>
              <w:bottom w:val="single" w:sz="4"/>
              <w:right w:val="nil"/>
            </w:tcBorders>
          </w:tcPr>
          <w:p>
            <w:pPr>
              <w:pStyle w:val="0"/>
            </w:pPr>
            <w:r>
              <w:rPr>
                <w:sz w:val="20"/>
              </w:rPr>
            </w:r>
          </w:p>
        </w:tc>
      </w:tr>
      <w:tr>
        <w:tc>
          <w:tcPr>
            <w:tcW w:w="1531" w:type="dxa"/>
            <w:tcBorders>
              <w:top w:val="nil"/>
              <w:left w:val="nil"/>
              <w:bottom w:val="nil"/>
              <w:right w:val="nil"/>
            </w:tcBorders>
          </w:tcPr>
          <w:p>
            <w:pPr>
              <w:pStyle w:val="0"/>
            </w:pPr>
            <w:r>
              <w:rPr>
                <w:sz w:val="20"/>
              </w:rPr>
            </w:r>
          </w:p>
        </w:tc>
        <w:tc>
          <w:tcPr>
            <w:gridSpan w:val="4"/>
            <w:tcW w:w="7531" w:type="dxa"/>
            <w:tcBorders>
              <w:top w:val="single" w:sz="4"/>
              <w:left w:val="nil"/>
              <w:bottom w:val="nil"/>
              <w:right w:val="nil"/>
            </w:tcBorders>
          </w:tcPr>
          <w:p>
            <w:pPr>
              <w:pStyle w:val="0"/>
              <w:jc w:val="center"/>
            </w:pPr>
            <w:r>
              <w:rPr>
                <w:sz w:val="20"/>
              </w:rPr>
              <w:t xml:space="preserve">[должность, подпись (инициалы, фамилия)]</w:t>
            </w:r>
          </w:p>
        </w:tc>
      </w:tr>
      <w:tr>
        <w:tc>
          <w:tcPr>
            <w:tcW w:w="1531" w:type="dxa"/>
            <w:tcBorders>
              <w:top w:val="nil"/>
              <w:left w:val="nil"/>
              <w:bottom w:val="nil"/>
              <w:right w:val="nil"/>
            </w:tcBorders>
          </w:tcPr>
          <w:p>
            <w:pPr>
              <w:pStyle w:val="0"/>
              <w:ind w:left="283"/>
            </w:pPr>
            <w:r>
              <w:rPr>
                <w:sz w:val="20"/>
              </w:rPr>
              <w:t xml:space="preserve">Проверил</w:t>
            </w:r>
          </w:p>
        </w:tc>
        <w:tc>
          <w:tcPr>
            <w:gridSpan w:val="4"/>
            <w:tcW w:w="7531" w:type="dxa"/>
            <w:tcBorders>
              <w:top w:val="nil"/>
              <w:left w:val="nil"/>
              <w:bottom w:val="single" w:sz="4"/>
              <w:right w:val="nil"/>
            </w:tcBorders>
          </w:tcPr>
          <w:p>
            <w:pPr>
              <w:pStyle w:val="0"/>
            </w:pPr>
            <w:r>
              <w:rPr>
                <w:sz w:val="20"/>
              </w:rPr>
            </w:r>
          </w:p>
        </w:tc>
      </w:tr>
      <w:tr>
        <w:tc>
          <w:tcPr>
            <w:tcW w:w="1531" w:type="dxa"/>
            <w:tcBorders>
              <w:top w:val="nil"/>
              <w:left w:val="nil"/>
              <w:bottom w:val="nil"/>
              <w:right w:val="nil"/>
            </w:tcBorders>
          </w:tcPr>
          <w:p>
            <w:pPr>
              <w:pStyle w:val="0"/>
            </w:pPr>
            <w:r>
              <w:rPr>
                <w:sz w:val="20"/>
              </w:rPr>
            </w:r>
          </w:p>
        </w:tc>
        <w:tc>
          <w:tcPr>
            <w:gridSpan w:val="4"/>
            <w:tcW w:w="7531" w:type="dxa"/>
            <w:tcBorders>
              <w:top w:val="single" w:sz="4"/>
              <w:left w:val="nil"/>
              <w:bottom w:val="nil"/>
              <w:right w:val="nil"/>
            </w:tcBorders>
          </w:tcPr>
          <w:p>
            <w:pPr>
              <w:pStyle w:val="0"/>
              <w:jc w:val="center"/>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1. В </w:t>
      </w:r>
      <w:hyperlink w:history="0" w:anchor="P8483" w:tooltip="4">
        <w:r>
          <w:rPr>
            <w:sz w:val="20"/>
            <w:color w:val="0000ff"/>
          </w:rPr>
          <w:t xml:space="preserve">графах 4</w:t>
        </w:r>
      </w:hyperlink>
      <w:r>
        <w:rPr>
          <w:sz w:val="20"/>
        </w:rPr>
        <w:t xml:space="preserve"> - </w:t>
      </w:r>
      <w:hyperlink w:history="0" w:anchor="P8487" w:tooltip="8">
        <w:r>
          <w:rPr>
            <w:sz w:val="20"/>
            <w:color w:val="0000ff"/>
          </w:rPr>
          <w:t xml:space="preserve">8</w:t>
        </w:r>
      </w:hyperlink>
      <w:r>
        <w:rPr>
          <w:sz w:val="20"/>
        </w:rPr>
        <w:t xml:space="preserve"> по каждому пункту объектного сметного расчета (сметы) указываются итоги по локальным сметным расчетам (сметам).</w:t>
      </w:r>
    </w:p>
    <w:p>
      <w:pPr>
        <w:pStyle w:val="0"/>
        <w:spacing w:before="200" w:line-rule="auto"/>
        <w:ind w:firstLine="540"/>
        <w:jc w:val="both"/>
      </w:pPr>
      <w:r>
        <w:rPr>
          <w:sz w:val="20"/>
        </w:rPr>
        <w:t xml:space="preserve">2. Итоги оплаты труда, стоимости эксплуатации машин и механизмов, материальных ресурсов, перевозки, сметной прибыли, накладных расходов, оборудования и прочих затрат приводятся в </w:t>
      </w:r>
      <w:hyperlink w:history="0" w:anchor="P8483" w:tooltip="4">
        <w:r>
          <w:rPr>
            <w:sz w:val="20"/>
            <w:color w:val="0000ff"/>
          </w:rPr>
          <w:t xml:space="preserve">графах 4</w:t>
        </w:r>
      </w:hyperlink>
      <w:r>
        <w:rPr>
          <w:sz w:val="20"/>
        </w:rPr>
        <w:t xml:space="preserve"> - </w:t>
      </w:r>
      <w:hyperlink w:history="0" w:anchor="P8487" w:tooltip="8">
        <w:r>
          <w:rPr>
            <w:sz w:val="20"/>
            <w:color w:val="0000ff"/>
          </w:rPr>
          <w:t xml:space="preserve">8</w:t>
        </w:r>
      </w:hyperlink>
      <w:r>
        <w:rPr>
          <w:sz w:val="20"/>
        </w:rPr>
        <w:t xml:space="preserve"> при определении сметной стоимости ресурсным и ресурсно-индексным методом без учета/с учетом затрат на строительство титульных временных зданий и сооружений и дополнительных затрат при производстве работ в зимнее время.</w:t>
      </w:r>
    </w:p>
    <w:p>
      <w:pPr>
        <w:pStyle w:val="0"/>
        <w:spacing w:before="200" w:line-rule="auto"/>
        <w:ind w:firstLine="540"/>
        <w:jc w:val="both"/>
      </w:pPr>
      <w:r>
        <w:rPr>
          <w:sz w:val="20"/>
        </w:rPr>
        <w:t xml:space="preserve">3. В </w:t>
      </w:r>
      <w:hyperlink w:history="0" w:anchor="P8485" w:tooltip="6">
        <w:r>
          <w:rPr>
            <w:sz w:val="20"/>
            <w:color w:val="0000ff"/>
          </w:rPr>
          <w:t xml:space="preserve">графе 6</w:t>
        </w:r>
      </w:hyperlink>
      <w:r>
        <w:rPr>
          <w:sz w:val="20"/>
        </w:rPr>
        <w:t xml:space="preserve"> помимо стоимости оборудования учитывается также стоимость мебели, инвентаря и произведений изобразительного искусства станкового характера.</w:t>
      </w:r>
    </w:p>
    <w:p>
      <w:pPr>
        <w:pStyle w:val="0"/>
        <w:spacing w:before="200" w:line-rule="auto"/>
        <w:ind w:firstLine="540"/>
        <w:jc w:val="both"/>
      </w:pPr>
      <w:r>
        <w:rPr>
          <w:sz w:val="20"/>
        </w:rPr>
        <w:t xml:space="preserve">4. Перевозка показывается отдельной строкой в итогах объектного сметного расчета (сметы), за исключением случаев, приведенных в </w:t>
      </w:r>
      <w:hyperlink w:history="0" w:anchor="P270" w:tooltip="63. При соответствующем обосновании в проектной и (или) иной технической документацией при определении дополнительных затрат на перевозку грузов для строительства автомобильным транспортом сверх расстояния, учтенного сметными ценами на материальные ресурсы и оборудование и индексами изменения сметной стоимости, при составлении локального сметного расчета (сметы) затраты на перевозку грузов для строительства, учтенные сметными ценами и индексами изменения сметной стоимости, исключаются, а затраты на перев...">
        <w:r>
          <w:rPr>
            <w:sz w:val="20"/>
            <w:color w:val="0000ff"/>
          </w:rPr>
          <w:t xml:space="preserve">пункте 63</w:t>
        </w:r>
      </w:hyperlink>
      <w:r>
        <w:rPr>
          <w:sz w:val="20"/>
        </w:rPr>
        <w:t xml:space="preserve"> Методики.</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5"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tbl>
      <w:tblPr>
        <w:tblInd w:w="0" w:type="dxa"/>
        <w:tblLayout w:type="fixed"/>
        <w:tblCellMar>
          <w:top w:w="102" w:type="dxa"/>
          <w:left w:w="62" w:type="dxa"/>
          <w:bottom w:w="102" w:type="dxa"/>
          <w:right w:w="62" w:type="dxa"/>
        </w:tblCellMar>
      </w:tblPr>
      <w:tblGrid>
        <w:gridCol w:w="1225"/>
        <w:gridCol w:w="7846"/>
      </w:tblGrid>
      <w:tr>
        <w:tc>
          <w:tcPr>
            <w:tcW w:w="1225" w:type="dxa"/>
            <w:tcBorders>
              <w:top w:val="nil"/>
              <w:left w:val="nil"/>
              <w:bottom w:val="nil"/>
              <w:right w:val="nil"/>
            </w:tcBorders>
          </w:tcPr>
          <w:p>
            <w:pPr>
              <w:pStyle w:val="0"/>
              <w:jc w:val="both"/>
            </w:pPr>
            <w:r>
              <w:rPr>
                <w:sz w:val="20"/>
              </w:rPr>
              <w:t xml:space="preserve">Заказчик</w:t>
            </w:r>
          </w:p>
        </w:tc>
        <w:tc>
          <w:tcPr>
            <w:tcW w:w="7846" w:type="dxa"/>
            <w:tcBorders>
              <w:top w:val="nil"/>
              <w:left w:val="nil"/>
              <w:bottom w:val="single" w:sz="4"/>
              <w:right w:val="nil"/>
            </w:tcBorders>
          </w:tcPr>
          <w:p>
            <w:pPr>
              <w:pStyle w:val="0"/>
            </w:pPr>
            <w:r>
              <w:rPr>
                <w:sz w:val="20"/>
              </w:rPr>
            </w:r>
          </w:p>
        </w:tc>
      </w:tr>
      <w:tr>
        <w:tc>
          <w:tcPr>
            <w:tcW w:w="1225" w:type="dxa"/>
            <w:tcBorders>
              <w:top w:val="nil"/>
              <w:left w:val="nil"/>
              <w:bottom w:val="nil"/>
              <w:right w:val="nil"/>
            </w:tcBorders>
          </w:tcPr>
          <w:p>
            <w:pPr>
              <w:pStyle w:val="0"/>
            </w:pPr>
            <w:r>
              <w:rPr>
                <w:sz w:val="20"/>
              </w:rPr>
            </w:r>
          </w:p>
        </w:tc>
        <w:tc>
          <w:tcPr>
            <w:tcW w:w="7846" w:type="dxa"/>
            <w:tcBorders>
              <w:top w:val="single" w:sz="4"/>
              <w:left w:val="nil"/>
              <w:bottom w:val="nil"/>
              <w:right w:val="nil"/>
            </w:tcBorders>
          </w:tcPr>
          <w:p>
            <w:pPr>
              <w:pStyle w:val="0"/>
              <w:jc w:val="center"/>
            </w:pPr>
            <w:r>
              <w:rPr>
                <w:sz w:val="20"/>
              </w:rPr>
              <w:t xml:space="preserve">(наименование организации)</w:t>
            </w:r>
          </w:p>
        </w:tc>
      </w:tr>
      <w:tr>
        <w:tc>
          <w:tcPr>
            <w:gridSpan w:val="2"/>
            <w:tcW w:w="9071" w:type="dxa"/>
            <w:tcBorders>
              <w:top w:val="nil"/>
              <w:left w:val="nil"/>
              <w:bottom w:val="nil"/>
              <w:right w:val="nil"/>
            </w:tcBorders>
          </w:tcPr>
          <w:p>
            <w:pPr>
              <w:pStyle w:val="0"/>
              <w:jc w:val="both"/>
            </w:pPr>
            <w:r>
              <w:rPr>
                <w:sz w:val="20"/>
              </w:rPr>
              <w:t xml:space="preserve">Утвержден __ ______________ 20__ г.</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215"/>
        <w:gridCol w:w="2664"/>
        <w:gridCol w:w="1190"/>
      </w:tblGrid>
      <w:tr>
        <w:tc>
          <w:tcPr>
            <w:tcW w:w="5215" w:type="dxa"/>
            <w:tcBorders>
              <w:top w:val="nil"/>
              <w:left w:val="nil"/>
              <w:bottom w:val="nil"/>
              <w:right w:val="nil"/>
            </w:tcBorders>
          </w:tcPr>
          <w:p>
            <w:pPr>
              <w:pStyle w:val="0"/>
              <w:jc w:val="both"/>
            </w:pPr>
            <w:r>
              <w:rPr>
                <w:sz w:val="20"/>
              </w:rPr>
              <w:t xml:space="preserve">Сводный сметный расчет сметной стоимостью</w:t>
            </w:r>
          </w:p>
        </w:tc>
        <w:tc>
          <w:tcPr>
            <w:tcW w:w="2664" w:type="dxa"/>
            <w:tcBorders>
              <w:top w:val="nil"/>
              <w:left w:val="nil"/>
              <w:bottom w:val="single" w:sz="4"/>
              <w:right w:val="nil"/>
            </w:tcBorders>
          </w:tcPr>
          <w:p>
            <w:pPr>
              <w:pStyle w:val="0"/>
            </w:pPr>
            <w:r>
              <w:rPr>
                <w:sz w:val="20"/>
              </w:rPr>
            </w:r>
          </w:p>
        </w:tc>
        <w:tc>
          <w:tcPr>
            <w:tcW w:w="1190" w:type="dxa"/>
            <w:tcBorders>
              <w:top w:val="nil"/>
              <w:left w:val="nil"/>
              <w:bottom w:val="nil"/>
              <w:right w:val="nil"/>
            </w:tcBorders>
          </w:tcPr>
          <w:p>
            <w:pPr>
              <w:pStyle w:val="0"/>
              <w:jc w:val="right"/>
            </w:pPr>
            <w:r>
              <w:rPr>
                <w:sz w:val="20"/>
              </w:rPr>
              <w:t xml:space="preserve">тыс. руб.</w:t>
            </w:r>
          </w:p>
        </w:tc>
      </w:tr>
      <w:tr>
        <w:tc>
          <w:tcPr>
            <w:gridSpan w:val="3"/>
            <w:tcW w:w="9069" w:type="dxa"/>
            <w:tcBorders>
              <w:top w:val="nil"/>
              <w:left w:val="nil"/>
              <w:bottom w:val="single" w:sz="4"/>
              <w:right w:val="nil"/>
            </w:tcBorders>
          </w:tcPr>
          <w:p>
            <w:pPr>
              <w:pStyle w:val="0"/>
            </w:pPr>
            <w:r>
              <w:rPr>
                <w:sz w:val="20"/>
              </w:rPr>
            </w:r>
          </w:p>
        </w:tc>
      </w:tr>
      <w:tr>
        <w:tblPrEx>
          <w:tblBorders>
            <w:insideH w:val="single" w:sz="4"/>
          </w:tblBorders>
        </w:tblPrEx>
        <w:tc>
          <w:tcPr>
            <w:gridSpan w:val="3"/>
            <w:tcW w:w="9069" w:type="dxa"/>
            <w:tcBorders>
              <w:top w:val="single" w:sz="4"/>
              <w:left w:val="nil"/>
              <w:bottom w:val="nil"/>
              <w:right w:val="nil"/>
            </w:tcBorders>
          </w:tcPr>
          <w:p>
            <w:pPr>
              <w:pStyle w:val="0"/>
              <w:jc w:val="center"/>
            </w:pPr>
            <w:r>
              <w:rPr>
                <w:sz w:val="20"/>
              </w:rPr>
              <w:t xml:space="preserve">(ссылка на документ об утверждении)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8726" w:name="P8726"/>
          <w:bookmarkEnd w:id="8726"/>
          <w:p>
            <w:pPr>
              <w:pStyle w:val="0"/>
              <w:jc w:val="center"/>
            </w:pPr>
            <w:r>
              <w:rPr>
                <w:sz w:val="20"/>
              </w:rPr>
              <w:t xml:space="preserve">СВОДНЫЙ СМЕТНЫЙ РАСЧЕТ СТОИМОСТИ СТРОИТЕЛЬСТВА</w:t>
            </w:r>
          </w:p>
          <w:p>
            <w:pPr>
              <w:pStyle w:val="0"/>
              <w:jc w:val="center"/>
            </w:pPr>
            <w:r>
              <w:rPr>
                <w:sz w:val="20"/>
              </w:rPr>
              <w:t xml:space="preserve">N ССРСС-________</w:t>
            </w:r>
          </w:p>
        </w:tc>
      </w:tr>
      <w:tr>
        <w:tc>
          <w:tcPr>
            <w:tcW w:w="9071" w:type="dxa"/>
            <w:tcBorders>
              <w:top w:val="nil"/>
              <w:left w:val="nil"/>
              <w:bottom w:val="single" w:sz="4"/>
              <w:right w:val="nil"/>
            </w:tcBorders>
          </w:tcPr>
          <w:p>
            <w:pPr>
              <w:pStyle w:val="0"/>
            </w:pPr>
            <w:r>
              <w:rPr>
                <w:sz w:val="20"/>
              </w:rPr>
            </w:r>
          </w:p>
        </w:tc>
      </w:tr>
      <w:tr>
        <w:tc>
          <w:tcPr>
            <w:tcW w:w="9071" w:type="dxa"/>
            <w:tcBorders>
              <w:top w:val="single" w:sz="4"/>
              <w:left w:val="nil"/>
              <w:bottom w:val="nil"/>
              <w:right w:val="nil"/>
            </w:tcBorders>
          </w:tcPr>
          <w:p>
            <w:pPr>
              <w:pStyle w:val="0"/>
              <w:jc w:val="center"/>
            </w:pPr>
            <w:r>
              <w:rPr>
                <w:sz w:val="20"/>
              </w:rPr>
              <w:t xml:space="preserve">(наименование стройки)</w:t>
            </w:r>
          </w:p>
        </w:tc>
      </w:tr>
      <w:tr>
        <w:tc>
          <w:tcPr>
            <w:tcW w:w="9071" w:type="dxa"/>
            <w:tcBorders>
              <w:top w:val="nil"/>
              <w:left w:val="nil"/>
              <w:bottom w:val="nil"/>
              <w:right w:val="nil"/>
            </w:tcBorders>
          </w:tcPr>
          <w:p>
            <w:pPr>
              <w:pStyle w:val="0"/>
            </w:pPr>
            <w:r>
              <w:rPr>
                <w:sz w:val="20"/>
              </w:rPr>
            </w:r>
          </w:p>
        </w:tc>
      </w:tr>
      <w:tr>
        <w:tc>
          <w:tcPr>
            <w:tcW w:w="9071" w:type="dxa"/>
            <w:tcBorders>
              <w:top w:val="nil"/>
              <w:left w:val="nil"/>
              <w:bottom w:val="nil"/>
              <w:right w:val="nil"/>
            </w:tcBorders>
          </w:tcPr>
          <w:p>
            <w:pPr>
              <w:pStyle w:val="0"/>
              <w:jc w:val="both"/>
            </w:pPr>
            <w:r>
              <w:rPr>
                <w:sz w:val="20"/>
              </w:rPr>
              <w:t xml:space="preserve">Составлен в базисном (текущем) уровне цен _________________ 20__ г.</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0"/>
        <w:gridCol w:w="1077"/>
        <w:gridCol w:w="1560"/>
        <w:gridCol w:w="1838"/>
        <w:gridCol w:w="1020"/>
        <w:gridCol w:w="1304"/>
        <w:gridCol w:w="907"/>
        <w:gridCol w:w="850"/>
      </w:tblGrid>
      <w:tr>
        <w:tc>
          <w:tcPr>
            <w:tcW w:w="490" w:type="dxa"/>
            <w:vMerge w:val="restart"/>
          </w:tcPr>
          <w:p>
            <w:pPr>
              <w:pStyle w:val="0"/>
              <w:jc w:val="center"/>
            </w:pPr>
            <w:r>
              <w:rPr>
                <w:sz w:val="20"/>
              </w:rPr>
              <w:t xml:space="preserve">N п/п</w:t>
            </w:r>
          </w:p>
        </w:tc>
        <w:tc>
          <w:tcPr>
            <w:tcW w:w="1077" w:type="dxa"/>
            <w:vMerge w:val="restart"/>
          </w:tcPr>
          <w:p>
            <w:pPr>
              <w:pStyle w:val="0"/>
              <w:jc w:val="center"/>
            </w:pPr>
            <w:r>
              <w:rPr>
                <w:sz w:val="20"/>
              </w:rPr>
              <w:t xml:space="preserve">Обоснование</w:t>
            </w:r>
          </w:p>
        </w:tc>
        <w:tc>
          <w:tcPr>
            <w:tcW w:w="1560" w:type="dxa"/>
            <w:vMerge w:val="restart"/>
          </w:tcPr>
          <w:p>
            <w:pPr>
              <w:pStyle w:val="0"/>
              <w:jc w:val="center"/>
            </w:pPr>
            <w:r>
              <w:rPr>
                <w:sz w:val="20"/>
              </w:rPr>
              <w:t xml:space="preserve">Наименование глав, объектов капитального строительства, работ и затрат</w:t>
            </w:r>
          </w:p>
        </w:tc>
        <w:tc>
          <w:tcPr>
            <w:gridSpan w:val="5"/>
            <w:tcW w:w="5919" w:type="dxa"/>
          </w:tcPr>
          <w:p>
            <w:pPr>
              <w:pStyle w:val="0"/>
              <w:jc w:val="center"/>
            </w:pPr>
            <w:r>
              <w:rPr>
                <w:sz w:val="20"/>
              </w:rPr>
              <w:t xml:space="preserve">Сметная стоимость, тыс. руб.</w:t>
            </w:r>
          </w:p>
        </w:tc>
      </w:tr>
      <w:tr>
        <w:tc>
          <w:tcPr>
            <w:vMerge w:val="continue"/>
          </w:tcPr>
          <w:p/>
        </w:tc>
        <w:tc>
          <w:tcPr>
            <w:vMerge w:val="continue"/>
          </w:tcPr>
          <w:p/>
        </w:tc>
        <w:tc>
          <w:tcPr>
            <w:vMerge w:val="continue"/>
          </w:tcPr>
          <w:p/>
        </w:tc>
        <w:tc>
          <w:tcPr>
            <w:tcW w:w="1838" w:type="dxa"/>
          </w:tcPr>
          <w:p>
            <w:pPr>
              <w:pStyle w:val="0"/>
              <w:jc w:val="center"/>
            </w:pPr>
            <w:r>
              <w:rPr>
                <w:sz w:val="20"/>
              </w:rPr>
              <w:t xml:space="preserve">строительных (ремонтно-строительных, ремонтно-реставрационных) работ</w:t>
            </w:r>
          </w:p>
        </w:tc>
        <w:tc>
          <w:tcPr>
            <w:tcW w:w="1020" w:type="dxa"/>
          </w:tcPr>
          <w:p>
            <w:pPr>
              <w:pStyle w:val="0"/>
              <w:jc w:val="center"/>
            </w:pPr>
            <w:r>
              <w:rPr>
                <w:sz w:val="20"/>
              </w:rPr>
              <w:t xml:space="preserve">монтажных работ</w:t>
            </w:r>
          </w:p>
        </w:tc>
        <w:tc>
          <w:tcPr>
            <w:tcW w:w="1304" w:type="dxa"/>
          </w:tcPr>
          <w:p>
            <w:pPr>
              <w:pStyle w:val="0"/>
              <w:jc w:val="center"/>
            </w:pPr>
            <w:r>
              <w:rPr>
                <w:sz w:val="20"/>
              </w:rPr>
              <w:t xml:space="preserve">оборудования</w:t>
            </w:r>
          </w:p>
        </w:tc>
        <w:tc>
          <w:tcPr>
            <w:tcW w:w="907" w:type="dxa"/>
          </w:tcPr>
          <w:p>
            <w:pPr>
              <w:pStyle w:val="0"/>
              <w:jc w:val="center"/>
            </w:pPr>
            <w:r>
              <w:rPr>
                <w:sz w:val="20"/>
              </w:rPr>
              <w:t xml:space="preserve">прочих затрат</w:t>
            </w:r>
          </w:p>
        </w:tc>
        <w:tc>
          <w:tcPr>
            <w:tcW w:w="850" w:type="dxa"/>
          </w:tcPr>
          <w:p>
            <w:pPr>
              <w:pStyle w:val="0"/>
              <w:jc w:val="center"/>
            </w:pPr>
            <w:r>
              <w:rPr>
                <w:sz w:val="20"/>
              </w:rPr>
              <w:t xml:space="preserve">всего</w:t>
            </w:r>
          </w:p>
        </w:tc>
      </w:tr>
      <w:tr>
        <w:tc>
          <w:tcPr>
            <w:tcW w:w="490" w:type="dxa"/>
          </w:tcPr>
          <w:p>
            <w:pPr>
              <w:pStyle w:val="0"/>
              <w:jc w:val="center"/>
            </w:pPr>
            <w:r>
              <w:rPr>
                <w:sz w:val="20"/>
              </w:rPr>
              <w:t xml:space="preserve">1</w:t>
            </w:r>
          </w:p>
        </w:tc>
        <w:tc>
          <w:tcPr>
            <w:tcW w:w="1077" w:type="dxa"/>
          </w:tcPr>
          <w:p>
            <w:pPr>
              <w:pStyle w:val="0"/>
              <w:jc w:val="center"/>
            </w:pPr>
            <w:r>
              <w:rPr>
                <w:sz w:val="20"/>
              </w:rPr>
              <w:t xml:space="preserve">2</w:t>
            </w:r>
          </w:p>
        </w:tc>
        <w:tc>
          <w:tcPr>
            <w:tcW w:w="1560" w:type="dxa"/>
          </w:tcPr>
          <w:p>
            <w:pPr>
              <w:pStyle w:val="0"/>
              <w:jc w:val="center"/>
            </w:pPr>
            <w:r>
              <w:rPr>
                <w:sz w:val="20"/>
              </w:rPr>
              <w:t xml:space="preserve">3</w:t>
            </w:r>
          </w:p>
        </w:tc>
        <w:tc>
          <w:tcPr>
            <w:tcW w:w="1838" w:type="dxa"/>
          </w:tcPr>
          <w:bookmarkStart w:id="8745" w:name="P8745"/>
          <w:bookmarkEnd w:id="8745"/>
          <w:p>
            <w:pPr>
              <w:pStyle w:val="0"/>
              <w:jc w:val="center"/>
            </w:pPr>
            <w:r>
              <w:rPr>
                <w:sz w:val="20"/>
              </w:rPr>
              <w:t xml:space="preserve">4</w:t>
            </w:r>
          </w:p>
        </w:tc>
        <w:tc>
          <w:tcPr>
            <w:tcW w:w="1020" w:type="dxa"/>
          </w:tcPr>
          <w:bookmarkStart w:id="8746" w:name="P8746"/>
          <w:bookmarkEnd w:id="8746"/>
          <w:p>
            <w:pPr>
              <w:pStyle w:val="0"/>
              <w:jc w:val="center"/>
            </w:pPr>
            <w:r>
              <w:rPr>
                <w:sz w:val="20"/>
              </w:rPr>
              <w:t xml:space="preserve">5</w:t>
            </w:r>
          </w:p>
        </w:tc>
        <w:tc>
          <w:tcPr>
            <w:tcW w:w="1304" w:type="dxa"/>
          </w:tcPr>
          <w:bookmarkStart w:id="8747" w:name="P8747"/>
          <w:bookmarkEnd w:id="8747"/>
          <w:p>
            <w:pPr>
              <w:pStyle w:val="0"/>
              <w:jc w:val="center"/>
            </w:pPr>
            <w:r>
              <w:rPr>
                <w:sz w:val="20"/>
              </w:rPr>
              <w:t xml:space="preserve">6</w:t>
            </w:r>
          </w:p>
        </w:tc>
        <w:tc>
          <w:tcPr>
            <w:tcW w:w="907" w:type="dxa"/>
          </w:tcPr>
          <w:bookmarkStart w:id="8748" w:name="P8748"/>
          <w:bookmarkEnd w:id="8748"/>
          <w:p>
            <w:pPr>
              <w:pStyle w:val="0"/>
              <w:jc w:val="center"/>
            </w:pPr>
            <w:r>
              <w:rPr>
                <w:sz w:val="20"/>
              </w:rPr>
              <w:t xml:space="preserve">7</w:t>
            </w:r>
          </w:p>
        </w:tc>
        <w:tc>
          <w:tcPr>
            <w:tcW w:w="850" w:type="dxa"/>
          </w:tcPr>
          <w:bookmarkStart w:id="8749" w:name="P8749"/>
          <w:bookmarkEnd w:id="8749"/>
          <w:p>
            <w:pPr>
              <w:pStyle w:val="0"/>
              <w:jc w:val="center"/>
            </w:pPr>
            <w:r>
              <w:rPr>
                <w:sz w:val="20"/>
              </w:rPr>
              <w:t xml:space="preserve">8</w:t>
            </w:r>
          </w:p>
        </w:tc>
      </w:tr>
      <w:tr>
        <w:tc>
          <w:tcPr>
            <w:tcW w:w="490" w:type="dxa"/>
          </w:tcPr>
          <w:p>
            <w:pPr>
              <w:pStyle w:val="0"/>
            </w:pPr>
            <w:r>
              <w:rPr>
                <w:sz w:val="20"/>
              </w:rPr>
            </w:r>
          </w:p>
        </w:tc>
        <w:tc>
          <w:tcPr>
            <w:tcW w:w="1077" w:type="dxa"/>
          </w:tcPr>
          <w:p>
            <w:pPr>
              <w:pStyle w:val="0"/>
            </w:pPr>
            <w:r>
              <w:rPr>
                <w:sz w:val="20"/>
              </w:rPr>
            </w:r>
          </w:p>
        </w:tc>
        <w:tc>
          <w:tcPr>
            <w:tcW w:w="1560" w:type="dxa"/>
          </w:tcPr>
          <w:p>
            <w:pPr>
              <w:pStyle w:val="0"/>
            </w:pPr>
            <w:r>
              <w:rPr>
                <w:sz w:val="20"/>
              </w:rPr>
            </w:r>
          </w:p>
        </w:tc>
        <w:tc>
          <w:tcPr>
            <w:tcW w:w="1838" w:type="dxa"/>
          </w:tcPr>
          <w:p>
            <w:pPr>
              <w:pStyle w:val="0"/>
            </w:pPr>
            <w:r>
              <w:rPr>
                <w:sz w:val="20"/>
              </w:rPr>
            </w:r>
          </w:p>
        </w:tc>
        <w:tc>
          <w:tcPr>
            <w:tcW w:w="1020" w:type="dxa"/>
          </w:tcPr>
          <w:p>
            <w:pPr>
              <w:pStyle w:val="0"/>
            </w:pPr>
            <w:r>
              <w:rPr>
                <w:sz w:val="20"/>
              </w:rPr>
            </w:r>
          </w:p>
        </w:tc>
        <w:tc>
          <w:tcPr>
            <w:tcW w:w="1304"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90" w:type="dxa"/>
          </w:tcPr>
          <w:p>
            <w:pPr>
              <w:pStyle w:val="0"/>
            </w:pPr>
            <w:r>
              <w:rPr>
                <w:sz w:val="20"/>
              </w:rPr>
            </w:r>
          </w:p>
        </w:tc>
        <w:tc>
          <w:tcPr>
            <w:tcW w:w="1077" w:type="dxa"/>
          </w:tcPr>
          <w:p>
            <w:pPr>
              <w:pStyle w:val="0"/>
            </w:pPr>
            <w:r>
              <w:rPr>
                <w:sz w:val="20"/>
              </w:rPr>
            </w:r>
          </w:p>
        </w:tc>
        <w:tc>
          <w:tcPr>
            <w:tcW w:w="1560" w:type="dxa"/>
          </w:tcPr>
          <w:p>
            <w:pPr>
              <w:pStyle w:val="0"/>
            </w:pPr>
            <w:r>
              <w:rPr>
                <w:sz w:val="20"/>
              </w:rPr>
            </w:r>
          </w:p>
        </w:tc>
        <w:tc>
          <w:tcPr>
            <w:tcW w:w="1838" w:type="dxa"/>
          </w:tcPr>
          <w:p>
            <w:pPr>
              <w:pStyle w:val="0"/>
            </w:pPr>
            <w:r>
              <w:rPr>
                <w:sz w:val="20"/>
              </w:rPr>
            </w:r>
          </w:p>
        </w:tc>
        <w:tc>
          <w:tcPr>
            <w:tcW w:w="1020" w:type="dxa"/>
          </w:tcPr>
          <w:p>
            <w:pPr>
              <w:pStyle w:val="0"/>
            </w:pPr>
            <w:r>
              <w:rPr>
                <w:sz w:val="20"/>
              </w:rPr>
            </w:r>
          </w:p>
        </w:tc>
        <w:tc>
          <w:tcPr>
            <w:tcW w:w="1304" w:type="dxa"/>
          </w:tcPr>
          <w:p>
            <w:pPr>
              <w:pStyle w:val="0"/>
            </w:pPr>
            <w:r>
              <w:rPr>
                <w:sz w:val="20"/>
              </w:rPr>
            </w:r>
          </w:p>
        </w:tc>
        <w:tc>
          <w:tcPr>
            <w:tcW w:w="907" w:type="dxa"/>
          </w:tcPr>
          <w:p>
            <w:pPr>
              <w:pStyle w:val="0"/>
            </w:pPr>
            <w:r>
              <w:rPr>
                <w:sz w:val="20"/>
              </w:rPr>
            </w:r>
          </w:p>
        </w:tc>
        <w:tc>
          <w:tcPr>
            <w:tcW w:w="850" w:type="dxa"/>
          </w:tcPr>
          <w:p>
            <w:pPr>
              <w:pStyle w:val="0"/>
            </w:pPr>
            <w:r>
              <w:rPr>
                <w:sz w:val="20"/>
              </w:rPr>
            </w:r>
          </w:p>
        </w:tc>
      </w:tr>
      <w:tr>
        <w:tc>
          <w:tcPr>
            <w:tcW w:w="490" w:type="dxa"/>
          </w:tcPr>
          <w:p>
            <w:pPr>
              <w:pStyle w:val="0"/>
            </w:pPr>
            <w:r>
              <w:rPr>
                <w:sz w:val="20"/>
              </w:rPr>
            </w:r>
          </w:p>
        </w:tc>
        <w:tc>
          <w:tcPr>
            <w:tcW w:w="1077" w:type="dxa"/>
          </w:tcPr>
          <w:p>
            <w:pPr>
              <w:pStyle w:val="0"/>
            </w:pPr>
            <w:r>
              <w:rPr>
                <w:sz w:val="20"/>
              </w:rPr>
            </w:r>
          </w:p>
        </w:tc>
        <w:tc>
          <w:tcPr>
            <w:tcW w:w="1560" w:type="dxa"/>
          </w:tcPr>
          <w:p>
            <w:pPr>
              <w:pStyle w:val="0"/>
            </w:pPr>
            <w:r>
              <w:rPr>
                <w:sz w:val="20"/>
              </w:rPr>
            </w:r>
          </w:p>
        </w:tc>
        <w:tc>
          <w:tcPr>
            <w:tcW w:w="1838" w:type="dxa"/>
          </w:tcPr>
          <w:p>
            <w:pPr>
              <w:pStyle w:val="0"/>
            </w:pPr>
            <w:r>
              <w:rPr>
                <w:sz w:val="20"/>
              </w:rPr>
            </w:r>
          </w:p>
        </w:tc>
        <w:tc>
          <w:tcPr>
            <w:tcW w:w="1020" w:type="dxa"/>
          </w:tcPr>
          <w:p>
            <w:pPr>
              <w:pStyle w:val="0"/>
            </w:pPr>
            <w:r>
              <w:rPr>
                <w:sz w:val="20"/>
              </w:rPr>
            </w:r>
          </w:p>
        </w:tc>
        <w:tc>
          <w:tcPr>
            <w:tcW w:w="1304" w:type="dxa"/>
          </w:tcPr>
          <w:p>
            <w:pPr>
              <w:pStyle w:val="0"/>
            </w:pPr>
            <w:r>
              <w:rPr>
                <w:sz w:val="20"/>
              </w:rPr>
            </w:r>
          </w:p>
        </w:tc>
        <w:tc>
          <w:tcPr>
            <w:tcW w:w="907" w:type="dxa"/>
          </w:tcPr>
          <w:p>
            <w:pPr>
              <w:pStyle w:val="0"/>
            </w:pPr>
            <w:r>
              <w:rPr>
                <w:sz w:val="20"/>
              </w:rPr>
            </w:r>
          </w:p>
        </w:tc>
        <w:tc>
          <w:tcPr>
            <w:tcW w:w="850"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644"/>
        <w:gridCol w:w="1644"/>
        <w:gridCol w:w="1084"/>
        <w:gridCol w:w="964"/>
        <w:gridCol w:w="3685"/>
      </w:tblGrid>
      <w:tr>
        <w:tc>
          <w:tcPr>
            <w:gridSpan w:val="2"/>
            <w:tcW w:w="3288" w:type="dxa"/>
            <w:tcBorders>
              <w:top w:val="nil"/>
              <w:left w:val="nil"/>
              <w:bottom w:val="nil"/>
              <w:right w:val="nil"/>
            </w:tcBorders>
          </w:tcPr>
          <w:p>
            <w:pPr>
              <w:pStyle w:val="0"/>
              <w:ind w:left="283"/>
            </w:pPr>
            <w:r>
              <w:rPr>
                <w:sz w:val="20"/>
              </w:rPr>
              <w:t xml:space="preserve">Руководитель</w:t>
            </w:r>
          </w:p>
          <w:p>
            <w:pPr>
              <w:pStyle w:val="0"/>
              <w:ind w:left="283"/>
            </w:pPr>
            <w:r>
              <w:rPr>
                <w:sz w:val="20"/>
              </w:rPr>
              <w:t xml:space="preserve">проектной организации</w:t>
            </w:r>
          </w:p>
        </w:tc>
        <w:tc>
          <w:tcPr>
            <w:gridSpan w:val="3"/>
            <w:tcW w:w="5733" w:type="dxa"/>
            <w:tcBorders>
              <w:top w:val="nil"/>
              <w:left w:val="nil"/>
              <w:bottom w:val="single" w:sz="4"/>
              <w:right w:val="nil"/>
            </w:tcBorders>
          </w:tcPr>
          <w:p>
            <w:pPr>
              <w:pStyle w:val="0"/>
            </w:pPr>
            <w:r>
              <w:rPr>
                <w:sz w:val="20"/>
              </w:rPr>
            </w:r>
          </w:p>
        </w:tc>
      </w:tr>
      <w:tr>
        <w:tc>
          <w:tcPr>
            <w:gridSpan w:val="2"/>
            <w:tcW w:w="3288" w:type="dxa"/>
            <w:tcBorders>
              <w:top w:val="nil"/>
              <w:left w:val="nil"/>
              <w:bottom w:val="nil"/>
              <w:right w:val="nil"/>
            </w:tcBorders>
          </w:tcPr>
          <w:p>
            <w:pPr>
              <w:pStyle w:val="0"/>
            </w:pPr>
            <w:r>
              <w:rPr>
                <w:sz w:val="20"/>
              </w:rPr>
            </w:r>
          </w:p>
        </w:tc>
        <w:tc>
          <w:tcPr>
            <w:gridSpan w:val="3"/>
            <w:tcW w:w="5733" w:type="dxa"/>
            <w:tcBorders>
              <w:top w:val="single" w:sz="4"/>
              <w:left w:val="nil"/>
              <w:bottom w:val="nil"/>
              <w:right w:val="nil"/>
            </w:tcBorders>
          </w:tcPr>
          <w:p>
            <w:pPr>
              <w:pStyle w:val="0"/>
              <w:jc w:val="center"/>
            </w:pPr>
            <w:r>
              <w:rPr>
                <w:sz w:val="20"/>
              </w:rPr>
              <w:t xml:space="preserve">[подпись (инициалы, фамилия)]</w:t>
            </w:r>
          </w:p>
        </w:tc>
      </w:tr>
      <w:tr>
        <w:tc>
          <w:tcPr>
            <w:gridSpan w:val="2"/>
            <w:tcW w:w="3288" w:type="dxa"/>
            <w:tcBorders>
              <w:top w:val="nil"/>
              <w:left w:val="nil"/>
              <w:bottom w:val="nil"/>
              <w:right w:val="nil"/>
            </w:tcBorders>
          </w:tcPr>
          <w:p>
            <w:pPr>
              <w:pStyle w:val="0"/>
              <w:ind w:left="283"/>
            </w:pPr>
            <w:r>
              <w:rPr>
                <w:sz w:val="20"/>
              </w:rPr>
              <w:t xml:space="preserve">Главный инженер проекта</w:t>
            </w:r>
          </w:p>
        </w:tc>
        <w:tc>
          <w:tcPr>
            <w:gridSpan w:val="3"/>
            <w:tcW w:w="5733" w:type="dxa"/>
            <w:tcBorders>
              <w:top w:val="nil"/>
              <w:left w:val="nil"/>
              <w:bottom w:val="single" w:sz="4"/>
              <w:right w:val="nil"/>
            </w:tcBorders>
          </w:tcPr>
          <w:p>
            <w:pPr>
              <w:pStyle w:val="0"/>
            </w:pPr>
            <w:r>
              <w:rPr>
                <w:sz w:val="20"/>
              </w:rPr>
            </w:r>
          </w:p>
        </w:tc>
      </w:tr>
      <w:tr>
        <w:tc>
          <w:tcPr>
            <w:gridSpan w:val="2"/>
            <w:tcW w:w="3288" w:type="dxa"/>
            <w:tcBorders>
              <w:top w:val="nil"/>
              <w:left w:val="nil"/>
              <w:bottom w:val="nil"/>
              <w:right w:val="nil"/>
            </w:tcBorders>
          </w:tcPr>
          <w:p>
            <w:pPr>
              <w:pStyle w:val="0"/>
            </w:pPr>
            <w:r>
              <w:rPr>
                <w:sz w:val="20"/>
              </w:rPr>
            </w:r>
          </w:p>
        </w:tc>
        <w:tc>
          <w:tcPr>
            <w:gridSpan w:val="3"/>
            <w:tcW w:w="5733" w:type="dxa"/>
            <w:tcBorders>
              <w:top w:val="single" w:sz="4"/>
              <w:left w:val="nil"/>
              <w:bottom w:val="nil"/>
              <w:right w:val="nil"/>
            </w:tcBorders>
          </w:tcPr>
          <w:p>
            <w:pPr>
              <w:pStyle w:val="0"/>
              <w:jc w:val="center"/>
            </w:pPr>
            <w:r>
              <w:rPr>
                <w:sz w:val="20"/>
              </w:rPr>
              <w:t xml:space="preserve">[подпись (инициалы, фамилия)]</w:t>
            </w:r>
          </w:p>
        </w:tc>
      </w:tr>
      <w:tr>
        <w:tc>
          <w:tcPr>
            <w:tcW w:w="1644" w:type="dxa"/>
            <w:tcBorders>
              <w:top w:val="nil"/>
              <w:left w:val="nil"/>
              <w:bottom w:val="nil"/>
              <w:right w:val="nil"/>
            </w:tcBorders>
          </w:tcPr>
          <w:p>
            <w:pPr>
              <w:pStyle w:val="0"/>
              <w:ind w:left="283"/>
            </w:pPr>
            <w:r>
              <w:rPr>
                <w:sz w:val="20"/>
              </w:rPr>
              <w:t xml:space="preserve">Начальник</w:t>
            </w:r>
          </w:p>
        </w:tc>
        <w:tc>
          <w:tcPr>
            <w:gridSpan w:val="2"/>
            <w:tcW w:w="2728" w:type="dxa"/>
            <w:tcBorders>
              <w:top w:val="nil"/>
              <w:left w:val="nil"/>
              <w:bottom w:val="single" w:sz="4"/>
              <w:right w:val="nil"/>
            </w:tcBorders>
          </w:tcPr>
          <w:p>
            <w:pPr>
              <w:pStyle w:val="0"/>
            </w:pPr>
            <w:r>
              <w:rPr>
                <w:sz w:val="20"/>
              </w:rPr>
            </w:r>
          </w:p>
        </w:tc>
        <w:tc>
          <w:tcPr>
            <w:tcW w:w="964" w:type="dxa"/>
            <w:tcBorders>
              <w:top w:val="nil"/>
              <w:left w:val="nil"/>
              <w:bottom w:val="nil"/>
              <w:right w:val="nil"/>
            </w:tcBorders>
          </w:tcPr>
          <w:p>
            <w:pPr>
              <w:pStyle w:val="0"/>
              <w:jc w:val="center"/>
            </w:pPr>
            <w:r>
              <w:rPr>
                <w:sz w:val="20"/>
              </w:rPr>
              <w:t xml:space="preserve">отдела</w:t>
            </w:r>
          </w:p>
        </w:tc>
        <w:tc>
          <w:tcPr>
            <w:tcW w:w="3685" w:type="dxa"/>
            <w:tcBorders>
              <w:top w:val="nil"/>
              <w:left w:val="nil"/>
              <w:bottom w:val="single" w:sz="4"/>
              <w:right w:val="nil"/>
            </w:tcBorders>
          </w:tcPr>
          <w:p>
            <w:pPr>
              <w:pStyle w:val="0"/>
            </w:pPr>
            <w:r>
              <w:rPr>
                <w:sz w:val="20"/>
              </w:rPr>
            </w:r>
          </w:p>
        </w:tc>
      </w:tr>
      <w:tr>
        <w:tc>
          <w:tcPr>
            <w:tcW w:w="1644" w:type="dxa"/>
            <w:tcBorders>
              <w:top w:val="nil"/>
              <w:left w:val="nil"/>
              <w:bottom w:val="nil"/>
              <w:right w:val="nil"/>
            </w:tcBorders>
          </w:tcPr>
          <w:p>
            <w:pPr>
              <w:pStyle w:val="0"/>
            </w:pPr>
            <w:r>
              <w:rPr>
                <w:sz w:val="20"/>
              </w:rPr>
            </w:r>
          </w:p>
        </w:tc>
        <w:tc>
          <w:tcPr>
            <w:gridSpan w:val="2"/>
            <w:tcW w:w="2728" w:type="dxa"/>
            <w:tcBorders>
              <w:top w:val="single" w:sz="4"/>
              <w:left w:val="nil"/>
              <w:bottom w:val="nil"/>
              <w:right w:val="nil"/>
            </w:tcBorders>
          </w:tcPr>
          <w:p>
            <w:pPr>
              <w:pStyle w:val="0"/>
              <w:jc w:val="center"/>
            </w:pPr>
            <w:r>
              <w:rPr>
                <w:sz w:val="20"/>
              </w:rPr>
              <w:t xml:space="preserve">(наименование)</w:t>
            </w:r>
          </w:p>
        </w:tc>
        <w:tc>
          <w:tcPr>
            <w:tcW w:w="964" w:type="dxa"/>
            <w:tcBorders>
              <w:top w:val="nil"/>
              <w:left w:val="nil"/>
              <w:bottom w:val="nil"/>
              <w:right w:val="nil"/>
            </w:tcBorders>
          </w:tcPr>
          <w:p>
            <w:pPr>
              <w:pStyle w:val="0"/>
            </w:pPr>
            <w:r>
              <w:rPr>
                <w:sz w:val="20"/>
              </w:rPr>
            </w:r>
          </w:p>
        </w:tc>
        <w:tc>
          <w:tcPr>
            <w:tcW w:w="3685" w:type="dxa"/>
            <w:tcBorders>
              <w:top w:val="single" w:sz="4"/>
              <w:left w:val="nil"/>
              <w:bottom w:val="nil"/>
              <w:right w:val="nil"/>
            </w:tcBorders>
          </w:tcPr>
          <w:p>
            <w:pPr>
              <w:pStyle w:val="0"/>
              <w:jc w:val="center"/>
            </w:pPr>
            <w:r>
              <w:rPr>
                <w:sz w:val="20"/>
              </w:rPr>
              <w:t xml:space="preserve">[подпись (инициалы, фамилия)]</w:t>
            </w:r>
          </w:p>
        </w:tc>
      </w:tr>
      <w:tr>
        <w:tc>
          <w:tcPr>
            <w:tcW w:w="1644" w:type="dxa"/>
            <w:tcBorders>
              <w:top w:val="nil"/>
              <w:left w:val="nil"/>
              <w:bottom w:val="nil"/>
              <w:right w:val="nil"/>
            </w:tcBorders>
          </w:tcPr>
          <w:p>
            <w:pPr>
              <w:pStyle w:val="0"/>
              <w:ind w:left="283"/>
            </w:pPr>
            <w:r>
              <w:rPr>
                <w:sz w:val="20"/>
              </w:rPr>
              <w:t xml:space="preserve">Заказчик</w:t>
            </w:r>
          </w:p>
        </w:tc>
        <w:tc>
          <w:tcPr>
            <w:gridSpan w:val="4"/>
            <w:tcW w:w="7377" w:type="dxa"/>
            <w:tcBorders>
              <w:top w:val="nil"/>
              <w:left w:val="nil"/>
              <w:bottom w:val="single" w:sz="4"/>
              <w:right w:val="nil"/>
            </w:tcBorders>
          </w:tcPr>
          <w:p>
            <w:pPr>
              <w:pStyle w:val="0"/>
            </w:pPr>
            <w:r>
              <w:rPr>
                <w:sz w:val="20"/>
              </w:rPr>
            </w:r>
          </w:p>
        </w:tc>
      </w:tr>
      <w:tr>
        <w:tc>
          <w:tcPr>
            <w:tcW w:w="1644" w:type="dxa"/>
            <w:tcBorders>
              <w:top w:val="nil"/>
              <w:left w:val="nil"/>
              <w:bottom w:val="nil"/>
              <w:right w:val="nil"/>
            </w:tcBorders>
          </w:tcPr>
          <w:p>
            <w:pPr>
              <w:pStyle w:val="0"/>
            </w:pPr>
            <w:r>
              <w:rPr>
                <w:sz w:val="20"/>
              </w:rPr>
            </w:r>
          </w:p>
        </w:tc>
        <w:tc>
          <w:tcPr>
            <w:gridSpan w:val="4"/>
            <w:tcW w:w="7377" w:type="dxa"/>
            <w:tcBorders>
              <w:top w:val="single" w:sz="4"/>
              <w:left w:val="nil"/>
              <w:bottom w:val="nil"/>
              <w:right w:val="nil"/>
            </w:tcBorders>
          </w:tcPr>
          <w:p>
            <w:pPr>
              <w:pStyle w:val="0"/>
              <w:jc w:val="center"/>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Примечание:</w:t>
      </w:r>
    </w:p>
    <w:p>
      <w:pPr>
        <w:pStyle w:val="0"/>
        <w:spacing w:before="200" w:line-rule="auto"/>
        <w:ind w:firstLine="540"/>
        <w:jc w:val="both"/>
      </w:pPr>
      <w:r>
        <w:rPr>
          <w:sz w:val="20"/>
        </w:rPr>
        <w:t xml:space="preserve">1. В </w:t>
      </w:r>
      <w:hyperlink w:history="0" w:anchor="P8747" w:tooltip="6">
        <w:r>
          <w:rPr>
            <w:sz w:val="20"/>
            <w:color w:val="0000ff"/>
          </w:rPr>
          <w:t xml:space="preserve">графе 6</w:t>
        </w:r>
      </w:hyperlink>
      <w:r>
        <w:rPr>
          <w:sz w:val="20"/>
        </w:rPr>
        <w:t xml:space="preserve"> помимо стоимости оборудования учитывается также стоимость мебели, инвентаря и произведений искусства.</w:t>
      </w:r>
    </w:p>
    <w:p>
      <w:pPr>
        <w:pStyle w:val="0"/>
        <w:spacing w:before="200" w:line-rule="auto"/>
        <w:ind w:firstLine="540"/>
        <w:jc w:val="both"/>
      </w:pPr>
      <w:r>
        <w:rPr>
          <w:sz w:val="20"/>
        </w:rPr>
        <w:t xml:space="preserve">2. Графы сводного сметного расчета стоимости строительства заполняются при наличии данных.</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6"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tbl>
      <w:tblPr>
        <w:tblInd w:w="0" w:type="dxa"/>
        <w:tblLayout w:type="fixed"/>
        <w:tblCellMar>
          <w:top w:w="102" w:type="dxa"/>
          <w:left w:w="62" w:type="dxa"/>
          <w:bottom w:w="102" w:type="dxa"/>
          <w:right w:w="62" w:type="dxa"/>
        </w:tblCellMar>
      </w:tblPr>
      <w:tblGrid>
        <w:gridCol w:w="1225"/>
        <w:gridCol w:w="7846"/>
      </w:tblGrid>
      <w:tr>
        <w:tc>
          <w:tcPr>
            <w:tcW w:w="1225" w:type="dxa"/>
            <w:tcBorders>
              <w:top w:val="nil"/>
              <w:left w:val="nil"/>
              <w:bottom w:val="nil"/>
              <w:right w:val="nil"/>
            </w:tcBorders>
          </w:tcPr>
          <w:p>
            <w:pPr>
              <w:pStyle w:val="0"/>
              <w:jc w:val="both"/>
            </w:pPr>
            <w:r>
              <w:rPr>
                <w:sz w:val="20"/>
              </w:rPr>
              <w:t xml:space="preserve">Заказчик</w:t>
            </w:r>
          </w:p>
        </w:tc>
        <w:tc>
          <w:tcPr>
            <w:tcW w:w="7846" w:type="dxa"/>
            <w:tcBorders>
              <w:top w:val="nil"/>
              <w:left w:val="nil"/>
              <w:bottom w:val="single" w:sz="4"/>
              <w:right w:val="nil"/>
            </w:tcBorders>
          </w:tcPr>
          <w:p>
            <w:pPr>
              <w:pStyle w:val="0"/>
            </w:pPr>
            <w:r>
              <w:rPr>
                <w:sz w:val="20"/>
              </w:rPr>
            </w:r>
          </w:p>
        </w:tc>
      </w:tr>
      <w:tr>
        <w:tc>
          <w:tcPr>
            <w:tcW w:w="1225" w:type="dxa"/>
            <w:tcBorders>
              <w:top w:val="nil"/>
              <w:left w:val="nil"/>
              <w:bottom w:val="nil"/>
              <w:right w:val="nil"/>
            </w:tcBorders>
          </w:tcPr>
          <w:p>
            <w:pPr>
              <w:pStyle w:val="0"/>
            </w:pPr>
            <w:r>
              <w:rPr>
                <w:sz w:val="20"/>
              </w:rPr>
            </w:r>
          </w:p>
        </w:tc>
        <w:tc>
          <w:tcPr>
            <w:tcW w:w="7846" w:type="dxa"/>
            <w:tcBorders>
              <w:top w:val="single" w:sz="4"/>
              <w:left w:val="nil"/>
              <w:bottom w:val="nil"/>
              <w:right w:val="nil"/>
            </w:tcBorders>
          </w:tcPr>
          <w:p>
            <w:pPr>
              <w:pStyle w:val="0"/>
              <w:jc w:val="center"/>
            </w:pPr>
            <w:r>
              <w:rPr>
                <w:sz w:val="20"/>
              </w:rPr>
              <w:t xml:space="preserve">(наименование организации)</w:t>
            </w:r>
          </w:p>
        </w:tc>
      </w:tr>
      <w:tr>
        <w:tc>
          <w:tcPr>
            <w:gridSpan w:val="2"/>
            <w:tcW w:w="9071" w:type="dxa"/>
            <w:tcBorders>
              <w:top w:val="nil"/>
              <w:left w:val="nil"/>
              <w:bottom w:val="nil"/>
              <w:right w:val="nil"/>
            </w:tcBorders>
          </w:tcPr>
          <w:p>
            <w:pPr>
              <w:pStyle w:val="0"/>
              <w:jc w:val="both"/>
            </w:pPr>
            <w:r>
              <w:rPr>
                <w:sz w:val="20"/>
              </w:rPr>
              <w:t xml:space="preserve">Утверждена __ ______________ 20__ г.</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665"/>
        <w:gridCol w:w="5216"/>
        <w:gridCol w:w="1190"/>
      </w:tblGrid>
      <w:tr>
        <w:tc>
          <w:tcPr>
            <w:tcW w:w="2665" w:type="dxa"/>
            <w:tcBorders>
              <w:top w:val="nil"/>
              <w:left w:val="nil"/>
              <w:bottom w:val="nil"/>
              <w:right w:val="nil"/>
            </w:tcBorders>
          </w:tcPr>
          <w:p>
            <w:pPr>
              <w:pStyle w:val="0"/>
              <w:jc w:val="both"/>
            </w:pPr>
            <w:r>
              <w:rPr>
                <w:sz w:val="20"/>
              </w:rPr>
              <w:t xml:space="preserve">Сводка затрат в сумме</w:t>
            </w:r>
          </w:p>
        </w:tc>
        <w:tc>
          <w:tcPr>
            <w:tcW w:w="5216" w:type="dxa"/>
            <w:tcBorders>
              <w:top w:val="nil"/>
              <w:left w:val="nil"/>
              <w:bottom w:val="single" w:sz="4"/>
              <w:right w:val="nil"/>
            </w:tcBorders>
          </w:tcPr>
          <w:p>
            <w:pPr>
              <w:pStyle w:val="0"/>
            </w:pPr>
            <w:r>
              <w:rPr>
                <w:sz w:val="20"/>
              </w:rPr>
            </w:r>
          </w:p>
        </w:tc>
        <w:tc>
          <w:tcPr>
            <w:tcW w:w="1190" w:type="dxa"/>
            <w:tcBorders>
              <w:top w:val="nil"/>
              <w:left w:val="nil"/>
              <w:bottom w:val="nil"/>
              <w:right w:val="nil"/>
            </w:tcBorders>
          </w:tcPr>
          <w:p>
            <w:pPr>
              <w:pStyle w:val="0"/>
              <w:jc w:val="right"/>
            </w:pPr>
            <w:r>
              <w:rPr>
                <w:sz w:val="20"/>
              </w:rPr>
              <w:t xml:space="preserve">тыс. руб.</w:t>
            </w:r>
          </w:p>
        </w:tc>
      </w:tr>
      <w:tr>
        <w:tc>
          <w:tcPr>
            <w:gridSpan w:val="3"/>
            <w:tcW w:w="9071" w:type="dxa"/>
            <w:tcBorders>
              <w:top w:val="nil"/>
              <w:left w:val="nil"/>
              <w:bottom w:val="single" w:sz="4"/>
              <w:right w:val="nil"/>
            </w:tcBorders>
          </w:tcPr>
          <w:p>
            <w:pPr>
              <w:pStyle w:val="0"/>
            </w:pPr>
            <w:r>
              <w:rPr>
                <w:sz w:val="20"/>
              </w:rPr>
            </w:r>
          </w:p>
        </w:tc>
      </w:tr>
      <w:tr>
        <w:tc>
          <w:tcPr>
            <w:gridSpan w:val="3"/>
            <w:tcW w:w="9071" w:type="dxa"/>
            <w:tcBorders>
              <w:top w:val="single" w:sz="4"/>
              <w:left w:val="nil"/>
              <w:bottom w:val="nil"/>
              <w:right w:val="nil"/>
            </w:tcBorders>
          </w:tcPr>
          <w:p>
            <w:pPr>
              <w:pStyle w:val="0"/>
              <w:jc w:val="center"/>
            </w:pPr>
            <w:r>
              <w:rPr>
                <w:sz w:val="20"/>
              </w:rPr>
              <w:t xml:space="preserve">(ссылка на документ об утверждении)</w:t>
            </w:r>
          </w:p>
        </w:tc>
      </w:tr>
      <w:tr>
        <w:tc>
          <w:tcPr>
            <w:gridSpan w:val="3"/>
            <w:tcW w:w="9071" w:type="dxa"/>
            <w:tcBorders>
              <w:top w:val="nil"/>
              <w:left w:val="nil"/>
              <w:bottom w:val="nil"/>
              <w:right w:val="nil"/>
            </w:tcBorders>
          </w:tcPr>
          <w:p>
            <w:pPr>
              <w:pStyle w:val="0"/>
            </w:pPr>
            <w:r>
              <w:rPr>
                <w:sz w:val="20"/>
              </w:rPr>
              <w:t xml:space="preserve">"__" _____________ 20__ г.</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8837" w:name="P8837"/>
          <w:bookmarkEnd w:id="8837"/>
          <w:p>
            <w:pPr>
              <w:pStyle w:val="0"/>
              <w:jc w:val="center"/>
            </w:pPr>
            <w:r>
              <w:rPr>
                <w:sz w:val="20"/>
              </w:rPr>
              <w:t xml:space="preserve">СВОДКА ЗАТРАТ</w:t>
            </w:r>
          </w:p>
        </w:tc>
      </w:tr>
      <w:tr>
        <w:tc>
          <w:tcPr>
            <w:tcW w:w="9071" w:type="dxa"/>
            <w:tcBorders>
              <w:top w:val="nil"/>
              <w:left w:val="nil"/>
              <w:bottom w:val="single" w:sz="4"/>
              <w:right w:val="nil"/>
            </w:tcBorders>
          </w:tcPr>
          <w:p>
            <w:pPr>
              <w:pStyle w:val="0"/>
            </w:pPr>
            <w:r>
              <w:rPr>
                <w:sz w:val="20"/>
              </w:rPr>
            </w:r>
          </w:p>
        </w:tc>
      </w:tr>
      <w:tr>
        <w:tblPrEx>
          <w:tblBorders>
            <w:insideH w:val="single" w:sz="4"/>
          </w:tblBorders>
        </w:tblPrEx>
        <w:tc>
          <w:tcPr>
            <w:tcW w:w="9071" w:type="dxa"/>
            <w:tcBorders>
              <w:top w:val="single" w:sz="4"/>
              <w:left w:val="nil"/>
              <w:bottom w:val="nil"/>
              <w:right w:val="nil"/>
            </w:tcBorders>
          </w:tcPr>
          <w:p>
            <w:pPr>
              <w:pStyle w:val="0"/>
              <w:jc w:val="center"/>
            </w:pPr>
            <w:r>
              <w:rPr>
                <w:sz w:val="20"/>
              </w:rPr>
              <w:t xml:space="preserve">(наименование стройки)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0"/>
              </w:rPr>
              <w:t xml:space="preserve">Составлен в текущем уровне цен _________________ 20__ г.</w:t>
            </w:r>
          </w:p>
        </w:tc>
      </w:tr>
    </w:tbl>
    <w:p>
      <w:pPr>
        <w:pStyle w:val="0"/>
        <w:jc w:val="both"/>
      </w:pPr>
      <w:r>
        <w:rPr>
          <w:sz w:val="20"/>
        </w:rPr>
      </w:r>
    </w:p>
    <w:p>
      <w:pPr>
        <w:pStyle w:val="0"/>
        <w:outlineLvl w:val="2"/>
        <w:jc w:val="both"/>
      </w:pPr>
      <w:r>
        <w:rPr>
          <w:sz w:val="20"/>
        </w:rPr>
        <w:t xml:space="preserve">Таблица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288"/>
        <w:gridCol w:w="1927"/>
        <w:gridCol w:w="2381"/>
        <w:gridCol w:w="964"/>
      </w:tblGrid>
      <w:tr>
        <w:tc>
          <w:tcPr>
            <w:tcW w:w="510" w:type="dxa"/>
            <w:vMerge w:val="restart"/>
          </w:tcPr>
          <w:p>
            <w:pPr>
              <w:pStyle w:val="0"/>
              <w:jc w:val="center"/>
            </w:pPr>
            <w:r>
              <w:rPr>
                <w:sz w:val="20"/>
              </w:rPr>
              <w:t xml:space="preserve">N п/п</w:t>
            </w:r>
          </w:p>
        </w:tc>
        <w:tc>
          <w:tcPr>
            <w:tcW w:w="3288" w:type="dxa"/>
            <w:vMerge w:val="restart"/>
          </w:tcPr>
          <w:p>
            <w:pPr>
              <w:pStyle w:val="0"/>
              <w:jc w:val="center"/>
            </w:pPr>
            <w:r>
              <w:rPr>
                <w:sz w:val="20"/>
              </w:rPr>
              <w:t xml:space="preserve">Наименование затрат</w:t>
            </w:r>
          </w:p>
        </w:tc>
        <w:tc>
          <w:tcPr>
            <w:gridSpan w:val="3"/>
            <w:tcW w:w="5272" w:type="dxa"/>
          </w:tcPr>
          <w:p>
            <w:pPr>
              <w:pStyle w:val="0"/>
              <w:jc w:val="center"/>
            </w:pPr>
            <w:r>
              <w:rPr>
                <w:sz w:val="20"/>
              </w:rPr>
              <w:t xml:space="preserve">Сметная стоимость, тыс. руб.</w:t>
            </w:r>
          </w:p>
        </w:tc>
      </w:tr>
      <w:tr>
        <w:tc>
          <w:tcPr>
            <w:vMerge w:val="continue"/>
          </w:tcPr>
          <w:p/>
        </w:tc>
        <w:tc>
          <w:tcPr>
            <w:vMerge w:val="continue"/>
          </w:tcPr>
          <w:p/>
        </w:tc>
        <w:tc>
          <w:tcPr>
            <w:tcW w:w="1927" w:type="dxa"/>
          </w:tcPr>
          <w:p>
            <w:pPr>
              <w:pStyle w:val="0"/>
              <w:jc w:val="center"/>
            </w:pPr>
            <w:r>
              <w:rPr>
                <w:sz w:val="20"/>
              </w:rPr>
              <w:t xml:space="preserve">объектов производственного назначения</w:t>
            </w:r>
          </w:p>
        </w:tc>
        <w:tc>
          <w:tcPr>
            <w:tcW w:w="2381" w:type="dxa"/>
          </w:tcPr>
          <w:p>
            <w:pPr>
              <w:pStyle w:val="0"/>
              <w:jc w:val="center"/>
            </w:pPr>
            <w:r>
              <w:rPr>
                <w:sz w:val="20"/>
              </w:rPr>
              <w:t xml:space="preserve">объектов непроизводственного назначения</w:t>
            </w:r>
          </w:p>
        </w:tc>
        <w:tc>
          <w:tcPr>
            <w:tcW w:w="964" w:type="dxa"/>
          </w:tcPr>
          <w:p>
            <w:pPr>
              <w:pStyle w:val="0"/>
              <w:jc w:val="center"/>
            </w:pPr>
            <w:r>
              <w:rPr>
                <w:sz w:val="20"/>
              </w:rPr>
              <w:t xml:space="preserve">всего</w:t>
            </w:r>
          </w:p>
        </w:tc>
      </w:tr>
      <w:tr>
        <w:tc>
          <w:tcPr>
            <w:tcW w:w="510" w:type="dxa"/>
          </w:tcPr>
          <w:p>
            <w:pPr>
              <w:pStyle w:val="0"/>
              <w:jc w:val="center"/>
            </w:pPr>
            <w:r>
              <w:rPr>
                <w:sz w:val="20"/>
              </w:rPr>
              <w:t xml:space="preserve">1</w:t>
            </w:r>
          </w:p>
        </w:tc>
        <w:tc>
          <w:tcPr>
            <w:tcW w:w="3288" w:type="dxa"/>
          </w:tcPr>
          <w:p>
            <w:pPr>
              <w:pStyle w:val="0"/>
              <w:jc w:val="center"/>
            </w:pPr>
            <w:r>
              <w:rPr>
                <w:sz w:val="20"/>
              </w:rPr>
              <w:t xml:space="preserve">2</w:t>
            </w:r>
          </w:p>
        </w:tc>
        <w:tc>
          <w:tcPr>
            <w:tcW w:w="1927" w:type="dxa"/>
          </w:tcPr>
          <w:p>
            <w:pPr>
              <w:pStyle w:val="0"/>
              <w:jc w:val="center"/>
            </w:pPr>
            <w:r>
              <w:rPr>
                <w:sz w:val="20"/>
              </w:rPr>
              <w:t xml:space="preserve">3</w:t>
            </w:r>
          </w:p>
        </w:tc>
        <w:tc>
          <w:tcPr>
            <w:tcW w:w="2381" w:type="dxa"/>
          </w:tcPr>
          <w:p>
            <w:pPr>
              <w:pStyle w:val="0"/>
              <w:jc w:val="center"/>
            </w:pPr>
            <w:r>
              <w:rPr>
                <w:sz w:val="20"/>
              </w:rPr>
              <w:t xml:space="preserve">4</w:t>
            </w:r>
          </w:p>
        </w:tc>
        <w:tc>
          <w:tcPr>
            <w:tcW w:w="964" w:type="dxa"/>
          </w:tcPr>
          <w:p>
            <w:pPr>
              <w:pStyle w:val="0"/>
              <w:jc w:val="center"/>
            </w:pPr>
            <w:r>
              <w:rPr>
                <w:sz w:val="20"/>
              </w:rPr>
              <w:t xml:space="preserve">5</w:t>
            </w:r>
          </w:p>
        </w:tc>
      </w:tr>
      <w:tr>
        <w:tc>
          <w:tcPr>
            <w:tcW w:w="510" w:type="dxa"/>
          </w:tcPr>
          <w:p>
            <w:pPr>
              <w:pStyle w:val="0"/>
            </w:pPr>
            <w:r>
              <w:rPr>
                <w:sz w:val="20"/>
              </w:rPr>
              <w:t xml:space="preserve">1</w:t>
            </w:r>
          </w:p>
        </w:tc>
        <w:tc>
          <w:tcPr>
            <w:tcW w:w="3288" w:type="dxa"/>
          </w:tcPr>
          <w:p>
            <w:pPr>
              <w:pStyle w:val="0"/>
            </w:pPr>
            <w:r>
              <w:rPr>
                <w:sz w:val="20"/>
              </w:rPr>
              <w:t xml:space="preserve">Сметная стоимость:</w:t>
            </w:r>
          </w:p>
        </w:tc>
        <w:tc>
          <w:tcPr>
            <w:tcW w:w="1927" w:type="dxa"/>
          </w:tcPr>
          <w:p>
            <w:pPr>
              <w:pStyle w:val="0"/>
            </w:pPr>
            <w:r>
              <w:rPr>
                <w:sz w:val="20"/>
              </w:rPr>
            </w:r>
          </w:p>
        </w:tc>
        <w:tc>
          <w:tcPr>
            <w:tcW w:w="2381" w:type="dxa"/>
          </w:tcPr>
          <w:p>
            <w:pPr>
              <w:pStyle w:val="0"/>
            </w:pPr>
            <w:r>
              <w:rPr>
                <w:sz w:val="20"/>
              </w:rPr>
            </w:r>
          </w:p>
        </w:tc>
        <w:tc>
          <w:tcPr>
            <w:tcW w:w="964" w:type="dxa"/>
          </w:tcPr>
          <w:p>
            <w:pPr>
              <w:pStyle w:val="0"/>
            </w:pPr>
            <w:r>
              <w:rPr>
                <w:sz w:val="20"/>
              </w:rPr>
            </w:r>
          </w:p>
        </w:tc>
      </w:tr>
      <w:tr>
        <w:tc>
          <w:tcPr>
            <w:tcW w:w="510" w:type="dxa"/>
          </w:tcPr>
          <w:p>
            <w:pPr>
              <w:pStyle w:val="0"/>
            </w:pPr>
            <w:r>
              <w:rPr>
                <w:sz w:val="20"/>
              </w:rPr>
              <w:t xml:space="preserve">1.1</w:t>
            </w:r>
          </w:p>
        </w:tc>
        <w:tc>
          <w:tcPr>
            <w:tcW w:w="3288" w:type="dxa"/>
          </w:tcPr>
          <w:p>
            <w:pPr>
              <w:pStyle w:val="0"/>
              <w:ind w:left="283"/>
            </w:pPr>
            <w:r>
              <w:rPr>
                <w:sz w:val="20"/>
              </w:rPr>
              <w:t xml:space="preserve">строительных и монтажных работ</w:t>
            </w:r>
          </w:p>
        </w:tc>
        <w:tc>
          <w:tcPr>
            <w:tcW w:w="1927" w:type="dxa"/>
          </w:tcPr>
          <w:p>
            <w:pPr>
              <w:pStyle w:val="0"/>
            </w:pPr>
            <w:r>
              <w:rPr>
                <w:sz w:val="20"/>
              </w:rPr>
            </w:r>
          </w:p>
        </w:tc>
        <w:tc>
          <w:tcPr>
            <w:tcW w:w="2381" w:type="dxa"/>
          </w:tcPr>
          <w:p>
            <w:pPr>
              <w:pStyle w:val="0"/>
            </w:pPr>
            <w:r>
              <w:rPr>
                <w:sz w:val="20"/>
              </w:rPr>
            </w:r>
          </w:p>
        </w:tc>
        <w:tc>
          <w:tcPr>
            <w:tcW w:w="964" w:type="dxa"/>
          </w:tcPr>
          <w:p>
            <w:pPr>
              <w:pStyle w:val="0"/>
            </w:pPr>
            <w:r>
              <w:rPr>
                <w:sz w:val="20"/>
              </w:rPr>
            </w:r>
          </w:p>
        </w:tc>
      </w:tr>
      <w:tr>
        <w:tc>
          <w:tcPr>
            <w:tcW w:w="510" w:type="dxa"/>
          </w:tcPr>
          <w:p>
            <w:pPr>
              <w:pStyle w:val="0"/>
            </w:pPr>
            <w:r>
              <w:rPr>
                <w:sz w:val="20"/>
              </w:rPr>
              <w:t xml:space="preserve">1.2</w:t>
            </w:r>
          </w:p>
        </w:tc>
        <w:tc>
          <w:tcPr>
            <w:tcW w:w="3288" w:type="dxa"/>
          </w:tcPr>
          <w:p>
            <w:pPr>
              <w:pStyle w:val="0"/>
              <w:ind w:left="283"/>
            </w:pPr>
            <w:r>
              <w:rPr>
                <w:sz w:val="20"/>
              </w:rPr>
              <w:t xml:space="preserve">оборудования</w:t>
            </w:r>
          </w:p>
        </w:tc>
        <w:tc>
          <w:tcPr>
            <w:tcW w:w="1927" w:type="dxa"/>
          </w:tcPr>
          <w:p>
            <w:pPr>
              <w:pStyle w:val="0"/>
            </w:pPr>
            <w:r>
              <w:rPr>
                <w:sz w:val="20"/>
              </w:rPr>
            </w:r>
          </w:p>
        </w:tc>
        <w:tc>
          <w:tcPr>
            <w:tcW w:w="2381" w:type="dxa"/>
          </w:tcPr>
          <w:p>
            <w:pPr>
              <w:pStyle w:val="0"/>
            </w:pPr>
            <w:r>
              <w:rPr>
                <w:sz w:val="20"/>
              </w:rPr>
            </w:r>
          </w:p>
        </w:tc>
        <w:tc>
          <w:tcPr>
            <w:tcW w:w="964" w:type="dxa"/>
          </w:tcPr>
          <w:p>
            <w:pPr>
              <w:pStyle w:val="0"/>
            </w:pPr>
            <w:r>
              <w:rPr>
                <w:sz w:val="20"/>
              </w:rPr>
            </w:r>
          </w:p>
        </w:tc>
      </w:tr>
      <w:tr>
        <w:tc>
          <w:tcPr>
            <w:tcW w:w="510" w:type="dxa"/>
          </w:tcPr>
          <w:p>
            <w:pPr>
              <w:pStyle w:val="0"/>
            </w:pPr>
            <w:r>
              <w:rPr>
                <w:sz w:val="20"/>
              </w:rPr>
              <w:t xml:space="preserve">1.3</w:t>
            </w:r>
          </w:p>
        </w:tc>
        <w:tc>
          <w:tcPr>
            <w:tcW w:w="3288" w:type="dxa"/>
          </w:tcPr>
          <w:p>
            <w:pPr>
              <w:pStyle w:val="0"/>
              <w:ind w:left="283"/>
            </w:pPr>
            <w:r>
              <w:rPr>
                <w:sz w:val="20"/>
              </w:rPr>
              <w:t xml:space="preserve">прочих затрат</w:t>
            </w:r>
          </w:p>
        </w:tc>
        <w:tc>
          <w:tcPr>
            <w:tcW w:w="1927" w:type="dxa"/>
          </w:tcPr>
          <w:p>
            <w:pPr>
              <w:pStyle w:val="0"/>
            </w:pPr>
            <w:r>
              <w:rPr>
                <w:sz w:val="20"/>
              </w:rPr>
            </w:r>
          </w:p>
        </w:tc>
        <w:tc>
          <w:tcPr>
            <w:tcW w:w="2381" w:type="dxa"/>
          </w:tcPr>
          <w:p>
            <w:pPr>
              <w:pStyle w:val="0"/>
            </w:pPr>
            <w:r>
              <w:rPr>
                <w:sz w:val="20"/>
              </w:rPr>
            </w:r>
          </w:p>
        </w:tc>
        <w:tc>
          <w:tcPr>
            <w:tcW w:w="964" w:type="dxa"/>
          </w:tcPr>
          <w:p>
            <w:pPr>
              <w:pStyle w:val="0"/>
            </w:pPr>
            <w:r>
              <w:rPr>
                <w:sz w:val="20"/>
              </w:rPr>
            </w:r>
          </w:p>
        </w:tc>
      </w:tr>
      <w:tr>
        <w:tc>
          <w:tcPr>
            <w:tcW w:w="510" w:type="dxa"/>
          </w:tcPr>
          <w:p>
            <w:pPr>
              <w:pStyle w:val="0"/>
            </w:pPr>
            <w:r>
              <w:rPr>
                <w:sz w:val="20"/>
              </w:rPr>
              <w:t xml:space="preserve">2</w:t>
            </w:r>
          </w:p>
        </w:tc>
        <w:tc>
          <w:tcPr>
            <w:tcW w:w="3288" w:type="dxa"/>
          </w:tcPr>
          <w:p>
            <w:pPr>
              <w:pStyle w:val="0"/>
            </w:pPr>
            <w:r>
              <w:rPr>
                <w:sz w:val="20"/>
              </w:rPr>
              <w:t xml:space="preserve">Сметная стоимость всего,</w:t>
            </w:r>
          </w:p>
          <w:p>
            <w:pPr>
              <w:pStyle w:val="0"/>
            </w:pPr>
            <w:r>
              <w:rPr>
                <w:sz w:val="20"/>
              </w:rPr>
              <w:t xml:space="preserve">в том числе</w:t>
            </w:r>
          </w:p>
        </w:tc>
        <w:tc>
          <w:tcPr>
            <w:tcW w:w="1927" w:type="dxa"/>
          </w:tcPr>
          <w:p>
            <w:pPr>
              <w:pStyle w:val="0"/>
            </w:pPr>
            <w:r>
              <w:rPr>
                <w:sz w:val="20"/>
              </w:rPr>
            </w:r>
          </w:p>
        </w:tc>
        <w:tc>
          <w:tcPr>
            <w:tcW w:w="2381" w:type="dxa"/>
          </w:tcPr>
          <w:p>
            <w:pPr>
              <w:pStyle w:val="0"/>
            </w:pPr>
            <w:r>
              <w:rPr>
                <w:sz w:val="20"/>
              </w:rPr>
            </w:r>
          </w:p>
        </w:tc>
        <w:tc>
          <w:tcPr>
            <w:tcW w:w="964" w:type="dxa"/>
          </w:tcPr>
          <w:p>
            <w:pPr>
              <w:pStyle w:val="0"/>
            </w:pPr>
            <w:r>
              <w:rPr>
                <w:sz w:val="20"/>
              </w:rPr>
            </w:r>
          </w:p>
        </w:tc>
      </w:tr>
      <w:tr>
        <w:tc>
          <w:tcPr>
            <w:tcW w:w="510" w:type="dxa"/>
          </w:tcPr>
          <w:p>
            <w:pPr>
              <w:pStyle w:val="0"/>
            </w:pPr>
            <w:r>
              <w:rPr>
                <w:sz w:val="20"/>
              </w:rPr>
              <w:t xml:space="preserve">2.1</w:t>
            </w:r>
          </w:p>
        </w:tc>
        <w:tc>
          <w:tcPr>
            <w:tcW w:w="3288" w:type="dxa"/>
          </w:tcPr>
          <w:p>
            <w:pPr>
              <w:pStyle w:val="0"/>
            </w:pPr>
            <w:r>
              <w:rPr>
                <w:sz w:val="20"/>
              </w:rPr>
              <w:t xml:space="preserve">НДС</w:t>
            </w:r>
          </w:p>
        </w:tc>
        <w:tc>
          <w:tcPr>
            <w:tcW w:w="1927" w:type="dxa"/>
          </w:tcPr>
          <w:p>
            <w:pPr>
              <w:pStyle w:val="0"/>
            </w:pPr>
            <w:r>
              <w:rPr>
                <w:sz w:val="20"/>
              </w:rPr>
            </w:r>
          </w:p>
        </w:tc>
        <w:tc>
          <w:tcPr>
            <w:tcW w:w="2381" w:type="dxa"/>
          </w:tcPr>
          <w:p>
            <w:pPr>
              <w:pStyle w:val="0"/>
            </w:pPr>
            <w:r>
              <w:rPr>
                <w:sz w:val="20"/>
              </w:rPr>
            </w:r>
          </w:p>
        </w:tc>
        <w:tc>
          <w:tcPr>
            <w:tcW w:w="96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644"/>
        <w:gridCol w:w="1644"/>
        <w:gridCol w:w="1077"/>
        <w:gridCol w:w="963"/>
        <w:gridCol w:w="3741"/>
      </w:tblGrid>
      <w:tr>
        <w:tc>
          <w:tcPr>
            <w:gridSpan w:val="2"/>
            <w:tcW w:w="3288" w:type="dxa"/>
            <w:tcBorders>
              <w:top w:val="nil"/>
              <w:left w:val="nil"/>
              <w:bottom w:val="nil"/>
              <w:right w:val="nil"/>
            </w:tcBorders>
          </w:tcPr>
          <w:p>
            <w:pPr>
              <w:pStyle w:val="0"/>
              <w:ind w:left="283"/>
            </w:pPr>
            <w:r>
              <w:rPr>
                <w:sz w:val="20"/>
              </w:rPr>
              <w:t xml:space="preserve">Руководитель</w:t>
            </w:r>
          </w:p>
          <w:p>
            <w:pPr>
              <w:pStyle w:val="0"/>
              <w:ind w:left="283"/>
            </w:pPr>
            <w:r>
              <w:rPr>
                <w:sz w:val="20"/>
              </w:rPr>
              <w:t xml:space="preserve">проектной организации</w:t>
            </w:r>
          </w:p>
        </w:tc>
        <w:tc>
          <w:tcPr>
            <w:gridSpan w:val="3"/>
            <w:tcW w:w="5781" w:type="dxa"/>
            <w:tcBorders>
              <w:top w:val="nil"/>
              <w:left w:val="nil"/>
              <w:bottom w:val="single" w:sz="4"/>
              <w:right w:val="nil"/>
            </w:tcBorders>
          </w:tcPr>
          <w:p>
            <w:pPr>
              <w:pStyle w:val="0"/>
            </w:pPr>
            <w:r>
              <w:rPr>
                <w:sz w:val="20"/>
              </w:rPr>
            </w:r>
          </w:p>
        </w:tc>
      </w:tr>
      <w:tr>
        <w:tc>
          <w:tcPr>
            <w:gridSpan w:val="2"/>
            <w:tcW w:w="3288" w:type="dxa"/>
            <w:tcBorders>
              <w:top w:val="nil"/>
              <w:left w:val="nil"/>
              <w:bottom w:val="nil"/>
              <w:right w:val="nil"/>
            </w:tcBorders>
          </w:tcPr>
          <w:p>
            <w:pPr>
              <w:pStyle w:val="0"/>
            </w:pPr>
            <w:r>
              <w:rPr>
                <w:sz w:val="20"/>
              </w:rPr>
            </w:r>
          </w:p>
        </w:tc>
        <w:tc>
          <w:tcPr>
            <w:gridSpan w:val="3"/>
            <w:tcW w:w="5781" w:type="dxa"/>
            <w:tcBorders>
              <w:top w:val="single" w:sz="4"/>
              <w:left w:val="nil"/>
              <w:bottom w:val="nil"/>
              <w:right w:val="nil"/>
            </w:tcBorders>
          </w:tcPr>
          <w:p>
            <w:pPr>
              <w:pStyle w:val="0"/>
              <w:jc w:val="center"/>
            </w:pPr>
            <w:r>
              <w:rPr>
                <w:sz w:val="20"/>
              </w:rPr>
              <w:t xml:space="preserve">[подпись (инициалы, фамилия)]</w:t>
            </w:r>
          </w:p>
        </w:tc>
      </w:tr>
      <w:tr>
        <w:tc>
          <w:tcPr>
            <w:gridSpan w:val="2"/>
            <w:tcW w:w="3288" w:type="dxa"/>
            <w:tcBorders>
              <w:top w:val="nil"/>
              <w:left w:val="nil"/>
              <w:bottom w:val="nil"/>
              <w:right w:val="nil"/>
            </w:tcBorders>
          </w:tcPr>
          <w:p>
            <w:pPr>
              <w:pStyle w:val="0"/>
              <w:ind w:left="283"/>
            </w:pPr>
            <w:r>
              <w:rPr>
                <w:sz w:val="20"/>
              </w:rPr>
              <w:t xml:space="preserve">Главный инженер проекта</w:t>
            </w:r>
          </w:p>
        </w:tc>
        <w:tc>
          <w:tcPr>
            <w:gridSpan w:val="3"/>
            <w:tcW w:w="5781" w:type="dxa"/>
            <w:tcBorders>
              <w:top w:val="nil"/>
              <w:left w:val="nil"/>
              <w:bottom w:val="single" w:sz="4"/>
              <w:right w:val="nil"/>
            </w:tcBorders>
          </w:tcPr>
          <w:p>
            <w:pPr>
              <w:pStyle w:val="0"/>
            </w:pPr>
            <w:r>
              <w:rPr>
                <w:sz w:val="20"/>
              </w:rPr>
            </w:r>
          </w:p>
        </w:tc>
      </w:tr>
      <w:tr>
        <w:tc>
          <w:tcPr>
            <w:gridSpan w:val="2"/>
            <w:tcW w:w="3288" w:type="dxa"/>
            <w:tcBorders>
              <w:top w:val="nil"/>
              <w:left w:val="nil"/>
              <w:bottom w:val="nil"/>
              <w:right w:val="nil"/>
            </w:tcBorders>
          </w:tcPr>
          <w:p>
            <w:pPr>
              <w:pStyle w:val="0"/>
            </w:pPr>
            <w:r>
              <w:rPr>
                <w:sz w:val="20"/>
              </w:rPr>
            </w:r>
          </w:p>
        </w:tc>
        <w:tc>
          <w:tcPr>
            <w:gridSpan w:val="3"/>
            <w:tcW w:w="5781" w:type="dxa"/>
            <w:tcBorders>
              <w:top w:val="single" w:sz="4"/>
              <w:left w:val="nil"/>
              <w:bottom w:val="nil"/>
              <w:right w:val="nil"/>
            </w:tcBorders>
          </w:tcPr>
          <w:p>
            <w:pPr>
              <w:pStyle w:val="0"/>
              <w:jc w:val="center"/>
            </w:pPr>
            <w:r>
              <w:rPr>
                <w:sz w:val="20"/>
              </w:rPr>
              <w:t xml:space="preserve">[подпись (инициалы, фамилия)]</w:t>
            </w:r>
          </w:p>
        </w:tc>
      </w:tr>
      <w:tr>
        <w:tc>
          <w:tcPr>
            <w:tcW w:w="1644" w:type="dxa"/>
            <w:tcBorders>
              <w:top w:val="nil"/>
              <w:left w:val="nil"/>
              <w:bottom w:val="nil"/>
              <w:right w:val="nil"/>
            </w:tcBorders>
          </w:tcPr>
          <w:p>
            <w:pPr>
              <w:pStyle w:val="0"/>
              <w:ind w:left="283"/>
            </w:pPr>
            <w:r>
              <w:rPr>
                <w:sz w:val="20"/>
              </w:rPr>
              <w:t xml:space="preserve">Начальник</w:t>
            </w:r>
          </w:p>
        </w:tc>
        <w:tc>
          <w:tcPr>
            <w:gridSpan w:val="2"/>
            <w:tcW w:w="2721" w:type="dxa"/>
            <w:tcBorders>
              <w:top w:val="nil"/>
              <w:left w:val="nil"/>
              <w:bottom w:val="single" w:sz="4"/>
              <w:right w:val="nil"/>
            </w:tcBorders>
          </w:tcPr>
          <w:p>
            <w:pPr>
              <w:pStyle w:val="0"/>
            </w:pPr>
            <w:r>
              <w:rPr>
                <w:sz w:val="20"/>
              </w:rPr>
            </w:r>
          </w:p>
        </w:tc>
        <w:tc>
          <w:tcPr>
            <w:tcW w:w="963" w:type="dxa"/>
            <w:tcBorders>
              <w:top w:val="nil"/>
              <w:left w:val="nil"/>
              <w:bottom w:val="nil"/>
              <w:right w:val="nil"/>
            </w:tcBorders>
          </w:tcPr>
          <w:p>
            <w:pPr>
              <w:pStyle w:val="0"/>
              <w:jc w:val="center"/>
            </w:pPr>
            <w:r>
              <w:rPr>
                <w:sz w:val="20"/>
              </w:rPr>
              <w:t xml:space="preserve">отдела</w:t>
            </w:r>
          </w:p>
        </w:tc>
        <w:tc>
          <w:tcPr>
            <w:tcW w:w="3741" w:type="dxa"/>
            <w:tcBorders>
              <w:top w:val="nil"/>
              <w:left w:val="nil"/>
              <w:bottom w:val="single" w:sz="4"/>
              <w:right w:val="nil"/>
            </w:tcBorders>
          </w:tcPr>
          <w:p>
            <w:pPr>
              <w:pStyle w:val="0"/>
            </w:pPr>
            <w:r>
              <w:rPr>
                <w:sz w:val="20"/>
              </w:rPr>
            </w:r>
          </w:p>
        </w:tc>
      </w:tr>
      <w:tr>
        <w:tc>
          <w:tcPr>
            <w:tcW w:w="1644" w:type="dxa"/>
            <w:tcBorders>
              <w:top w:val="nil"/>
              <w:left w:val="nil"/>
              <w:bottom w:val="nil"/>
              <w:right w:val="nil"/>
            </w:tcBorders>
          </w:tcPr>
          <w:p>
            <w:pPr>
              <w:pStyle w:val="0"/>
            </w:pPr>
            <w:r>
              <w:rPr>
                <w:sz w:val="20"/>
              </w:rPr>
            </w:r>
          </w:p>
        </w:tc>
        <w:tc>
          <w:tcPr>
            <w:gridSpan w:val="2"/>
            <w:tcW w:w="2721" w:type="dxa"/>
            <w:tcBorders>
              <w:top w:val="single" w:sz="4"/>
              <w:left w:val="nil"/>
              <w:bottom w:val="nil"/>
              <w:right w:val="nil"/>
            </w:tcBorders>
          </w:tcPr>
          <w:p>
            <w:pPr>
              <w:pStyle w:val="0"/>
              <w:jc w:val="center"/>
            </w:pPr>
            <w:r>
              <w:rPr>
                <w:sz w:val="20"/>
              </w:rPr>
              <w:t xml:space="preserve">(наименование)</w:t>
            </w:r>
          </w:p>
        </w:tc>
        <w:tc>
          <w:tcPr>
            <w:tcW w:w="963" w:type="dxa"/>
            <w:tcBorders>
              <w:top w:val="nil"/>
              <w:left w:val="nil"/>
              <w:bottom w:val="nil"/>
              <w:right w:val="nil"/>
            </w:tcBorders>
          </w:tcPr>
          <w:p>
            <w:pPr>
              <w:pStyle w:val="0"/>
            </w:pPr>
            <w:r>
              <w:rPr>
                <w:sz w:val="20"/>
              </w:rPr>
            </w:r>
          </w:p>
        </w:tc>
        <w:tc>
          <w:tcPr>
            <w:tcW w:w="3741" w:type="dxa"/>
            <w:tcBorders>
              <w:top w:val="single" w:sz="4"/>
              <w:left w:val="nil"/>
              <w:bottom w:val="nil"/>
              <w:right w:val="nil"/>
            </w:tcBorders>
          </w:tcPr>
          <w:p>
            <w:pPr>
              <w:pStyle w:val="0"/>
              <w:jc w:val="center"/>
            </w:pPr>
            <w:r>
              <w:rPr>
                <w:sz w:val="20"/>
              </w:rPr>
              <w:t xml:space="preserve">[подпись (инициалы, фамилия)]</w:t>
            </w:r>
          </w:p>
        </w:tc>
      </w:tr>
      <w:tr>
        <w:tc>
          <w:tcPr>
            <w:tcW w:w="1644" w:type="dxa"/>
            <w:tcBorders>
              <w:top w:val="nil"/>
              <w:left w:val="nil"/>
              <w:bottom w:val="nil"/>
              <w:right w:val="nil"/>
            </w:tcBorders>
          </w:tcPr>
          <w:p>
            <w:pPr>
              <w:pStyle w:val="0"/>
              <w:ind w:left="283"/>
            </w:pPr>
            <w:r>
              <w:rPr>
                <w:sz w:val="20"/>
              </w:rPr>
              <w:t xml:space="preserve">Заказчик</w:t>
            </w:r>
          </w:p>
        </w:tc>
        <w:tc>
          <w:tcPr>
            <w:gridSpan w:val="4"/>
            <w:tcW w:w="7425" w:type="dxa"/>
            <w:tcBorders>
              <w:top w:val="nil"/>
              <w:left w:val="nil"/>
              <w:bottom w:val="single" w:sz="4"/>
              <w:right w:val="nil"/>
            </w:tcBorders>
          </w:tcPr>
          <w:p>
            <w:pPr>
              <w:pStyle w:val="0"/>
            </w:pPr>
            <w:r>
              <w:rPr>
                <w:sz w:val="20"/>
              </w:rPr>
            </w:r>
          </w:p>
        </w:tc>
      </w:tr>
      <w:tr>
        <w:tc>
          <w:tcPr>
            <w:tcW w:w="1644" w:type="dxa"/>
            <w:tcBorders>
              <w:top w:val="nil"/>
              <w:left w:val="nil"/>
              <w:bottom w:val="nil"/>
              <w:right w:val="nil"/>
            </w:tcBorders>
          </w:tcPr>
          <w:p>
            <w:pPr>
              <w:pStyle w:val="0"/>
            </w:pPr>
            <w:r>
              <w:rPr>
                <w:sz w:val="20"/>
              </w:rPr>
            </w:r>
          </w:p>
        </w:tc>
        <w:tc>
          <w:tcPr>
            <w:gridSpan w:val="4"/>
            <w:tcW w:w="7425" w:type="dxa"/>
            <w:tcBorders>
              <w:top w:val="single" w:sz="4"/>
              <w:left w:val="nil"/>
              <w:bottom w:val="nil"/>
              <w:right w:val="nil"/>
            </w:tcBorders>
          </w:tcPr>
          <w:p>
            <w:pPr>
              <w:pStyle w:val="0"/>
              <w:jc w:val="center"/>
            </w:pPr>
            <w:r>
              <w:rPr>
                <w:sz w:val="20"/>
              </w:rPr>
              <w:t xml:space="preserve">[должность, подпись (инициалы, фамилия)]</w:t>
            </w:r>
          </w:p>
        </w:tc>
      </w:tr>
    </w:tbl>
    <w:p>
      <w:pPr>
        <w:pStyle w:val="0"/>
        <w:jc w:val="both"/>
      </w:pPr>
      <w:r>
        <w:rPr>
          <w:sz w:val="20"/>
        </w:rPr>
      </w:r>
    </w:p>
    <w:bookmarkStart w:id="8910" w:name="P8910"/>
    <w:bookmarkEnd w:id="8910"/>
    <w:p>
      <w:pPr>
        <w:pStyle w:val="0"/>
        <w:outlineLvl w:val="2"/>
        <w:jc w:val="both"/>
      </w:pPr>
      <w:r>
        <w:rPr>
          <w:sz w:val="20"/>
        </w:rPr>
        <w:t xml:space="preserve">Таблица 2</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6"/>
        <w:gridCol w:w="806"/>
        <w:gridCol w:w="1243"/>
        <w:gridCol w:w="955"/>
        <w:gridCol w:w="850"/>
        <w:gridCol w:w="1417"/>
        <w:gridCol w:w="1152"/>
        <w:gridCol w:w="1134"/>
        <w:gridCol w:w="680"/>
        <w:gridCol w:w="850"/>
        <w:gridCol w:w="662"/>
        <w:gridCol w:w="454"/>
        <w:gridCol w:w="510"/>
        <w:gridCol w:w="567"/>
        <w:gridCol w:w="680"/>
        <w:gridCol w:w="907"/>
      </w:tblGrid>
      <w:tr>
        <w:tc>
          <w:tcPr>
            <w:tcW w:w="456" w:type="dxa"/>
            <w:vMerge w:val="restart"/>
          </w:tcPr>
          <w:p>
            <w:pPr>
              <w:pStyle w:val="0"/>
              <w:jc w:val="center"/>
            </w:pPr>
            <w:r>
              <w:rPr>
                <w:sz w:val="20"/>
              </w:rPr>
              <w:t xml:space="preserve">N п/п</w:t>
            </w:r>
          </w:p>
        </w:tc>
        <w:tc>
          <w:tcPr>
            <w:tcW w:w="806" w:type="dxa"/>
            <w:vMerge w:val="restart"/>
          </w:tcPr>
          <w:p>
            <w:pPr>
              <w:pStyle w:val="0"/>
              <w:jc w:val="center"/>
            </w:pPr>
            <w:r>
              <w:rPr>
                <w:sz w:val="20"/>
              </w:rPr>
              <w:t xml:space="preserve">Обоснование</w:t>
            </w:r>
          </w:p>
        </w:tc>
        <w:tc>
          <w:tcPr>
            <w:tcW w:w="1243" w:type="dxa"/>
            <w:vMerge w:val="restart"/>
          </w:tcPr>
          <w:p>
            <w:pPr>
              <w:pStyle w:val="0"/>
              <w:jc w:val="center"/>
            </w:pPr>
            <w:r>
              <w:rPr>
                <w:sz w:val="20"/>
              </w:rPr>
              <w:t xml:space="preserve">Наименование локальных сметных расчетов (смет), затрат</w:t>
            </w:r>
          </w:p>
        </w:tc>
        <w:tc>
          <w:tcPr>
            <w:gridSpan w:val="11"/>
            <w:tcW w:w="9231" w:type="dxa"/>
          </w:tcPr>
          <w:p>
            <w:pPr>
              <w:pStyle w:val="0"/>
              <w:jc w:val="center"/>
            </w:pPr>
            <w:r>
              <w:rPr>
                <w:sz w:val="20"/>
              </w:rPr>
              <w:t xml:space="preserve">Сметная стоимость, руб.</w:t>
            </w:r>
          </w:p>
        </w:tc>
        <w:tc>
          <w:tcPr>
            <w:gridSpan w:val="2"/>
            <w:tcW w:w="1587" w:type="dxa"/>
          </w:tcPr>
          <w:p>
            <w:pPr>
              <w:pStyle w:val="0"/>
              <w:jc w:val="center"/>
            </w:pPr>
            <w:r>
              <w:rPr>
                <w:sz w:val="20"/>
              </w:rPr>
              <w:t xml:space="preserve">Затраты труда, чел.-ч</w:t>
            </w:r>
          </w:p>
        </w:tc>
      </w:tr>
      <w:tr>
        <w:tc>
          <w:tcPr>
            <w:vMerge w:val="continue"/>
          </w:tcPr>
          <w:p/>
        </w:tc>
        <w:tc>
          <w:tcPr>
            <w:vMerge w:val="continue"/>
          </w:tcPr>
          <w:p/>
        </w:tc>
        <w:tc>
          <w:tcPr>
            <w:vMerge w:val="continue"/>
          </w:tcPr>
          <w:p/>
        </w:tc>
        <w:tc>
          <w:tcPr>
            <w:tcW w:w="955" w:type="dxa"/>
            <w:vMerge w:val="restart"/>
          </w:tcPr>
          <w:p>
            <w:pPr>
              <w:pStyle w:val="0"/>
              <w:jc w:val="center"/>
            </w:pPr>
            <w:r>
              <w:rPr>
                <w:sz w:val="20"/>
              </w:rPr>
              <w:t xml:space="preserve">Прямые затраты</w:t>
            </w:r>
          </w:p>
        </w:tc>
        <w:tc>
          <w:tcPr>
            <w:gridSpan w:val="5"/>
            <w:tcW w:w="5233" w:type="dxa"/>
          </w:tcPr>
          <w:p>
            <w:pPr>
              <w:pStyle w:val="0"/>
              <w:jc w:val="center"/>
            </w:pPr>
            <w:r>
              <w:rPr>
                <w:sz w:val="20"/>
              </w:rPr>
              <w:t xml:space="preserve">в том числе</w:t>
            </w:r>
          </w:p>
        </w:tc>
        <w:tc>
          <w:tcPr>
            <w:tcW w:w="850" w:type="dxa"/>
            <w:vMerge w:val="restart"/>
          </w:tcPr>
          <w:p>
            <w:pPr>
              <w:pStyle w:val="0"/>
              <w:jc w:val="center"/>
            </w:pPr>
            <w:r>
              <w:rPr>
                <w:sz w:val="20"/>
              </w:rPr>
              <w:t xml:space="preserve">Оборудование</w:t>
            </w:r>
          </w:p>
        </w:tc>
        <w:tc>
          <w:tcPr>
            <w:tcW w:w="662" w:type="dxa"/>
            <w:vMerge w:val="restart"/>
          </w:tcPr>
          <w:p>
            <w:pPr>
              <w:pStyle w:val="0"/>
              <w:jc w:val="center"/>
            </w:pPr>
            <w:r>
              <w:rPr>
                <w:sz w:val="20"/>
              </w:rPr>
              <w:t xml:space="preserve">ФОТ</w:t>
            </w:r>
          </w:p>
        </w:tc>
        <w:tc>
          <w:tcPr>
            <w:tcW w:w="454" w:type="dxa"/>
            <w:vMerge w:val="restart"/>
          </w:tcPr>
          <w:p>
            <w:pPr>
              <w:pStyle w:val="0"/>
              <w:jc w:val="center"/>
            </w:pPr>
            <w:r>
              <w:rPr>
                <w:sz w:val="20"/>
              </w:rPr>
              <w:t xml:space="preserve">НР</w:t>
            </w:r>
          </w:p>
        </w:tc>
        <w:tc>
          <w:tcPr>
            <w:tcW w:w="510" w:type="dxa"/>
            <w:vMerge w:val="restart"/>
          </w:tcPr>
          <w:p>
            <w:pPr>
              <w:pStyle w:val="0"/>
              <w:jc w:val="center"/>
            </w:pPr>
            <w:r>
              <w:rPr>
                <w:sz w:val="20"/>
              </w:rPr>
              <w:t xml:space="preserve">СП</w:t>
            </w:r>
          </w:p>
        </w:tc>
        <w:tc>
          <w:tcPr>
            <w:tcW w:w="567" w:type="dxa"/>
            <w:vMerge w:val="restart"/>
          </w:tcPr>
          <w:p>
            <w:pPr>
              <w:pStyle w:val="0"/>
              <w:jc w:val="center"/>
            </w:pPr>
            <w:r>
              <w:rPr>
                <w:sz w:val="20"/>
              </w:rPr>
              <w:t xml:space="preserve">Итого</w:t>
            </w:r>
          </w:p>
        </w:tc>
        <w:tc>
          <w:tcPr>
            <w:tcW w:w="680" w:type="dxa"/>
            <w:vMerge w:val="restart"/>
          </w:tcPr>
          <w:p>
            <w:pPr>
              <w:pStyle w:val="0"/>
              <w:jc w:val="center"/>
            </w:pPr>
            <w:r>
              <w:rPr>
                <w:sz w:val="20"/>
              </w:rPr>
              <w:t xml:space="preserve">рабочих</w:t>
            </w:r>
          </w:p>
        </w:tc>
        <w:tc>
          <w:tcPr>
            <w:tcW w:w="907" w:type="dxa"/>
            <w:vMerge w:val="restart"/>
          </w:tcPr>
          <w:p>
            <w:pPr>
              <w:pStyle w:val="0"/>
              <w:jc w:val="center"/>
            </w:pPr>
            <w:r>
              <w:rPr>
                <w:sz w:val="20"/>
              </w:rPr>
              <w:t xml:space="preserve">машинистов</w:t>
            </w:r>
          </w:p>
        </w:tc>
      </w:tr>
      <w:tr>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оплата труда рабочих</w:t>
            </w:r>
          </w:p>
        </w:tc>
        <w:tc>
          <w:tcPr>
            <w:tcW w:w="1417" w:type="dxa"/>
          </w:tcPr>
          <w:p>
            <w:pPr>
              <w:pStyle w:val="0"/>
              <w:jc w:val="center"/>
            </w:pPr>
            <w:r>
              <w:rPr>
                <w:sz w:val="20"/>
              </w:rPr>
              <w:t xml:space="preserve">стоимость эксплуатации машин и механизмов</w:t>
            </w:r>
          </w:p>
        </w:tc>
        <w:tc>
          <w:tcPr>
            <w:tcW w:w="1152" w:type="dxa"/>
          </w:tcPr>
          <w:p>
            <w:pPr>
              <w:pStyle w:val="0"/>
              <w:jc w:val="center"/>
            </w:pPr>
            <w:r>
              <w:rPr>
                <w:sz w:val="20"/>
              </w:rPr>
              <w:t xml:space="preserve">оплата труда машинистов</w:t>
            </w:r>
          </w:p>
        </w:tc>
        <w:tc>
          <w:tcPr>
            <w:tcW w:w="1134" w:type="dxa"/>
          </w:tcPr>
          <w:p>
            <w:pPr>
              <w:pStyle w:val="0"/>
              <w:jc w:val="center"/>
            </w:pPr>
            <w:r>
              <w:rPr>
                <w:sz w:val="20"/>
              </w:rPr>
              <w:t xml:space="preserve">материальные ресурсы</w:t>
            </w:r>
          </w:p>
        </w:tc>
        <w:tc>
          <w:tcPr>
            <w:tcW w:w="680" w:type="dxa"/>
          </w:tcPr>
          <w:p>
            <w:pPr>
              <w:pStyle w:val="0"/>
              <w:jc w:val="center"/>
            </w:pPr>
            <w:r>
              <w:rPr>
                <w:sz w:val="20"/>
              </w:rPr>
              <w:t xml:space="preserve">перевозка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456" w:type="dxa"/>
          </w:tcPr>
          <w:p>
            <w:pPr>
              <w:pStyle w:val="0"/>
              <w:jc w:val="center"/>
            </w:pPr>
            <w:r>
              <w:rPr>
                <w:sz w:val="20"/>
              </w:rPr>
              <w:t xml:space="preserve">1</w:t>
            </w:r>
          </w:p>
        </w:tc>
        <w:tc>
          <w:tcPr>
            <w:tcW w:w="806" w:type="dxa"/>
          </w:tcPr>
          <w:p>
            <w:pPr>
              <w:pStyle w:val="0"/>
              <w:jc w:val="center"/>
            </w:pPr>
            <w:r>
              <w:rPr>
                <w:sz w:val="20"/>
              </w:rPr>
              <w:t xml:space="preserve">2</w:t>
            </w:r>
          </w:p>
        </w:tc>
        <w:tc>
          <w:tcPr>
            <w:tcW w:w="1243" w:type="dxa"/>
          </w:tcPr>
          <w:p>
            <w:pPr>
              <w:pStyle w:val="0"/>
              <w:jc w:val="center"/>
            </w:pPr>
            <w:r>
              <w:rPr>
                <w:sz w:val="20"/>
              </w:rPr>
              <w:t xml:space="preserve">3</w:t>
            </w:r>
          </w:p>
        </w:tc>
        <w:tc>
          <w:tcPr>
            <w:tcW w:w="955" w:type="dxa"/>
          </w:tcPr>
          <w:p>
            <w:pPr>
              <w:pStyle w:val="0"/>
              <w:jc w:val="center"/>
            </w:pPr>
            <w:r>
              <w:rPr>
                <w:sz w:val="20"/>
              </w:rPr>
              <w:t xml:space="preserve">4</w:t>
            </w:r>
          </w:p>
        </w:tc>
        <w:tc>
          <w:tcPr>
            <w:tcW w:w="850" w:type="dxa"/>
          </w:tcPr>
          <w:p>
            <w:pPr>
              <w:pStyle w:val="0"/>
              <w:jc w:val="center"/>
            </w:pPr>
            <w:r>
              <w:rPr>
                <w:sz w:val="20"/>
              </w:rPr>
              <w:t xml:space="preserve">5</w:t>
            </w:r>
          </w:p>
        </w:tc>
        <w:tc>
          <w:tcPr>
            <w:tcW w:w="1417" w:type="dxa"/>
          </w:tcPr>
          <w:p>
            <w:pPr>
              <w:pStyle w:val="0"/>
              <w:jc w:val="center"/>
            </w:pPr>
            <w:r>
              <w:rPr>
                <w:sz w:val="20"/>
              </w:rPr>
              <w:t xml:space="preserve">6</w:t>
            </w:r>
          </w:p>
        </w:tc>
        <w:tc>
          <w:tcPr>
            <w:tcW w:w="1152" w:type="dxa"/>
          </w:tcPr>
          <w:p>
            <w:pPr>
              <w:pStyle w:val="0"/>
              <w:jc w:val="center"/>
            </w:pPr>
            <w:r>
              <w:rPr>
                <w:sz w:val="20"/>
              </w:rPr>
              <w:t xml:space="preserve">7</w:t>
            </w:r>
          </w:p>
        </w:tc>
        <w:tc>
          <w:tcPr>
            <w:tcW w:w="1134" w:type="dxa"/>
          </w:tcPr>
          <w:p>
            <w:pPr>
              <w:pStyle w:val="0"/>
              <w:jc w:val="center"/>
            </w:pPr>
            <w:r>
              <w:rPr>
                <w:sz w:val="20"/>
              </w:rPr>
              <w:t xml:space="preserve">8</w:t>
            </w:r>
          </w:p>
        </w:tc>
        <w:tc>
          <w:tcPr>
            <w:tcW w:w="680" w:type="dxa"/>
          </w:tcPr>
          <w:p>
            <w:pPr>
              <w:pStyle w:val="0"/>
            </w:pPr>
            <w:r>
              <w:rPr>
                <w:sz w:val="20"/>
              </w:rPr>
            </w:r>
          </w:p>
        </w:tc>
        <w:tc>
          <w:tcPr>
            <w:tcW w:w="850" w:type="dxa"/>
          </w:tcPr>
          <w:p>
            <w:pPr>
              <w:pStyle w:val="0"/>
              <w:jc w:val="center"/>
            </w:pPr>
            <w:r>
              <w:rPr>
                <w:sz w:val="20"/>
              </w:rPr>
              <w:t xml:space="preserve">9</w:t>
            </w:r>
          </w:p>
        </w:tc>
        <w:tc>
          <w:tcPr>
            <w:tcW w:w="662" w:type="dxa"/>
          </w:tcPr>
          <w:p>
            <w:pPr>
              <w:pStyle w:val="0"/>
              <w:jc w:val="center"/>
            </w:pPr>
            <w:r>
              <w:rPr>
                <w:sz w:val="20"/>
              </w:rPr>
              <w:t xml:space="preserve">10</w:t>
            </w:r>
          </w:p>
        </w:tc>
        <w:tc>
          <w:tcPr>
            <w:tcW w:w="454" w:type="dxa"/>
          </w:tcPr>
          <w:p>
            <w:pPr>
              <w:pStyle w:val="0"/>
              <w:jc w:val="center"/>
            </w:pPr>
            <w:r>
              <w:rPr>
                <w:sz w:val="20"/>
              </w:rPr>
              <w:t xml:space="preserve">11</w:t>
            </w:r>
          </w:p>
        </w:tc>
        <w:tc>
          <w:tcPr>
            <w:tcW w:w="510" w:type="dxa"/>
          </w:tcPr>
          <w:p>
            <w:pPr>
              <w:pStyle w:val="0"/>
              <w:jc w:val="center"/>
            </w:pPr>
            <w:r>
              <w:rPr>
                <w:sz w:val="20"/>
              </w:rPr>
              <w:t xml:space="preserve">12</w:t>
            </w:r>
          </w:p>
        </w:tc>
        <w:tc>
          <w:tcPr>
            <w:tcW w:w="567" w:type="dxa"/>
          </w:tcPr>
          <w:p>
            <w:pPr>
              <w:pStyle w:val="0"/>
              <w:jc w:val="center"/>
            </w:pPr>
            <w:r>
              <w:rPr>
                <w:sz w:val="20"/>
              </w:rPr>
              <w:t xml:space="preserve">13</w:t>
            </w:r>
          </w:p>
        </w:tc>
        <w:tc>
          <w:tcPr>
            <w:tcW w:w="680" w:type="dxa"/>
          </w:tcPr>
          <w:p>
            <w:pPr>
              <w:pStyle w:val="0"/>
              <w:jc w:val="center"/>
            </w:pPr>
            <w:r>
              <w:rPr>
                <w:sz w:val="20"/>
              </w:rPr>
              <w:t xml:space="preserve">14</w:t>
            </w:r>
          </w:p>
        </w:tc>
        <w:tc>
          <w:tcPr>
            <w:tcW w:w="907" w:type="dxa"/>
          </w:tcPr>
          <w:p>
            <w:pPr>
              <w:pStyle w:val="0"/>
              <w:jc w:val="center"/>
            </w:pPr>
            <w:r>
              <w:rPr>
                <w:sz w:val="20"/>
              </w:rPr>
              <w:t xml:space="preserve">15</w:t>
            </w:r>
          </w:p>
        </w:tc>
      </w:tr>
      <w:tr>
        <w:tc>
          <w:tcPr>
            <w:tcW w:w="456" w:type="dxa"/>
          </w:tcPr>
          <w:p>
            <w:pPr>
              <w:pStyle w:val="0"/>
            </w:pPr>
            <w:r>
              <w:rPr>
                <w:sz w:val="20"/>
              </w:rPr>
            </w:r>
          </w:p>
        </w:tc>
        <w:tc>
          <w:tcPr>
            <w:tcW w:w="806" w:type="dxa"/>
          </w:tcPr>
          <w:p>
            <w:pPr>
              <w:pStyle w:val="0"/>
            </w:pPr>
            <w:r>
              <w:rPr>
                <w:sz w:val="20"/>
              </w:rPr>
            </w:r>
          </w:p>
        </w:tc>
        <w:tc>
          <w:tcPr>
            <w:tcW w:w="1243" w:type="dxa"/>
          </w:tcPr>
          <w:p>
            <w:pPr>
              <w:pStyle w:val="0"/>
            </w:pPr>
            <w:r>
              <w:rPr>
                <w:sz w:val="20"/>
              </w:rPr>
            </w:r>
          </w:p>
        </w:tc>
        <w:tc>
          <w:tcPr>
            <w:tcW w:w="955"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152"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62" w:type="dxa"/>
          </w:tcPr>
          <w:p>
            <w:pPr>
              <w:pStyle w:val="0"/>
            </w:pPr>
            <w:r>
              <w:rPr>
                <w:sz w:val="20"/>
              </w:rPr>
            </w:r>
          </w:p>
        </w:tc>
        <w:tc>
          <w:tcPr>
            <w:tcW w:w="45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907" w:type="dxa"/>
          </w:tcPr>
          <w:p>
            <w:pPr>
              <w:pStyle w:val="0"/>
            </w:pPr>
            <w:r>
              <w:rPr>
                <w:sz w:val="20"/>
              </w:rPr>
            </w:r>
          </w:p>
        </w:tc>
      </w:tr>
      <w:tr>
        <w:tc>
          <w:tcPr>
            <w:tcW w:w="456" w:type="dxa"/>
          </w:tcPr>
          <w:p>
            <w:pPr>
              <w:pStyle w:val="0"/>
            </w:pPr>
            <w:r>
              <w:rPr>
                <w:sz w:val="20"/>
              </w:rPr>
            </w:r>
          </w:p>
        </w:tc>
        <w:tc>
          <w:tcPr>
            <w:tcW w:w="806" w:type="dxa"/>
          </w:tcPr>
          <w:p>
            <w:pPr>
              <w:pStyle w:val="0"/>
            </w:pPr>
            <w:r>
              <w:rPr>
                <w:sz w:val="20"/>
              </w:rPr>
            </w:r>
          </w:p>
        </w:tc>
        <w:tc>
          <w:tcPr>
            <w:tcW w:w="1243" w:type="dxa"/>
          </w:tcPr>
          <w:p>
            <w:pPr>
              <w:pStyle w:val="0"/>
            </w:pPr>
            <w:r>
              <w:rPr>
                <w:sz w:val="20"/>
              </w:rPr>
            </w:r>
          </w:p>
        </w:tc>
        <w:tc>
          <w:tcPr>
            <w:tcW w:w="955"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152"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62" w:type="dxa"/>
          </w:tcPr>
          <w:p>
            <w:pPr>
              <w:pStyle w:val="0"/>
            </w:pPr>
            <w:r>
              <w:rPr>
                <w:sz w:val="20"/>
              </w:rPr>
            </w:r>
          </w:p>
        </w:tc>
        <w:tc>
          <w:tcPr>
            <w:tcW w:w="45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907" w:type="dxa"/>
          </w:tcPr>
          <w:p>
            <w:pPr>
              <w:pStyle w:val="0"/>
            </w:pPr>
            <w:r>
              <w:rPr>
                <w:sz w:val="20"/>
              </w:rPr>
            </w:r>
          </w:p>
        </w:tc>
      </w:tr>
      <w:tr>
        <w:tc>
          <w:tcPr>
            <w:tcW w:w="456" w:type="dxa"/>
          </w:tcPr>
          <w:p>
            <w:pPr>
              <w:pStyle w:val="0"/>
            </w:pPr>
            <w:r>
              <w:rPr>
                <w:sz w:val="20"/>
              </w:rPr>
            </w:r>
          </w:p>
        </w:tc>
        <w:tc>
          <w:tcPr>
            <w:tcW w:w="806" w:type="dxa"/>
          </w:tcPr>
          <w:p>
            <w:pPr>
              <w:pStyle w:val="0"/>
            </w:pPr>
            <w:r>
              <w:rPr>
                <w:sz w:val="20"/>
              </w:rPr>
            </w:r>
          </w:p>
        </w:tc>
        <w:tc>
          <w:tcPr>
            <w:tcW w:w="1243" w:type="dxa"/>
          </w:tcPr>
          <w:p>
            <w:pPr>
              <w:pStyle w:val="0"/>
            </w:pPr>
            <w:r>
              <w:rPr>
                <w:sz w:val="20"/>
              </w:rPr>
            </w:r>
          </w:p>
        </w:tc>
        <w:tc>
          <w:tcPr>
            <w:tcW w:w="955"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152"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62" w:type="dxa"/>
          </w:tcPr>
          <w:p>
            <w:pPr>
              <w:pStyle w:val="0"/>
            </w:pPr>
            <w:r>
              <w:rPr>
                <w:sz w:val="20"/>
              </w:rPr>
            </w:r>
          </w:p>
        </w:tc>
        <w:tc>
          <w:tcPr>
            <w:tcW w:w="45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907" w:type="dxa"/>
          </w:tcPr>
          <w:p>
            <w:pPr>
              <w:pStyle w:val="0"/>
            </w:pPr>
            <w:r>
              <w:rPr>
                <w:sz w:val="20"/>
              </w:rPr>
            </w:r>
          </w:p>
        </w:tc>
      </w:tr>
      <w:tr>
        <w:tc>
          <w:tcPr>
            <w:tcW w:w="456" w:type="dxa"/>
          </w:tcPr>
          <w:p>
            <w:pPr>
              <w:pStyle w:val="0"/>
            </w:pPr>
            <w:r>
              <w:rPr>
                <w:sz w:val="20"/>
              </w:rPr>
            </w:r>
          </w:p>
        </w:tc>
        <w:tc>
          <w:tcPr>
            <w:tcW w:w="806" w:type="dxa"/>
          </w:tcPr>
          <w:p>
            <w:pPr>
              <w:pStyle w:val="0"/>
            </w:pPr>
            <w:r>
              <w:rPr>
                <w:sz w:val="20"/>
              </w:rPr>
            </w:r>
          </w:p>
        </w:tc>
        <w:tc>
          <w:tcPr>
            <w:tcW w:w="1243" w:type="dxa"/>
          </w:tcPr>
          <w:p>
            <w:pPr>
              <w:pStyle w:val="0"/>
            </w:pPr>
            <w:r>
              <w:rPr>
                <w:sz w:val="20"/>
              </w:rPr>
            </w:r>
          </w:p>
        </w:tc>
        <w:tc>
          <w:tcPr>
            <w:tcW w:w="955"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152"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62" w:type="dxa"/>
          </w:tcPr>
          <w:p>
            <w:pPr>
              <w:pStyle w:val="0"/>
            </w:pPr>
            <w:r>
              <w:rPr>
                <w:sz w:val="20"/>
              </w:rPr>
            </w:r>
          </w:p>
        </w:tc>
        <w:tc>
          <w:tcPr>
            <w:tcW w:w="45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907" w:type="dxa"/>
          </w:tcPr>
          <w:p>
            <w:pPr>
              <w:pStyle w:val="0"/>
            </w:pPr>
            <w:r>
              <w:rPr>
                <w:sz w:val="20"/>
              </w:rPr>
            </w:r>
          </w:p>
        </w:tc>
      </w:tr>
      <w:tr>
        <w:tc>
          <w:tcPr>
            <w:tcW w:w="456" w:type="dxa"/>
          </w:tcPr>
          <w:p>
            <w:pPr>
              <w:pStyle w:val="0"/>
            </w:pPr>
            <w:r>
              <w:rPr>
                <w:sz w:val="20"/>
              </w:rPr>
            </w:r>
          </w:p>
        </w:tc>
        <w:tc>
          <w:tcPr>
            <w:tcW w:w="806" w:type="dxa"/>
          </w:tcPr>
          <w:p>
            <w:pPr>
              <w:pStyle w:val="0"/>
            </w:pPr>
            <w:r>
              <w:rPr>
                <w:sz w:val="20"/>
              </w:rPr>
            </w:r>
          </w:p>
        </w:tc>
        <w:tc>
          <w:tcPr>
            <w:tcW w:w="1243" w:type="dxa"/>
          </w:tcPr>
          <w:p>
            <w:pPr>
              <w:pStyle w:val="0"/>
            </w:pPr>
            <w:r>
              <w:rPr>
                <w:sz w:val="20"/>
              </w:rPr>
            </w:r>
          </w:p>
        </w:tc>
        <w:tc>
          <w:tcPr>
            <w:tcW w:w="955"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152"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62" w:type="dxa"/>
          </w:tcPr>
          <w:p>
            <w:pPr>
              <w:pStyle w:val="0"/>
            </w:pPr>
            <w:r>
              <w:rPr>
                <w:sz w:val="20"/>
              </w:rPr>
            </w:r>
          </w:p>
        </w:tc>
        <w:tc>
          <w:tcPr>
            <w:tcW w:w="45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907" w:type="dxa"/>
          </w:tcPr>
          <w:p>
            <w:pPr>
              <w:pStyle w:val="0"/>
            </w:pPr>
            <w:r>
              <w:rPr>
                <w:sz w:val="20"/>
              </w:rPr>
            </w:r>
          </w:p>
        </w:tc>
      </w:tr>
      <w:tr>
        <w:tc>
          <w:tcPr>
            <w:tcW w:w="456" w:type="dxa"/>
          </w:tcPr>
          <w:p>
            <w:pPr>
              <w:pStyle w:val="0"/>
            </w:pPr>
            <w:r>
              <w:rPr>
                <w:sz w:val="20"/>
              </w:rPr>
            </w:r>
          </w:p>
        </w:tc>
        <w:tc>
          <w:tcPr>
            <w:tcW w:w="806" w:type="dxa"/>
          </w:tcPr>
          <w:p>
            <w:pPr>
              <w:pStyle w:val="0"/>
            </w:pPr>
            <w:r>
              <w:rPr>
                <w:sz w:val="20"/>
              </w:rPr>
            </w:r>
          </w:p>
        </w:tc>
        <w:tc>
          <w:tcPr>
            <w:tcW w:w="1243" w:type="dxa"/>
          </w:tcPr>
          <w:p>
            <w:pPr>
              <w:pStyle w:val="0"/>
            </w:pPr>
            <w:r>
              <w:rPr>
                <w:sz w:val="20"/>
              </w:rPr>
            </w:r>
          </w:p>
        </w:tc>
        <w:tc>
          <w:tcPr>
            <w:tcW w:w="955"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152"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62" w:type="dxa"/>
          </w:tcPr>
          <w:p>
            <w:pPr>
              <w:pStyle w:val="0"/>
            </w:pPr>
            <w:r>
              <w:rPr>
                <w:sz w:val="20"/>
              </w:rPr>
            </w:r>
          </w:p>
        </w:tc>
        <w:tc>
          <w:tcPr>
            <w:tcW w:w="45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907" w:type="dxa"/>
          </w:tcPr>
          <w:p>
            <w:pPr>
              <w:pStyle w:val="0"/>
            </w:pPr>
            <w:r>
              <w:rPr>
                <w:sz w:val="20"/>
              </w:rPr>
            </w:r>
          </w:p>
        </w:tc>
      </w:tr>
      <w:tr>
        <w:tc>
          <w:tcPr>
            <w:tcW w:w="456" w:type="dxa"/>
          </w:tcPr>
          <w:p>
            <w:pPr>
              <w:pStyle w:val="0"/>
            </w:pPr>
            <w:r>
              <w:rPr>
                <w:sz w:val="20"/>
              </w:rPr>
            </w:r>
          </w:p>
        </w:tc>
        <w:tc>
          <w:tcPr>
            <w:tcW w:w="806" w:type="dxa"/>
          </w:tcPr>
          <w:p>
            <w:pPr>
              <w:pStyle w:val="0"/>
            </w:pPr>
            <w:r>
              <w:rPr>
                <w:sz w:val="20"/>
              </w:rPr>
            </w:r>
          </w:p>
        </w:tc>
        <w:tc>
          <w:tcPr>
            <w:tcW w:w="1243" w:type="dxa"/>
          </w:tcPr>
          <w:p>
            <w:pPr>
              <w:pStyle w:val="0"/>
              <w:jc w:val="center"/>
            </w:pPr>
            <w:r>
              <w:rPr>
                <w:sz w:val="20"/>
              </w:rPr>
              <w:t xml:space="preserve">Всего</w:t>
            </w:r>
          </w:p>
        </w:tc>
        <w:tc>
          <w:tcPr>
            <w:tcW w:w="955"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152"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62" w:type="dxa"/>
          </w:tcPr>
          <w:p>
            <w:pPr>
              <w:pStyle w:val="0"/>
            </w:pPr>
            <w:r>
              <w:rPr>
                <w:sz w:val="20"/>
              </w:rPr>
            </w:r>
          </w:p>
        </w:tc>
        <w:tc>
          <w:tcPr>
            <w:tcW w:w="45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907" w:type="dxa"/>
          </w:tcPr>
          <w:p>
            <w:pPr>
              <w:pStyle w:val="0"/>
            </w:pPr>
            <w:r>
              <w:rPr>
                <w:sz w:val="20"/>
              </w:rPr>
            </w:r>
          </w:p>
        </w:tc>
      </w:tr>
    </w:tbl>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1345"/>
        <w:gridCol w:w="7701"/>
      </w:tblGrid>
      <w:tr>
        <w:tc>
          <w:tcPr>
            <w:tcW w:w="1345" w:type="dxa"/>
            <w:tcBorders>
              <w:top w:val="nil"/>
              <w:left w:val="nil"/>
              <w:bottom w:val="nil"/>
              <w:right w:val="nil"/>
            </w:tcBorders>
          </w:tcPr>
          <w:p>
            <w:pPr>
              <w:pStyle w:val="0"/>
              <w:ind w:left="283"/>
            </w:pPr>
            <w:r>
              <w:rPr>
                <w:sz w:val="20"/>
              </w:rPr>
              <w:t xml:space="preserve">Составил</w:t>
            </w:r>
          </w:p>
        </w:tc>
        <w:tc>
          <w:tcPr>
            <w:tcW w:w="7701" w:type="dxa"/>
            <w:tcBorders>
              <w:top w:val="nil"/>
              <w:left w:val="nil"/>
              <w:bottom w:val="single" w:sz="4"/>
              <w:right w:val="nil"/>
            </w:tcBorders>
          </w:tcPr>
          <w:p>
            <w:pPr>
              <w:pStyle w:val="0"/>
            </w:pPr>
            <w:r>
              <w:rPr>
                <w:sz w:val="20"/>
              </w:rPr>
            </w:r>
          </w:p>
        </w:tc>
      </w:tr>
      <w:tr>
        <w:tc>
          <w:tcPr>
            <w:tcW w:w="1345" w:type="dxa"/>
            <w:tcBorders>
              <w:top w:val="nil"/>
              <w:left w:val="nil"/>
              <w:bottom w:val="nil"/>
              <w:right w:val="nil"/>
            </w:tcBorders>
          </w:tcPr>
          <w:p>
            <w:pPr>
              <w:pStyle w:val="0"/>
            </w:pPr>
            <w:r>
              <w:rPr>
                <w:sz w:val="20"/>
              </w:rPr>
            </w:r>
          </w:p>
        </w:tc>
        <w:tc>
          <w:tcPr>
            <w:tcW w:w="7701" w:type="dxa"/>
            <w:tcBorders>
              <w:top w:val="single" w:sz="4"/>
              <w:left w:val="nil"/>
              <w:bottom w:val="nil"/>
              <w:right w:val="nil"/>
            </w:tcBorders>
          </w:tcPr>
          <w:p>
            <w:pPr>
              <w:pStyle w:val="0"/>
              <w:jc w:val="center"/>
            </w:pPr>
            <w:r>
              <w:rPr>
                <w:sz w:val="20"/>
              </w:rPr>
              <w:t xml:space="preserve">[должность, подпись (инициалы, фамилия)]</w:t>
            </w:r>
          </w:p>
        </w:tc>
      </w:tr>
      <w:tr>
        <w:tc>
          <w:tcPr>
            <w:tcW w:w="1345" w:type="dxa"/>
            <w:tcBorders>
              <w:top w:val="nil"/>
              <w:left w:val="nil"/>
              <w:bottom w:val="nil"/>
              <w:right w:val="nil"/>
            </w:tcBorders>
          </w:tcPr>
          <w:p>
            <w:pPr>
              <w:pStyle w:val="0"/>
              <w:ind w:left="283"/>
            </w:pPr>
            <w:r>
              <w:rPr>
                <w:sz w:val="20"/>
              </w:rPr>
              <w:t xml:space="preserve">Проверил</w:t>
            </w:r>
          </w:p>
        </w:tc>
        <w:tc>
          <w:tcPr>
            <w:tcW w:w="7701" w:type="dxa"/>
            <w:tcBorders>
              <w:top w:val="nil"/>
              <w:left w:val="nil"/>
              <w:bottom w:val="single" w:sz="4"/>
              <w:right w:val="nil"/>
            </w:tcBorders>
          </w:tcPr>
          <w:p>
            <w:pPr>
              <w:pStyle w:val="0"/>
            </w:pPr>
            <w:r>
              <w:rPr>
                <w:sz w:val="20"/>
              </w:rPr>
            </w:r>
          </w:p>
        </w:tc>
      </w:tr>
      <w:tr>
        <w:tc>
          <w:tcPr>
            <w:tcW w:w="1345" w:type="dxa"/>
            <w:tcBorders>
              <w:top w:val="nil"/>
              <w:left w:val="nil"/>
              <w:bottom w:val="nil"/>
              <w:right w:val="nil"/>
            </w:tcBorders>
          </w:tcPr>
          <w:p>
            <w:pPr>
              <w:pStyle w:val="0"/>
            </w:pPr>
            <w:r>
              <w:rPr>
                <w:sz w:val="20"/>
              </w:rPr>
            </w:r>
          </w:p>
        </w:tc>
        <w:tc>
          <w:tcPr>
            <w:tcW w:w="7701" w:type="dxa"/>
            <w:tcBorders>
              <w:top w:val="single" w:sz="4"/>
              <w:left w:val="nil"/>
              <w:bottom w:val="nil"/>
              <w:right w:val="nil"/>
            </w:tcBorders>
          </w:tcPr>
          <w:p>
            <w:pPr>
              <w:pStyle w:val="0"/>
              <w:jc w:val="center"/>
            </w:pPr>
            <w:r>
              <w:rPr>
                <w:sz w:val="20"/>
              </w:rPr>
              <w:t xml:space="preserve">[должность, подпись (инициалы, фамилия)]</w:t>
            </w:r>
          </w:p>
        </w:tc>
      </w:tr>
    </w:tbl>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hyperlink w:history="0" w:anchor="P8910" w:tooltip="Таблица 2">
        <w:r>
          <w:rPr>
            <w:sz w:val="20"/>
            <w:color w:val="0000ff"/>
          </w:rPr>
          <w:t xml:space="preserve">Таблица 2</w:t>
        </w:r>
      </w:hyperlink>
      <w:r>
        <w:rPr>
          <w:sz w:val="20"/>
        </w:rPr>
        <w:t xml:space="preserve"> к сводке затрат разрабатывается по требованию заказчика в текущем и (или) базисном уровне цен.</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pStyle w:val="0"/>
        <w:jc w:val="both"/>
      </w:pPr>
      <w:r>
        <w:rPr>
          <w:sz w:val="20"/>
        </w:rPr>
      </w:r>
    </w:p>
    <w:p>
      <w:pPr>
        <w:pStyle w:val="0"/>
        <w:jc w:val="right"/>
      </w:pPr>
      <w:r>
        <w:rPr>
          <w:sz w:val="20"/>
        </w:rPr>
        <w:t xml:space="preserve">(рекомендательное)</w:t>
      </w:r>
    </w:p>
    <w:p>
      <w:pPr>
        <w:pStyle w:val="0"/>
        <w:jc w:val="both"/>
      </w:pPr>
      <w:r>
        <w:rPr>
          <w:sz w:val="20"/>
        </w:rPr>
      </w:r>
    </w:p>
    <w:bookmarkStart w:id="9093" w:name="P9093"/>
    <w:bookmarkEnd w:id="9093"/>
    <w:p>
      <w:pPr>
        <w:pStyle w:val="2"/>
        <w:jc w:val="center"/>
      </w:pPr>
      <w:r>
        <w:rPr>
          <w:sz w:val="20"/>
        </w:rPr>
        <w:t xml:space="preserve">СТРУКТУРА</w:t>
      </w:r>
    </w:p>
    <w:p>
      <w:pPr>
        <w:pStyle w:val="2"/>
        <w:jc w:val="center"/>
      </w:pPr>
      <w:r>
        <w:rPr>
          <w:sz w:val="20"/>
        </w:rPr>
        <w:t xml:space="preserve">ПОЛНОГО КОМПЛЕКСА ПУСКОНАЛАДОЧНЫХ РАБОТ (УСРЕДНЕННАЯ)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3"/>
        <w:gridCol w:w="3061"/>
        <w:gridCol w:w="907"/>
        <w:gridCol w:w="907"/>
        <w:gridCol w:w="907"/>
        <w:gridCol w:w="1190"/>
        <w:gridCol w:w="1303"/>
      </w:tblGrid>
      <w:tr>
        <w:tc>
          <w:tcPr>
            <w:tcW w:w="793" w:type="dxa"/>
            <w:vMerge w:val="restart"/>
          </w:tcPr>
          <w:p>
            <w:pPr>
              <w:pStyle w:val="0"/>
              <w:jc w:val="center"/>
            </w:pPr>
            <w:r>
              <w:rPr>
                <w:sz w:val="20"/>
              </w:rPr>
              <w:t xml:space="preserve">N сборника сметных норм</w:t>
            </w:r>
          </w:p>
        </w:tc>
        <w:tc>
          <w:tcPr>
            <w:tcW w:w="3061" w:type="dxa"/>
            <w:vMerge w:val="restart"/>
          </w:tcPr>
          <w:p>
            <w:pPr>
              <w:pStyle w:val="0"/>
              <w:jc w:val="center"/>
            </w:pPr>
            <w:r>
              <w:rPr>
                <w:sz w:val="20"/>
              </w:rPr>
              <w:t xml:space="preserve">Наименование сборника сметных норм (единичных расценок) на пусконаладочные работы</w:t>
            </w:r>
          </w:p>
        </w:tc>
        <w:tc>
          <w:tcPr>
            <w:tcW w:w="907" w:type="dxa"/>
            <w:vMerge w:val="restart"/>
          </w:tcPr>
          <w:p>
            <w:pPr>
              <w:pStyle w:val="0"/>
              <w:jc w:val="center"/>
            </w:pPr>
            <w:r>
              <w:rPr>
                <w:sz w:val="20"/>
              </w:rPr>
              <w:t xml:space="preserve">N отдела</w:t>
            </w:r>
          </w:p>
        </w:tc>
        <w:tc>
          <w:tcPr>
            <w:tcW w:w="907" w:type="dxa"/>
            <w:vMerge w:val="restart"/>
          </w:tcPr>
          <w:p>
            <w:pPr>
              <w:pStyle w:val="0"/>
              <w:jc w:val="center"/>
            </w:pPr>
            <w:r>
              <w:rPr>
                <w:sz w:val="20"/>
              </w:rPr>
              <w:t xml:space="preserve">N раздела</w:t>
            </w:r>
          </w:p>
        </w:tc>
        <w:tc>
          <w:tcPr>
            <w:tcW w:w="907" w:type="dxa"/>
            <w:vMerge w:val="restart"/>
          </w:tcPr>
          <w:p>
            <w:pPr>
              <w:pStyle w:val="0"/>
              <w:jc w:val="center"/>
            </w:pPr>
            <w:r>
              <w:rPr>
                <w:sz w:val="20"/>
              </w:rPr>
              <w:t xml:space="preserve">N таблицы</w:t>
            </w:r>
          </w:p>
        </w:tc>
        <w:tc>
          <w:tcPr>
            <w:gridSpan w:val="2"/>
            <w:tcW w:w="2493" w:type="dxa"/>
          </w:tcPr>
          <w:p>
            <w:pPr>
              <w:pStyle w:val="0"/>
              <w:jc w:val="center"/>
            </w:pPr>
            <w:r>
              <w:rPr>
                <w:sz w:val="20"/>
              </w:rPr>
              <w:t xml:space="preserve">Доля пусконаладочных работ для объектов капитального строительства, %</w:t>
            </w:r>
          </w:p>
        </w:tc>
      </w:tr>
      <w:tr>
        <w:tc>
          <w:tcPr>
            <w:vMerge w:val="continue"/>
          </w:tcPr>
          <w:p/>
        </w:tc>
        <w:tc>
          <w:tcPr>
            <w:vMerge w:val="continue"/>
          </w:tcPr>
          <w:p/>
        </w:tc>
        <w:tc>
          <w:tcPr>
            <w:vMerge w:val="continue"/>
          </w:tcPr>
          <w:p/>
        </w:tc>
        <w:tc>
          <w:tcPr>
            <w:vMerge w:val="continue"/>
          </w:tcPr>
          <w:p/>
        </w:tc>
        <w:tc>
          <w:tcPr>
            <w:vMerge w:val="continue"/>
          </w:tcPr>
          <w:p/>
        </w:tc>
        <w:tc>
          <w:tcPr>
            <w:tcW w:w="1190" w:type="dxa"/>
          </w:tcPr>
          <w:p>
            <w:pPr>
              <w:pStyle w:val="0"/>
              <w:jc w:val="center"/>
            </w:pPr>
            <w:r>
              <w:rPr>
                <w:sz w:val="20"/>
              </w:rPr>
              <w:t xml:space="preserve">"вхолостую"</w:t>
            </w:r>
          </w:p>
        </w:tc>
        <w:tc>
          <w:tcPr>
            <w:tcW w:w="1303" w:type="dxa"/>
          </w:tcPr>
          <w:p>
            <w:pPr>
              <w:pStyle w:val="0"/>
              <w:jc w:val="center"/>
            </w:pPr>
            <w:r>
              <w:rPr>
                <w:sz w:val="20"/>
              </w:rPr>
              <w:t xml:space="preserve">"под нагрузкой"</w:t>
            </w:r>
          </w:p>
        </w:tc>
      </w:tr>
      <w:tr>
        <w:tc>
          <w:tcPr>
            <w:tcW w:w="793" w:type="dxa"/>
          </w:tcPr>
          <w:p>
            <w:pPr>
              <w:pStyle w:val="0"/>
            </w:pPr>
            <w:r>
              <w:rPr>
                <w:sz w:val="20"/>
              </w:rPr>
            </w:r>
          </w:p>
        </w:tc>
        <w:tc>
          <w:tcPr>
            <w:tcW w:w="3061" w:type="dxa"/>
          </w:tcPr>
          <w:p>
            <w:pPr>
              <w:pStyle w:val="0"/>
              <w:jc w:val="center"/>
            </w:pPr>
            <w:r>
              <w:rPr>
                <w:sz w:val="20"/>
              </w:rPr>
              <w:t xml:space="preserve">1</w:t>
            </w:r>
          </w:p>
        </w:tc>
        <w:tc>
          <w:tcPr>
            <w:tcW w:w="907" w:type="dxa"/>
          </w:tcPr>
          <w:p>
            <w:pPr>
              <w:pStyle w:val="0"/>
              <w:jc w:val="center"/>
            </w:pPr>
            <w:r>
              <w:rPr>
                <w:sz w:val="20"/>
              </w:rPr>
              <w:t xml:space="preserve">2</w:t>
            </w:r>
          </w:p>
        </w:tc>
        <w:tc>
          <w:tcPr>
            <w:tcW w:w="907" w:type="dxa"/>
          </w:tcPr>
          <w:p>
            <w:pPr>
              <w:pStyle w:val="0"/>
              <w:jc w:val="center"/>
            </w:pPr>
            <w:r>
              <w:rPr>
                <w:sz w:val="20"/>
              </w:rPr>
              <w:t xml:space="preserve">3</w:t>
            </w:r>
          </w:p>
        </w:tc>
        <w:tc>
          <w:tcPr>
            <w:tcW w:w="907" w:type="dxa"/>
          </w:tcPr>
          <w:p>
            <w:pPr>
              <w:pStyle w:val="0"/>
              <w:jc w:val="center"/>
            </w:pPr>
            <w:r>
              <w:rPr>
                <w:sz w:val="20"/>
              </w:rPr>
              <w:t xml:space="preserve">4</w:t>
            </w:r>
          </w:p>
        </w:tc>
        <w:tc>
          <w:tcPr>
            <w:tcW w:w="1190" w:type="dxa"/>
          </w:tcPr>
          <w:p>
            <w:pPr>
              <w:pStyle w:val="0"/>
              <w:jc w:val="center"/>
            </w:pPr>
            <w:r>
              <w:rPr>
                <w:sz w:val="20"/>
              </w:rPr>
              <w:t xml:space="preserve">5</w:t>
            </w:r>
          </w:p>
        </w:tc>
        <w:tc>
          <w:tcPr>
            <w:tcW w:w="1303" w:type="dxa"/>
          </w:tcPr>
          <w:p>
            <w:pPr>
              <w:pStyle w:val="0"/>
              <w:jc w:val="center"/>
            </w:pPr>
            <w:r>
              <w:rPr>
                <w:sz w:val="20"/>
              </w:rPr>
              <w:t xml:space="preserve">6</w:t>
            </w:r>
          </w:p>
        </w:tc>
      </w:tr>
      <w:tr>
        <w:tc>
          <w:tcPr>
            <w:tcW w:w="793" w:type="dxa"/>
          </w:tcPr>
          <w:p>
            <w:pPr>
              <w:pStyle w:val="0"/>
              <w:jc w:val="center"/>
            </w:pPr>
            <w:r>
              <w:rPr>
                <w:sz w:val="20"/>
              </w:rPr>
              <w:t xml:space="preserve">1</w:t>
            </w:r>
          </w:p>
        </w:tc>
        <w:tc>
          <w:tcPr>
            <w:tcW w:w="3061" w:type="dxa"/>
          </w:tcPr>
          <w:p>
            <w:pPr>
              <w:pStyle w:val="0"/>
            </w:pPr>
            <w:r>
              <w:rPr>
                <w:sz w:val="20"/>
              </w:rPr>
              <w:t xml:space="preserve">Электротехнические устройства</w:t>
            </w:r>
          </w:p>
        </w:tc>
        <w:tc>
          <w:tcPr>
            <w:tcW w:w="907" w:type="dxa"/>
            <w:vAlign w:val="center"/>
          </w:tcPr>
          <w:p>
            <w:pPr>
              <w:pStyle w:val="0"/>
            </w:pPr>
            <w:r>
              <w:rPr>
                <w:sz w:val="20"/>
              </w:rPr>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80</w:t>
            </w:r>
          </w:p>
        </w:tc>
        <w:tc>
          <w:tcPr>
            <w:tcW w:w="1303" w:type="dxa"/>
            <w:vAlign w:val="center"/>
          </w:tcPr>
          <w:p>
            <w:pPr>
              <w:pStyle w:val="0"/>
              <w:jc w:val="center"/>
            </w:pPr>
            <w:r>
              <w:rPr>
                <w:sz w:val="20"/>
              </w:rPr>
              <w:t xml:space="preserve">20</w:t>
            </w:r>
          </w:p>
        </w:tc>
      </w:tr>
      <w:tr>
        <w:tc>
          <w:tcPr>
            <w:tcW w:w="793" w:type="dxa"/>
          </w:tcPr>
          <w:p>
            <w:pPr>
              <w:pStyle w:val="0"/>
              <w:jc w:val="center"/>
            </w:pPr>
            <w:r>
              <w:rPr>
                <w:sz w:val="20"/>
              </w:rPr>
              <w:t xml:space="preserve">2</w:t>
            </w:r>
          </w:p>
        </w:tc>
        <w:tc>
          <w:tcPr>
            <w:tcW w:w="3061" w:type="dxa"/>
          </w:tcPr>
          <w:p>
            <w:pPr>
              <w:pStyle w:val="0"/>
            </w:pPr>
            <w:r>
              <w:rPr>
                <w:sz w:val="20"/>
              </w:rPr>
              <w:t xml:space="preserve">Автоматизированные системы управления</w:t>
            </w:r>
          </w:p>
        </w:tc>
        <w:tc>
          <w:tcPr>
            <w:tcW w:w="907" w:type="dxa"/>
            <w:vAlign w:val="center"/>
          </w:tcPr>
          <w:p>
            <w:pPr>
              <w:pStyle w:val="0"/>
            </w:pPr>
            <w:r>
              <w:rPr>
                <w:sz w:val="20"/>
              </w:rPr>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80</w:t>
            </w:r>
          </w:p>
        </w:tc>
        <w:tc>
          <w:tcPr>
            <w:tcW w:w="1303" w:type="dxa"/>
            <w:vAlign w:val="center"/>
          </w:tcPr>
          <w:p>
            <w:pPr>
              <w:pStyle w:val="0"/>
              <w:jc w:val="center"/>
            </w:pPr>
            <w:r>
              <w:rPr>
                <w:sz w:val="20"/>
              </w:rPr>
              <w:t xml:space="preserve">20</w:t>
            </w:r>
          </w:p>
        </w:tc>
      </w:tr>
      <w:tr>
        <w:tc>
          <w:tcPr>
            <w:tcW w:w="793" w:type="dxa"/>
            <w:vMerge w:val="restart"/>
          </w:tcPr>
          <w:p>
            <w:pPr>
              <w:pStyle w:val="0"/>
              <w:jc w:val="center"/>
            </w:pPr>
            <w:r>
              <w:rPr>
                <w:sz w:val="20"/>
              </w:rPr>
              <w:t xml:space="preserve">3</w:t>
            </w:r>
          </w:p>
        </w:tc>
        <w:tc>
          <w:tcPr>
            <w:tcW w:w="3061" w:type="dxa"/>
            <w:vMerge w:val="restart"/>
          </w:tcPr>
          <w:p>
            <w:pPr>
              <w:pStyle w:val="0"/>
            </w:pPr>
            <w:r>
              <w:rPr>
                <w:sz w:val="20"/>
              </w:rPr>
              <w:t xml:space="preserve">Системы вентиляции и кондиционирования воздуха</w:t>
            </w:r>
          </w:p>
        </w:tc>
        <w:tc>
          <w:tcPr>
            <w:tcW w:w="907" w:type="dxa"/>
            <w:vAlign w:val="center"/>
          </w:tcPr>
          <w:p>
            <w:pPr>
              <w:pStyle w:val="0"/>
              <w:jc w:val="center"/>
            </w:pPr>
            <w:r>
              <w:rPr>
                <w:sz w:val="20"/>
              </w:rPr>
              <w:t xml:space="preserve">1</w:t>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75</w:t>
            </w:r>
          </w:p>
        </w:tc>
        <w:tc>
          <w:tcPr>
            <w:tcW w:w="1303" w:type="dxa"/>
            <w:vAlign w:val="center"/>
          </w:tcPr>
          <w:p>
            <w:pPr>
              <w:pStyle w:val="0"/>
              <w:jc w:val="center"/>
            </w:pPr>
            <w:r>
              <w:rPr>
                <w:sz w:val="20"/>
              </w:rPr>
              <w:t xml:space="preserve">25</w:t>
            </w:r>
          </w:p>
        </w:tc>
      </w:tr>
      <w:tr>
        <w:tc>
          <w:tcPr>
            <w:vMerge w:val="continue"/>
          </w:tcPr>
          <w:p/>
        </w:tc>
        <w:tc>
          <w:tcPr>
            <w:vMerge w:val="continue"/>
          </w:tcPr>
          <w:p/>
        </w:tc>
        <w:tc>
          <w:tcPr>
            <w:tcW w:w="907" w:type="dxa"/>
            <w:vAlign w:val="center"/>
          </w:tcPr>
          <w:p>
            <w:pPr>
              <w:pStyle w:val="0"/>
              <w:jc w:val="center"/>
            </w:pPr>
            <w:r>
              <w:rPr>
                <w:sz w:val="20"/>
              </w:rPr>
              <w:t xml:space="preserve">2</w:t>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w:t>
            </w:r>
          </w:p>
        </w:tc>
        <w:tc>
          <w:tcPr>
            <w:tcW w:w="1303" w:type="dxa"/>
            <w:vAlign w:val="center"/>
          </w:tcPr>
          <w:p>
            <w:pPr>
              <w:pStyle w:val="0"/>
              <w:jc w:val="center"/>
            </w:pPr>
            <w:r>
              <w:rPr>
                <w:sz w:val="20"/>
              </w:rPr>
              <w:t xml:space="preserve">100 </w:t>
            </w:r>
            <w:hyperlink w:history="0" w:anchor="P9238" w:tooltip="&lt;*&gt; Работы, предусмотренные сметными нормами отдела 2 &quot;Испытание и наладка систем вентиляции и кондиционирования воздуха на санитарно-гигиенические (технологические) требования к воздушной среде&quot; сборника 3 &quot;Системы вентиляции и кондиционирования&quot;, выполняются на действующих предприятиях (во введенных в эксплуатацию зданиях и сооружениях) при достижении проектной мощности. Работы, предусмотренные сметными нормами отдела 8 и 10 &quot;Режимно-наладочные испытания&quot; сборника сметных норм и единичных расценок N 7 ...">
              <w:r>
                <w:rPr>
                  <w:sz w:val="20"/>
                  <w:color w:val="0000ff"/>
                </w:rPr>
                <w:t xml:space="preserve">&lt;*&gt;</w:t>
              </w:r>
            </w:hyperlink>
          </w:p>
        </w:tc>
      </w:tr>
      <w:tr>
        <w:tc>
          <w:tcPr>
            <w:tcW w:w="793" w:type="dxa"/>
          </w:tcPr>
          <w:p>
            <w:pPr>
              <w:pStyle w:val="0"/>
              <w:jc w:val="center"/>
            </w:pPr>
            <w:r>
              <w:rPr>
                <w:sz w:val="20"/>
              </w:rPr>
              <w:t xml:space="preserve">4</w:t>
            </w:r>
          </w:p>
        </w:tc>
        <w:tc>
          <w:tcPr>
            <w:tcW w:w="3061" w:type="dxa"/>
          </w:tcPr>
          <w:p>
            <w:pPr>
              <w:pStyle w:val="0"/>
            </w:pPr>
            <w:r>
              <w:rPr>
                <w:sz w:val="20"/>
              </w:rPr>
              <w:t xml:space="preserve">Подъемно-транспортное оборудование</w:t>
            </w:r>
          </w:p>
        </w:tc>
        <w:tc>
          <w:tcPr>
            <w:tcW w:w="907" w:type="dxa"/>
            <w:vAlign w:val="center"/>
          </w:tcPr>
          <w:p>
            <w:pPr>
              <w:pStyle w:val="0"/>
            </w:pPr>
            <w:r>
              <w:rPr>
                <w:sz w:val="20"/>
              </w:rPr>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55</w:t>
            </w:r>
          </w:p>
        </w:tc>
        <w:tc>
          <w:tcPr>
            <w:tcW w:w="1303" w:type="dxa"/>
            <w:vAlign w:val="center"/>
          </w:tcPr>
          <w:p>
            <w:pPr>
              <w:pStyle w:val="0"/>
              <w:jc w:val="center"/>
            </w:pPr>
            <w:r>
              <w:rPr>
                <w:sz w:val="20"/>
              </w:rPr>
              <w:t xml:space="preserve">45</w:t>
            </w:r>
          </w:p>
        </w:tc>
      </w:tr>
      <w:tr>
        <w:tc>
          <w:tcPr>
            <w:tcW w:w="793" w:type="dxa"/>
          </w:tcPr>
          <w:p>
            <w:pPr>
              <w:pStyle w:val="0"/>
              <w:jc w:val="center"/>
            </w:pPr>
            <w:r>
              <w:rPr>
                <w:sz w:val="20"/>
              </w:rPr>
              <w:t xml:space="preserve">5</w:t>
            </w:r>
          </w:p>
        </w:tc>
        <w:tc>
          <w:tcPr>
            <w:tcW w:w="3061" w:type="dxa"/>
          </w:tcPr>
          <w:p>
            <w:pPr>
              <w:pStyle w:val="0"/>
            </w:pPr>
            <w:r>
              <w:rPr>
                <w:sz w:val="20"/>
              </w:rPr>
              <w:t xml:space="preserve">Металлообрабатывающее оборудование</w:t>
            </w:r>
          </w:p>
        </w:tc>
        <w:tc>
          <w:tcPr>
            <w:tcW w:w="907" w:type="dxa"/>
            <w:vAlign w:val="center"/>
          </w:tcPr>
          <w:p>
            <w:pPr>
              <w:pStyle w:val="0"/>
            </w:pPr>
            <w:r>
              <w:rPr>
                <w:sz w:val="20"/>
              </w:rPr>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70</w:t>
            </w:r>
          </w:p>
        </w:tc>
        <w:tc>
          <w:tcPr>
            <w:tcW w:w="1303" w:type="dxa"/>
            <w:vAlign w:val="center"/>
          </w:tcPr>
          <w:p>
            <w:pPr>
              <w:pStyle w:val="0"/>
              <w:jc w:val="center"/>
            </w:pPr>
            <w:r>
              <w:rPr>
                <w:sz w:val="20"/>
              </w:rPr>
              <w:t xml:space="preserve">30</w:t>
            </w:r>
          </w:p>
        </w:tc>
      </w:tr>
      <w:tr>
        <w:tc>
          <w:tcPr>
            <w:tcW w:w="793" w:type="dxa"/>
            <w:vMerge w:val="restart"/>
          </w:tcPr>
          <w:p>
            <w:pPr>
              <w:pStyle w:val="0"/>
              <w:jc w:val="center"/>
            </w:pPr>
            <w:r>
              <w:rPr>
                <w:sz w:val="20"/>
              </w:rPr>
              <w:t xml:space="preserve">6</w:t>
            </w:r>
          </w:p>
        </w:tc>
        <w:tc>
          <w:tcPr>
            <w:tcW w:w="3061" w:type="dxa"/>
            <w:vMerge w:val="restart"/>
          </w:tcPr>
          <w:p>
            <w:pPr>
              <w:pStyle w:val="0"/>
            </w:pPr>
            <w:r>
              <w:rPr>
                <w:sz w:val="20"/>
              </w:rPr>
              <w:t xml:space="preserve">Холодильные и компрессорные установки</w:t>
            </w:r>
          </w:p>
        </w:tc>
        <w:tc>
          <w:tcPr>
            <w:tcW w:w="907" w:type="dxa"/>
            <w:vMerge w:val="restart"/>
          </w:tcPr>
          <w:p>
            <w:pPr>
              <w:pStyle w:val="0"/>
              <w:jc w:val="center"/>
            </w:pPr>
            <w:r>
              <w:rPr>
                <w:sz w:val="20"/>
              </w:rPr>
              <w:t xml:space="preserve">1</w:t>
            </w:r>
          </w:p>
        </w:tc>
        <w:tc>
          <w:tcPr>
            <w:tcW w:w="907" w:type="dxa"/>
            <w:vMerge w:val="restart"/>
          </w:tcPr>
          <w:p>
            <w:pPr>
              <w:pStyle w:val="0"/>
              <w:jc w:val="center"/>
            </w:pPr>
            <w:r>
              <w:rPr>
                <w:sz w:val="20"/>
              </w:rPr>
              <w:t xml:space="preserve">1</w:t>
            </w:r>
          </w:p>
        </w:tc>
        <w:tc>
          <w:tcPr>
            <w:tcW w:w="907" w:type="dxa"/>
            <w:vAlign w:val="center"/>
          </w:tcPr>
          <w:p>
            <w:pPr>
              <w:pStyle w:val="0"/>
              <w:jc w:val="center"/>
            </w:pPr>
            <w:r>
              <w:rPr>
                <w:sz w:val="20"/>
              </w:rPr>
              <w:t xml:space="preserve">1</w:t>
            </w:r>
          </w:p>
        </w:tc>
        <w:tc>
          <w:tcPr>
            <w:tcW w:w="1190" w:type="dxa"/>
            <w:vAlign w:val="center"/>
          </w:tcPr>
          <w:p>
            <w:pPr>
              <w:pStyle w:val="0"/>
              <w:jc w:val="center"/>
            </w:pPr>
            <w:r>
              <w:rPr>
                <w:sz w:val="20"/>
              </w:rPr>
              <w:t xml:space="preserve">14</w:t>
            </w:r>
          </w:p>
        </w:tc>
        <w:tc>
          <w:tcPr>
            <w:tcW w:w="1303" w:type="dxa"/>
            <w:vAlign w:val="center"/>
          </w:tcPr>
          <w:p>
            <w:pPr>
              <w:pStyle w:val="0"/>
              <w:jc w:val="center"/>
            </w:pPr>
            <w:r>
              <w:rPr>
                <w:sz w:val="20"/>
              </w:rPr>
              <w:t xml:space="preserve">86</w:t>
            </w:r>
          </w:p>
        </w:tc>
      </w:tr>
      <w:tr>
        <w:tc>
          <w:tcPr>
            <w:vMerge w:val="continue"/>
          </w:tcPr>
          <w:p/>
        </w:tc>
        <w:tc>
          <w:tcPr>
            <w:vMerge w:val="continue"/>
          </w:tcPr>
          <w:p/>
        </w:tc>
        <w:tc>
          <w:tcPr>
            <w:vMerge w:val="continue"/>
          </w:tcPr>
          <w:p/>
        </w:tc>
        <w:tc>
          <w:tcPr>
            <w:vMerge w:val="continue"/>
          </w:tcPr>
          <w:p/>
        </w:tc>
        <w:tc>
          <w:tcPr>
            <w:tcW w:w="907" w:type="dxa"/>
            <w:vAlign w:val="center"/>
          </w:tcPr>
          <w:p>
            <w:pPr>
              <w:pStyle w:val="0"/>
              <w:jc w:val="center"/>
            </w:pPr>
            <w:r>
              <w:rPr>
                <w:sz w:val="20"/>
              </w:rPr>
              <w:t xml:space="preserve">2</w:t>
            </w:r>
          </w:p>
        </w:tc>
        <w:tc>
          <w:tcPr>
            <w:tcW w:w="1190" w:type="dxa"/>
            <w:vAlign w:val="center"/>
          </w:tcPr>
          <w:p>
            <w:pPr>
              <w:pStyle w:val="0"/>
              <w:jc w:val="center"/>
            </w:pPr>
            <w:r>
              <w:rPr>
                <w:sz w:val="20"/>
              </w:rPr>
              <w:t xml:space="preserve">28</w:t>
            </w:r>
          </w:p>
        </w:tc>
        <w:tc>
          <w:tcPr>
            <w:tcW w:w="1303" w:type="dxa"/>
            <w:vAlign w:val="center"/>
          </w:tcPr>
          <w:p>
            <w:pPr>
              <w:pStyle w:val="0"/>
              <w:jc w:val="center"/>
            </w:pPr>
            <w:r>
              <w:rPr>
                <w:sz w:val="20"/>
              </w:rPr>
              <w:t xml:space="preserve">72</w:t>
            </w:r>
          </w:p>
        </w:tc>
      </w:tr>
      <w:tr>
        <w:tc>
          <w:tcPr>
            <w:vMerge w:val="continue"/>
          </w:tcPr>
          <w:p/>
        </w:tc>
        <w:tc>
          <w:tcPr>
            <w:vMerge w:val="continue"/>
          </w:tcPr>
          <w:p/>
        </w:tc>
        <w:tc>
          <w:tcPr>
            <w:vMerge w:val="continue"/>
          </w:tcPr>
          <w:p/>
        </w:tc>
        <w:tc>
          <w:tcPr>
            <w:vMerge w:val="continue"/>
          </w:tcPr>
          <w:p/>
        </w:tc>
        <w:tc>
          <w:tcPr>
            <w:tcW w:w="907" w:type="dxa"/>
            <w:vAlign w:val="center"/>
          </w:tcPr>
          <w:p>
            <w:pPr>
              <w:pStyle w:val="0"/>
              <w:jc w:val="center"/>
            </w:pPr>
            <w:r>
              <w:rPr>
                <w:sz w:val="20"/>
              </w:rPr>
              <w:t xml:space="preserve">3</w:t>
            </w:r>
          </w:p>
        </w:tc>
        <w:tc>
          <w:tcPr>
            <w:tcW w:w="1190" w:type="dxa"/>
            <w:vAlign w:val="center"/>
          </w:tcPr>
          <w:p>
            <w:pPr>
              <w:pStyle w:val="0"/>
              <w:jc w:val="center"/>
            </w:pPr>
            <w:r>
              <w:rPr>
                <w:sz w:val="20"/>
              </w:rPr>
              <w:t xml:space="preserve">36</w:t>
            </w:r>
          </w:p>
        </w:tc>
        <w:tc>
          <w:tcPr>
            <w:tcW w:w="1303" w:type="dxa"/>
            <w:vAlign w:val="center"/>
          </w:tcPr>
          <w:p>
            <w:pPr>
              <w:pStyle w:val="0"/>
              <w:jc w:val="center"/>
            </w:pPr>
            <w:r>
              <w:rPr>
                <w:sz w:val="20"/>
              </w:rPr>
              <w:t xml:space="preserve">64</w:t>
            </w:r>
          </w:p>
        </w:tc>
      </w:tr>
      <w:tr>
        <w:tc>
          <w:tcPr>
            <w:vMerge w:val="continue"/>
          </w:tcPr>
          <w:p/>
        </w:tc>
        <w:tc>
          <w:tcPr>
            <w:vMerge w:val="continue"/>
          </w:tcPr>
          <w:p/>
        </w:tc>
        <w:tc>
          <w:tcPr>
            <w:vMerge w:val="continue"/>
          </w:tcPr>
          <w:p/>
        </w:tc>
        <w:tc>
          <w:tcPr>
            <w:vMerge w:val="continue"/>
          </w:tcPr>
          <w:p/>
        </w:tc>
        <w:tc>
          <w:tcPr>
            <w:tcW w:w="907" w:type="dxa"/>
            <w:vAlign w:val="center"/>
          </w:tcPr>
          <w:p>
            <w:pPr>
              <w:pStyle w:val="0"/>
              <w:jc w:val="center"/>
            </w:pPr>
            <w:r>
              <w:rPr>
                <w:sz w:val="20"/>
              </w:rPr>
              <w:t xml:space="preserve">4, 5</w:t>
            </w:r>
          </w:p>
        </w:tc>
        <w:tc>
          <w:tcPr>
            <w:tcW w:w="1190" w:type="dxa"/>
            <w:vAlign w:val="center"/>
          </w:tcPr>
          <w:p>
            <w:pPr>
              <w:pStyle w:val="0"/>
              <w:jc w:val="center"/>
            </w:pPr>
            <w:r>
              <w:rPr>
                <w:sz w:val="20"/>
              </w:rPr>
              <w:t xml:space="preserve">35</w:t>
            </w:r>
          </w:p>
        </w:tc>
        <w:tc>
          <w:tcPr>
            <w:tcW w:w="1303" w:type="dxa"/>
            <w:vAlign w:val="center"/>
          </w:tcPr>
          <w:p>
            <w:pPr>
              <w:pStyle w:val="0"/>
              <w:jc w:val="center"/>
            </w:pPr>
            <w:r>
              <w:rPr>
                <w:sz w:val="20"/>
              </w:rPr>
              <w:t xml:space="preserve">65</w:t>
            </w:r>
          </w:p>
        </w:tc>
      </w:tr>
      <w:tr>
        <w:tc>
          <w:tcPr>
            <w:vMerge w:val="continue"/>
          </w:tcPr>
          <w:p/>
        </w:tc>
        <w:tc>
          <w:tcPr>
            <w:vMerge w:val="continue"/>
          </w:tcPr>
          <w:p/>
        </w:tc>
        <w:tc>
          <w:tcPr>
            <w:vMerge w:val="continue"/>
          </w:tcPr>
          <w:p/>
        </w:tc>
        <w:tc>
          <w:tcPr>
            <w:tcW w:w="907" w:type="dxa"/>
            <w:vAlign w:val="center"/>
          </w:tcPr>
          <w:p>
            <w:pPr>
              <w:pStyle w:val="0"/>
              <w:jc w:val="center"/>
            </w:pPr>
            <w:r>
              <w:rPr>
                <w:sz w:val="20"/>
              </w:rPr>
              <w:t xml:space="preserve">2</w:t>
            </w:r>
          </w:p>
        </w:tc>
        <w:tc>
          <w:tcPr>
            <w:tcW w:w="907" w:type="dxa"/>
            <w:vAlign w:val="center"/>
          </w:tcPr>
          <w:p>
            <w:pPr>
              <w:pStyle w:val="0"/>
            </w:pPr>
            <w:r>
              <w:rPr>
                <w:sz w:val="20"/>
              </w:rPr>
            </w:r>
          </w:p>
        </w:tc>
        <w:tc>
          <w:tcPr>
            <w:tcW w:w="1190" w:type="dxa"/>
            <w:vAlign w:val="center"/>
          </w:tcPr>
          <w:p>
            <w:pPr>
              <w:pStyle w:val="0"/>
              <w:jc w:val="center"/>
            </w:pPr>
            <w:r>
              <w:rPr>
                <w:sz w:val="20"/>
              </w:rPr>
              <w:t xml:space="preserve">57</w:t>
            </w:r>
          </w:p>
        </w:tc>
        <w:tc>
          <w:tcPr>
            <w:tcW w:w="1303" w:type="dxa"/>
            <w:vAlign w:val="center"/>
          </w:tcPr>
          <w:p>
            <w:pPr>
              <w:pStyle w:val="0"/>
              <w:jc w:val="center"/>
            </w:pPr>
            <w:r>
              <w:rPr>
                <w:sz w:val="20"/>
              </w:rPr>
              <w:t xml:space="preserve">43</w:t>
            </w:r>
          </w:p>
        </w:tc>
      </w:tr>
      <w:tr>
        <w:tc>
          <w:tcPr>
            <w:vMerge w:val="continue"/>
          </w:tcPr>
          <w:p/>
        </w:tc>
        <w:tc>
          <w:tcPr>
            <w:vMerge w:val="continue"/>
          </w:tcPr>
          <w:p/>
        </w:tc>
        <w:tc>
          <w:tcPr>
            <w:vMerge w:val="continue"/>
          </w:tcPr>
          <w:p/>
        </w:tc>
        <w:tc>
          <w:tcPr>
            <w:tcW w:w="907" w:type="dxa"/>
            <w:vAlign w:val="center"/>
          </w:tcPr>
          <w:p>
            <w:pPr>
              <w:pStyle w:val="0"/>
              <w:jc w:val="center"/>
            </w:pPr>
            <w:r>
              <w:rPr>
                <w:sz w:val="20"/>
              </w:rPr>
              <w:t xml:space="preserve">3</w:t>
            </w:r>
          </w:p>
        </w:tc>
        <w:tc>
          <w:tcPr>
            <w:tcW w:w="907" w:type="dxa"/>
            <w:vAlign w:val="center"/>
          </w:tcPr>
          <w:p>
            <w:pPr>
              <w:pStyle w:val="0"/>
            </w:pPr>
            <w:r>
              <w:rPr>
                <w:sz w:val="20"/>
              </w:rPr>
            </w:r>
          </w:p>
        </w:tc>
        <w:tc>
          <w:tcPr>
            <w:tcW w:w="1190" w:type="dxa"/>
            <w:vAlign w:val="center"/>
          </w:tcPr>
          <w:p>
            <w:pPr>
              <w:pStyle w:val="0"/>
              <w:jc w:val="center"/>
            </w:pPr>
            <w:r>
              <w:rPr>
                <w:sz w:val="20"/>
              </w:rPr>
              <w:t xml:space="preserve">47</w:t>
            </w:r>
          </w:p>
        </w:tc>
        <w:tc>
          <w:tcPr>
            <w:tcW w:w="1303" w:type="dxa"/>
            <w:vAlign w:val="center"/>
          </w:tcPr>
          <w:p>
            <w:pPr>
              <w:pStyle w:val="0"/>
              <w:jc w:val="center"/>
            </w:pPr>
            <w:r>
              <w:rPr>
                <w:sz w:val="20"/>
              </w:rPr>
              <w:t xml:space="preserve">53</w:t>
            </w:r>
          </w:p>
        </w:tc>
      </w:tr>
      <w:tr>
        <w:tc>
          <w:tcPr>
            <w:vMerge w:val="continue"/>
          </w:tcPr>
          <w:p/>
        </w:tc>
        <w:tc>
          <w:tcPr>
            <w:vMerge w:val="continue"/>
          </w:tcPr>
          <w:p/>
        </w:tc>
        <w:tc>
          <w:tcPr>
            <w:tcW w:w="907" w:type="dxa"/>
            <w:vMerge w:val="restart"/>
          </w:tcPr>
          <w:p>
            <w:pPr>
              <w:pStyle w:val="0"/>
              <w:jc w:val="center"/>
            </w:pPr>
            <w:r>
              <w:rPr>
                <w:sz w:val="20"/>
              </w:rPr>
              <w:t xml:space="preserve">2</w:t>
            </w:r>
          </w:p>
        </w:tc>
        <w:tc>
          <w:tcPr>
            <w:tcW w:w="907" w:type="dxa"/>
            <w:vMerge w:val="restart"/>
          </w:tcPr>
          <w:p>
            <w:pPr>
              <w:pStyle w:val="0"/>
              <w:jc w:val="center"/>
            </w:pPr>
            <w:r>
              <w:rPr>
                <w:sz w:val="20"/>
              </w:rPr>
              <w:t xml:space="preserve">1</w:t>
            </w:r>
          </w:p>
        </w:tc>
        <w:tc>
          <w:tcPr>
            <w:tcW w:w="907" w:type="dxa"/>
            <w:vAlign w:val="center"/>
          </w:tcPr>
          <w:p>
            <w:pPr>
              <w:pStyle w:val="0"/>
              <w:jc w:val="center"/>
            </w:pPr>
            <w:r>
              <w:rPr>
                <w:sz w:val="20"/>
              </w:rPr>
              <w:t xml:space="preserve">1, 2</w:t>
            </w:r>
          </w:p>
        </w:tc>
        <w:tc>
          <w:tcPr>
            <w:tcW w:w="1190" w:type="dxa"/>
            <w:vAlign w:val="center"/>
          </w:tcPr>
          <w:p>
            <w:pPr>
              <w:pStyle w:val="0"/>
              <w:jc w:val="center"/>
            </w:pPr>
            <w:r>
              <w:rPr>
                <w:sz w:val="20"/>
              </w:rPr>
              <w:t xml:space="preserve">53</w:t>
            </w:r>
          </w:p>
        </w:tc>
        <w:tc>
          <w:tcPr>
            <w:tcW w:w="1303" w:type="dxa"/>
            <w:vAlign w:val="center"/>
          </w:tcPr>
          <w:p>
            <w:pPr>
              <w:pStyle w:val="0"/>
              <w:jc w:val="center"/>
            </w:pPr>
            <w:r>
              <w:rPr>
                <w:sz w:val="20"/>
              </w:rPr>
              <w:t xml:space="preserve">47</w:t>
            </w:r>
          </w:p>
        </w:tc>
      </w:tr>
      <w:tr>
        <w:tc>
          <w:tcPr>
            <w:vMerge w:val="continue"/>
          </w:tcPr>
          <w:p/>
        </w:tc>
        <w:tc>
          <w:tcPr>
            <w:vMerge w:val="continue"/>
          </w:tcPr>
          <w:p/>
        </w:tc>
        <w:tc>
          <w:tcPr>
            <w:vMerge w:val="continue"/>
          </w:tcPr>
          <w:p/>
        </w:tc>
        <w:tc>
          <w:tcPr>
            <w:vMerge w:val="continue"/>
          </w:tcPr>
          <w:p/>
        </w:tc>
        <w:tc>
          <w:tcPr>
            <w:tcW w:w="907" w:type="dxa"/>
            <w:vAlign w:val="center"/>
          </w:tcPr>
          <w:p>
            <w:pPr>
              <w:pStyle w:val="0"/>
              <w:jc w:val="center"/>
            </w:pPr>
            <w:r>
              <w:rPr>
                <w:sz w:val="20"/>
              </w:rPr>
              <w:t xml:space="preserve">3</w:t>
            </w:r>
          </w:p>
        </w:tc>
        <w:tc>
          <w:tcPr>
            <w:tcW w:w="1190" w:type="dxa"/>
            <w:vAlign w:val="center"/>
          </w:tcPr>
          <w:p>
            <w:pPr>
              <w:pStyle w:val="0"/>
              <w:jc w:val="center"/>
            </w:pPr>
            <w:r>
              <w:rPr>
                <w:sz w:val="20"/>
              </w:rPr>
              <w:t xml:space="preserve">50</w:t>
            </w:r>
          </w:p>
        </w:tc>
        <w:tc>
          <w:tcPr>
            <w:tcW w:w="1303" w:type="dxa"/>
            <w:vAlign w:val="center"/>
          </w:tcPr>
          <w:p>
            <w:pPr>
              <w:pStyle w:val="0"/>
              <w:jc w:val="center"/>
            </w:pPr>
            <w:r>
              <w:rPr>
                <w:sz w:val="20"/>
              </w:rPr>
              <w:t xml:space="preserve">50</w:t>
            </w:r>
          </w:p>
        </w:tc>
      </w:tr>
      <w:tr>
        <w:tc>
          <w:tcPr>
            <w:vMerge w:val="continue"/>
          </w:tcPr>
          <w:p/>
        </w:tc>
        <w:tc>
          <w:tcPr>
            <w:vMerge w:val="continue"/>
          </w:tcPr>
          <w:p/>
        </w:tc>
        <w:tc>
          <w:tcPr>
            <w:vMerge w:val="continue"/>
          </w:tcPr>
          <w:p/>
        </w:tc>
        <w:tc>
          <w:tcPr>
            <w:tcW w:w="907" w:type="dxa"/>
            <w:vAlign w:val="center"/>
          </w:tcPr>
          <w:p>
            <w:pPr>
              <w:pStyle w:val="0"/>
              <w:jc w:val="center"/>
            </w:pPr>
            <w:r>
              <w:rPr>
                <w:sz w:val="20"/>
              </w:rPr>
              <w:t xml:space="preserve">2</w:t>
            </w:r>
          </w:p>
        </w:tc>
        <w:tc>
          <w:tcPr>
            <w:tcW w:w="907" w:type="dxa"/>
            <w:vAlign w:val="center"/>
          </w:tcPr>
          <w:p>
            <w:pPr>
              <w:pStyle w:val="0"/>
            </w:pPr>
            <w:r>
              <w:rPr>
                <w:sz w:val="20"/>
              </w:rPr>
            </w:r>
          </w:p>
        </w:tc>
        <w:tc>
          <w:tcPr>
            <w:tcW w:w="1190" w:type="dxa"/>
            <w:vAlign w:val="center"/>
          </w:tcPr>
          <w:p>
            <w:pPr>
              <w:pStyle w:val="0"/>
              <w:jc w:val="center"/>
            </w:pPr>
            <w:r>
              <w:rPr>
                <w:sz w:val="20"/>
              </w:rPr>
              <w:t xml:space="preserve">25</w:t>
            </w:r>
          </w:p>
        </w:tc>
        <w:tc>
          <w:tcPr>
            <w:tcW w:w="1303" w:type="dxa"/>
            <w:vAlign w:val="center"/>
          </w:tcPr>
          <w:p>
            <w:pPr>
              <w:pStyle w:val="0"/>
              <w:jc w:val="center"/>
            </w:pPr>
            <w:r>
              <w:rPr>
                <w:sz w:val="20"/>
              </w:rPr>
              <w:t xml:space="preserve">75</w:t>
            </w:r>
          </w:p>
        </w:tc>
      </w:tr>
      <w:tr>
        <w:tc>
          <w:tcPr>
            <w:vMerge w:val="continue"/>
          </w:tcPr>
          <w:p/>
        </w:tc>
        <w:tc>
          <w:tcPr>
            <w:vMerge w:val="continue"/>
          </w:tcPr>
          <w:p/>
        </w:tc>
        <w:tc>
          <w:tcPr>
            <w:tcW w:w="907" w:type="dxa"/>
            <w:vMerge w:val="restart"/>
          </w:tcPr>
          <w:p>
            <w:pPr>
              <w:pStyle w:val="0"/>
              <w:jc w:val="center"/>
            </w:pPr>
            <w:r>
              <w:rPr>
                <w:sz w:val="20"/>
              </w:rPr>
              <w:t xml:space="preserve">3</w:t>
            </w:r>
          </w:p>
        </w:tc>
        <w:tc>
          <w:tcPr>
            <w:tcW w:w="907" w:type="dxa"/>
            <w:vMerge w:val="restart"/>
          </w:tcPr>
          <w:p>
            <w:pPr>
              <w:pStyle w:val="0"/>
              <w:jc w:val="center"/>
            </w:pPr>
            <w:r>
              <w:rPr>
                <w:sz w:val="20"/>
              </w:rPr>
              <w:t xml:space="preserve">1</w:t>
            </w:r>
          </w:p>
        </w:tc>
        <w:tc>
          <w:tcPr>
            <w:tcW w:w="907" w:type="dxa"/>
            <w:vAlign w:val="center"/>
          </w:tcPr>
          <w:p>
            <w:pPr>
              <w:pStyle w:val="0"/>
              <w:jc w:val="center"/>
            </w:pPr>
            <w:r>
              <w:rPr>
                <w:sz w:val="20"/>
              </w:rPr>
              <w:t xml:space="preserve">1</w:t>
            </w:r>
          </w:p>
        </w:tc>
        <w:tc>
          <w:tcPr>
            <w:tcW w:w="1190" w:type="dxa"/>
            <w:vAlign w:val="center"/>
          </w:tcPr>
          <w:p>
            <w:pPr>
              <w:pStyle w:val="0"/>
              <w:jc w:val="center"/>
            </w:pPr>
            <w:r>
              <w:rPr>
                <w:sz w:val="20"/>
              </w:rPr>
              <w:t xml:space="preserve">50</w:t>
            </w:r>
          </w:p>
        </w:tc>
        <w:tc>
          <w:tcPr>
            <w:tcW w:w="1303" w:type="dxa"/>
            <w:vAlign w:val="center"/>
          </w:tcPr>
          <w:p>
            <w:pPr>
              <w:pStyle w:val="0"/>
              <w:jc w:val="center"/>
            </w:pPr>
            <w:r>
              <w:rPr>
                <w:sz w:val="20"/>
              </w:rPr>
              <w:t xml:space="preserve">50</w:t>
            </w:r>
          </w:p>
        </w:tc>
      </w:tr>
      <w:tr>
        <w:tc>
          <w:tcPr>
            <w:vMerge w:val="continue"/>
          </w:tcPr>
          <w:p/>
        </w:tc>
        <w:tc>
          <w:tcPr>
            <w:vMerge w:val="continue"/>
          </w:tcPr>
          <w:p/>
        </w:tc>
        <w:tc>
          <w:tcPr>
            <w:vMerge w:val="continue"/>
          </w:tcPr>
          <w:p/>
        </w:tc>
        <w:tc>
          <w:tcPr>
            <w:vMerge w:val="continue"/>
          </w:tcPr>
          <w:p/>
        </w:tc>
        <w:tc>
          <w:tcPr>
            <w:tcW w:w="907" w:type="dxa"/>
            <w:vAlign w:val="center"/>
          </w:tcPr>
          <w:p>
            <w:pPr>
              <w:pStyle w:val="0"/>
              <w:jc w:val="center"/>
            </w:pPr>
            <w:r>
              <w:rPr>
                <w:sz w:val="20"/>
              </w:rPr>
              <w:t xml:space="preserve">2 - 13</w:t>
            </w:r>
          </w:p>
        </w:tc>
        <w:tc>
          <w:tcPr>
            <w:tcW w:w="1190" w:type="dxa"/>
            <w:vAlign w:val="center"/>
          </w:tcPr>
          <w:p>
            <w:pPr>
              <w:pStyle w:val="0"/>
              <w:jc w:val="center"/>
            </w:pPr>
            <w:r>
              <w:rPr>
                <w:sz w:val="20"/>
              </w:rPr>
              <w:t xml:space="preserve">22</w:t>
            </w:r>
          </w:p>
        </w:tc>
        <w:tc>
          <w:tcPr>
            <w:tcW w:w="1303" w:type="dxa"/>
            <w:vAlign w:val="center"/>
          </w:tcPr>
          <w:p>
            <w:pPr>
              <w:pStyle w:val="0"/>
              <w:jc w:val="center"/>
            </w:pPr>
            <w:r>
              <w:rPr>
                <w:sz w:val="20"/>
              </w:rPr>
              <w:t xml:space="preserve">78</w:t>
            </w:r>
          </w:p>
        </w:tc>
      </w:tr>
      <w:tr>
        <w:tc>
          <w:tcPr>
            <w:tcW w:w="793" w:type="dxa"/>
            <w:vMerge w:val="restart"/>
          </w:tcPr>
          <w:p>
            <w:pPr>
              <w:pStyle w:val="0"/>
              <w:jc w:val="center"/>
            </w:pPr>
            <w:r>
              <w:rPr>
                <w:sz w:val="20"/>
              </w:rPr>
              <w:t xml:space="preserve">7</w:t>
            </w:r>
          </w:p>
        </w:tc>
        <w:tc>
          <w:tcPr>
            <w:tcW w:w="3061" w:type="dxa"/>
            <w:vMerge w:val="restart"/>
          </w:tcPr>
          <w:p>
            <w:pPr>
              <w:pStyle w:val="0"/>
            </w:pPr>
            <w:r>
              <w:rPr>
                <w:sz w:val="20"/>
              </w:rPr>
              <w:t xml:space="preserve">Теплоэнергетическое оборудование</w:t>
            </w:r>
          </w:p>
        </w:tc>
        <w:tc>
          <w:tcPr>
            <w:tcW w:w="907" w:type="dxa"/>
            <w:vAlign w:val="center"/>
          </w:tcPr>
          <w:p>
            <w:pPr>
              <w:pStyle w:val="0"/>
              <w:jc w:val="center"/>
            </w:pPr>
            <w:r>
              <w:rPr>
                <w:sz w:val="20"/>
              </w:rPr>
              <w:t xml:space="preserve">1 - 7, 9</w:t>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60</w:t>
            </w:r>
          </w:p>
        </w:tc>
        <w:tc>
          <w:tcPr>
            <w:tcW w:w="1303" w:type="dxa"/>
            <w:vAlign w:val="center"/>
          </w:tcPr>
          <w:p>
            <w:pPr>
              <w:pStyle w:val="0"/>
              <w:jc w:val="center"/>
            </w:pPr>
            <w:r>
              <w:rPr>
                <w:sz w:val="20"/>
              </w:rPr>
              <w:t xml:space="preserve">40</w:t>
            </w:r>
          </w:p>
        </w:tc>
      </w:tr>
      <w:tr>
        <w:tc>
          <w:tcPr>
            <w:vMerge w:val="continue"/>
          </w:tcPr>
          <w:p/>
        </w:tc>
        <w:tc>
          <w:tcPr>
            <w:vMerge w:val="continue"/>
          </w:tcPr>
          <w:p/>
        </w:tc>
        <w:tc>
          <w:tcPr>
            <w:tcW w:w="907" w:type="dxa"/>
            <w:vAlign w:val="center"/>
          </w:tcPr>
          <w:p>
            <w:pPr>
              <w:pStyle w:val="0"/>
              <w:jc w:val="center"/>
            </w:pPr>
            <w:r>
              <w:rPr>
                <w:sz w:val="20"/>
              </w:rPr>
              <w:t xml:space="preserve">8</w:t>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w:t>
            </w:r>
          </w:p>
        </w:tc>
        <w:tc>
          <w:tcPr>
            <w:tcW w:w="1303" w:type="dxa"/>
            <w:vAlign w:val="center"/>
          </w:tcPr>
          <w:p>
            <w:pPr>
              <w:pStyle w:val="0"/>
              <w:jc w:val="center"/>
            </w:pPr>
            <w:r>
              <w:rPr>
                <w:sz w:val="20"/>
              </w:rPr>
              <w:t xml:space="preserve">100 </w:t>
            </w:r>
            <w:hyperlink w:history="0" w:anchor="P9238" w:tooltip="&lt;*&gt; Работы, предусмотренные сметными нормами отдела 2 &quot;Испытание и наладка систем вентиляции и кондиционирования воздуха на санитарно-гигиенические (технологические) требования к воздушной среде&quot; сборника 3 &quot;Системы вентиляции и кондиционирования&quot;, выполняются на действующих предприятиях (во введенных в эксплуатацию зданиях и сооружениях) при достижении проектной мощности. Работы, предусмотренные сметными нормами отдела 8 и 10 &quot;Режимно-наладочные испытания&quot; сборника сметных норм и единичных расценок N 7 ...">
              <w:r>
                <w:rPr>
                  <w:sz w:val="20"/>
                  <w:color w:val="0000ff"/>
                </w:rPr>
                <w:t xml:space="preserve">&lt;*&gt;</w:t>
              </w:r>
            </w:hyperlink>
          </w:p>
        </w:tc>
      </w:tr>
      <w:tr>
        <w:tc>
          <w:tcPr>
            <w:vMerge w:val="continue"/>
          </w:tcPr>
          <w:p/>
        </w:tc>
        <w:tc>
          <w:tcPr>
            <w:vMerge w:val="continue"/>
          </w:tcPr>
          <w:p/>
        </w:tc>
        <w:tc>
          <w:tcPr>
            <w:tcW w:w="907" w:type="dxa"/>
            <w:vAlign w:val="center"/>
          </w:tcPr>
          <w:p>
            <w:pPr>
              <w:pStyle w:val="0"/>
              <w:jc w:val="center"/>
            </w:pPr>
            <w:r>
              <w:rPr>
                <w:sz w:val="20"/>
              </w:rPr>
              <w:t xml:space="preserve">10</w:t>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w:t>
            </w:r>
          </w:p>
        </w:tc>
        <w:tc>
          <w:tcPr>
            <w:tcW w:w="1303" w:type="dxa"/>
            <w:vAlign w:val="center"/>
          </w:tcPr>
          <w:p>
            <w:pPr>
              <w:pStyle w:val="0"/>
              <w:jc w:val="center"/>
            </w:pPr>
            <w:r>
              <w:rPr>
                <w:sz w:val="20"/>
              </w:rPr>
              <w:t xml:space="preserve">100</w:t>
            </w:r>
          </w:p>
        </w:tc>
      </w:tr>
      <w:tr>
        <w:tc>
          <w:tcPr>
            <w:tcW w:w="793" w:type="dxa"/>
          </w:tcPr>
          <w:p>
            <w:pPr>
              <w:pStyle w:val="0"/>
              <w:jc w:val="center"/>
            </w:pPr>
            <w:r>
              <w:rPr>
                <w:sz w:val="20"/>
              </w:rPr>
              <w:t xml:space="preserve">8</w:t>
            </w:r>
          </w:p>
        </w:tc>
        <w:tc>
          <w:tcPr>
            <w:tcW w:w="3061" w:type="dxa"/>
          </w:tcPr>
          <w:p>
            <w:pPr>
              <w:pStyle w:val="0"/>
            </w:pPr>
            <w:r>
              <w:rPr>
                <w:sz w:val="20"/>
              </w:rPr>
              <w:t xml:space="preserve">Деревообрабатывающее оборудование</w:t>
            </w:r>
          </w:p>
        </w:tc>
        <w:tc>
          <w:tcPr>
            <w:tcW w:w="907" w:type="dxa"/>
            <w:vAlign w:val="center"/>
          </w:tcPr>
          <w:p>
            <w:pPr>
              <w:pStyle w:val="0"/>
            </w:pPr>
            <w:r>
              <w:rPr>
                <w:sz w:val="20"/>
              </w:rPr>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60</w:t>
            </w:r>
          </w:p>
        </w:tc>
        <w:tc>
          <w:tcPr>
            <w:tcW w:w="1303" w:type="dxa"/>
            <w:vAlign w:val="center"/>
          </w:tcPr>
          <w:p>
            <w:pPr>
              <w:pStyle w:val="0"/>
              <w:jc w:val="center"/>
            </w:pPr>
            <w:r>
              <w:rPr>
                <w:sz w:val="20"/>
              </w:rPr>
              <w:t xml:space="preserve">40</w:t>
            </w:r>
          </w:p>
        </w:tc>
      </w:tr>
      <w:tr>
        <w:tc>
          <w:tcPr>
            <w:tcW w:w="793" w:type="dxa"/>
            <w:vMerge w:val="restart"/>
          </w:tcPr>
          <w:p>
            <w:pPr>
              <w:pStyle w:val="0"/>
              <w:jc w:val="center"/>
            </w:pPr>
            <w:r>
              <w:rPr>
                <w:sz w:val="20"/>
              </w:rPr>
              <w:t xml:space="preserve">9</w:t>
            </w:r>
          </w:p>
        </w:tc>
        <w:tc>
          <w:tcPr>
            <w:tcW w:w="3061" w:type="dxa"/>
            <w:vMerge w:val="restart"/>
          </w:tcPr>
          <w:p>
            <w:pPr>
              <w:pStyle w:val="0"/>
            </w:pPr>
            <w:r>
              <w:rPr>
                <w:sz w:val="20"/>
              </w:rPr>
              <w:t xml:space="preserve">Сооружения водоснабжения и канализации</w:t>
            </w:r>
          </w:p>
        </w:tc>
        <w:tc>
          <w:tcPr>
            <w:tcW w:w="907" w:type="dxa"/>
            <w:vAlign w:val="center"/>
          </w:tcPr>
          <w:p>
            <w:pPr>
              <w:pStyle w:val="0"/>
              <w:jc w:val="center"/>
            </w:pPr>
            <w:r>
              <w:rPr>
                <w:sz w:val="20"/>
              </w:rPr>
              <w:t xml:space="preserve">1</w:t>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25</w:t>
            </w:r>
          </w:p>
        </w:tc>
        <w:tc>
          <w:tcPr>
            <w:tcW w:w="1303" w:type="dxa"/>
            <w:vAlign w:val="center"/>
          </w:tcPr>
          <w:p>
            <w:pPr>
              <w:pStyle w:val="0"/>
              <w:jc w:val="center"/>
            </w:pPr>
            <w:r>
              <w:rPr>
                <w:sz w:val="20"/>
              </w:rPr>
              <w:t xml:space="preserve">75</w:t>
            </w:r>
          </w:p>
        </w:tc>
      </w:tr>
      <w:tr>
        <w:tc>
          <w:tcPr>
            <w:vMerge w:val="continue"/>
          </w:tcPr>
          <w:p/>
        </w:tc>
        <w:tc>
          <w:tcPr>
            <w:vMerge w:val="continue"/>
          </w:tcPr>
          <w:p/>
        </w:tc>
        <w:tc>
          <w:tcPr>
            <w:tcW w:w="907" w:type="dxa"/>
            <w:vAlign w:val="center"/>
          </w:tcPr>
          <w:p>
            <w:pPr>
              <w:pStyle w:val="0"/>
              <w:jc w:val="center"/>
            </w:pPr>
            <w:r>
              <w:rPr>
                <w:sz w:val="20"/>
              </w:rPr>
              <w:t xml:space="preserve">2</w:t>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30</w:t>
            </w:r>
          </w:p>
        </w:tc>
        <w:tc>
          <w:tcPr>
            <w:tcW w:w="1303" w:type="dxa"/>
            <w:vAlign w:val="center"/>
          </w:tcPr>
          <w:p>
            <w:pPr>
              <w:pStyle w:val="0"/>
              <w:jc w:val="center"/>
            </w:pPr>
            <w:r>
              <w:rPr>
                <w:sz w:val="20"/>
              </w:rPr>
              <w:t xml:space="preserve">70</w:t>
            </w:r>
          </w:p>
        </w:tc>
      </w:tr>
      <w:tr>
        <w:tc>
          <w:tcPr>
            <w:vMerge w:val="continue"/>
          </w:tcPr>
          <w:p/>
        </w:tc>
        <w:tc>
          <w:tcPr>
            <w:vMerge w:val="continue"/>
          </w:tcPr>
          <w:p/>
        </w:tc>
        <w:tc>
          <w:tcPr>
            <w:tcW w:w="907" w:type="dxa"/>
            <w:vAlign w:val="center"/>
          </w:tcPr>
          <w:p>
            <w:pPr>
              <w:pStyle w:val="0"/>
              <w:jc w:val="center"/>
            </w:pPr>
            <w:r>
              <w:rPr>
                <w:sz w:val="20"/>
              </w:rPr>
              <w:t xml:space="preserve">3</w:t>
            </w:r>
          </w:p>
        </w:tc>
        <w:tc>
          <w:tcPr>
            <w:tcW w:w="907" w:type="dxa"/>
            <w:vAlign w:val="center"/>
          </w:tcPr>
          <w:p>
            <w:pPr>
              <w:pStyle w:val="0"/>
            </w:pPr>
            <w:r>
              <w:rPr>
                <w:sz w:val="20"/>
              </w:rPr>
            </w:r>
          </w:p>
        </w:tc>
        <w:tc>
          <w:tcPr>
            <w:tcW w:w="907" w:type="dxa"/>
            <w:vAlign w:val="center"/>
          </w:tcPr>
          <w:p>
            <w:pPr>
              <w:pStyle w:val="0"/>
            </w:pPr>
            <w:r>
              <w:rPr>
                <w:sz w:val="20"/>
              </w:rPr>
            </w:r>
          </w:p>
        </w:tc>
        <w:tc>
          <w:tcPr>
            <w:tcW w:w="1190" w:type="dxa"/>
            <w:vAlign w:val="center"/>
          </w:tcPr>
          <w:p>
            <w:pPr>
              <w:pStyle w:val="0"/>
              <w:jc w:val="center"/>
            </w:pPr>
            <w:r>
              <w:rPr>
                <w:sz w:val="20"/>
              </w:rPr>
              <w:t xml:space="preserve">10</w:t>
            </w:r>
          </w:p>
        </w:tc>
        <w:tc>
          <w:tcPr>
            <w:tcW w:w="1303" w:type="dxa"/>
            <w:vAlign w:val="center"/>
          </w:tcPr>
          <w:p>
            <w:pPr>
              <w:pStyle w:val="0"/>
              <w:jc w:val="center"/>
            </w:pPr>
            <w:r>
              <w:rPr>
                <w:sz w:val="20"/>
              </w:rPr>
              <w:t xml:space="preserve">90</w:t>
            </w:r>
          </w:p>
        </w:tc>
      </w:tr>
    </w:tbl>
    <w:p>
      <w:pPr>
        <w:pStyle w:val="0"/>
        <w:jc w:val="both"/>
      </w:pPr>
      <w:r>
        <w:rPr>
          <w:sz w:val="20"/>
        </w:rPr>
      </w:r>
    </w:p>
    <w:p>
      <w:pPr>
        <w:pStyle w:val="0"/>
        <w:ind w:firstLine="540"/>
        <w:jc w:val="both"/>
      </w:pPr>
      <w:r>
        <w:rPr>
          <w:sz w:val="20"/>
        </w:rPr>
        <w:t xml:space="preserve">--------------------------------</w:t>
      </w:r>
    </w:p>
    <w:bookmarkStart w:id="9238" w:name="P9238"/>
    <w:bookmarkEnd w:id="9238"/>
    <w:p>
      <w:pPr>
        <w:pStyle w:val="0"/>
        <w:spacing w:before="200" w:line-rule="auto"/>
        <w:ind w:firstLine="540"/>
        <w:jc w:val="both"/>
      </w:pPr>
      <w:r>
        <w:rPr>
          <w:sz w:val="20"/>
        </w:rPr>
        <w:t xml:space="preserve">&lt;*&gt; Работы, предусмотренные сметными нормами отдела 2 "Испытание и наладка систем вентиляции и кондиционирования воздуха на санитарно-гигиенические (технологические) требования к воздушной среде" сборника 3 "Системы вентиляции и кондиционирования", выполняются на действующих предприятиях (во введенных в эксплуатацию зданиях и сооружениях) при достижении проектной мощности. Работы, предусмотренные сметными нормами отдела 8 и 10 "Режимно-наладочные испытания" сборника сметных норм и единичных расценок N 7 "Теплоэнергетическое оборудование", проводятся на действующих предприятиях и оборудовании.</w:t>
      </w:r>
    </w:p>
    <w:p>
      <w:pPr>
        <w:pStyle w:val="0"/>
        <w:spacing w:before="200" w:line-rule="auto"/>
        <w:ind w:firstLine="540"/>
        <w:jc w:val="both"/>
      </w:pPr>
      <w:r>
        <w:rPr>
          <w:sz w:val="20"/>
        </w:rPr>
        <w:t xml:space="preserve">Стоимость работ, полученная с применением указанных сметных норм, не относится к пусконаладочным работам, не включается в сводную смету на ввод в эксплуатацию предприятия, здания, сооружения.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jc w:val="right"/>
      </w:pPr>
      <w:r>
        <w:rPr>
          <w:sz w:val="20"/>
        </w:rPr>
        <w:t xml:space="preserve">(рекомендуемый образец)</w:t>
      </w:r>
    </w:p>
    <w:p>
      <w:pPr>
        <w:pStyle w:val="0"/>
        <w:jc w:val="both"/>
      </w:pPr>
      <w:r>
        <w:rPr>
          <w:sz w:val="20"/>
        </w:rPr>
      </w:r>
    </w:p>
    <w:bookmarkStart w:id="9264" w:name="P9264"/>
    <w:bookmarkEnd w:id="9264"/>
    <w:p>
      <w:pPr>
        <w:pStyle w:val="0"/>
        <w:jc w:val="center"/>
      </w:pPr>
      <w:r>
        <w:rPr>
          <w:sz w:val="20"/>
        </w:rPr>
        <w:t xml:space="preserve">РЕКОМЕНДУЕМЫЙ ПЕРЕЧЕНЬ</w:t>
      </w:r>
    </w:p>
    <w:p>
      <w:pPr>
        <w:pStyle w:val="0"/>
        <w:jc w:val="center"/>
      </w:pPr>
      <w:r>
        <w:rPr>
          <w:sz w:val="20"/>
        </w:rPr>
        <w:t xml:space="preserve">РАБОТ И ЗАТРАТ, УЧИТЫВАЕМЫХ В ГЛАВАХ 1 И 9</w:t>
      </w:r>
    </w:p>
    <w:p>
      <w:pPr>
        <w:pStyle w:val="0"/>
        <w:jc w:val="center"/>
      </w:pPr>
      <w:r>
        <w:rPr>
          <w:sz w:val="20"/>
        </w:rPr>
        <w:t xml:space="preserve">СВОДНОГО СМЕТНОГО РАСЧЕТА СТОИМОСТИ СТРОИТЕЛЬСТВА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3798"/>
        <w:gridCol w:w="3231"/>
        <w:gridCol w:w="1304"/>
      </w:tblGrid>
      <w:tr>
        <w:tc>
          <w:tcPr>
            <w:tcW w:w="737" w:type="dxa"/>
          </w:tcPr>
          <w:p>
            <w:pPr>
              <w:pStyle w:val="0"/>
              <w:jc w:val="center"/>
            </w:pPr>
            <w:r>
              <w:rPr>
                <w:sz w:val="20"/>
              </w:rPr>
              <w:t xml:space="preserve">N п/п</w:t>
            </w:r>
          </w:p>
        </w:tc>
        <w:tc>
          <w:tcPr>
            <w:tcW w:w="3798" w:type="dxa"/>
          </w:tcPr>
          <w:p>
            <w:pPr>
              <w:pStyle w:val="0"/>
              <w:jc w:val="center"/>
            </w:pPr>
            <w:r>
              <w:rPr>
                <w:sz w:val="20"/>
              </w:rPr>
              <w:t xml:space="preserve">Номер глав сводного сметного расчета, наименование работ и затрат</w:t>
            </w:r>
          </w:p>
        </w:tc>
        <w:tc>
          <w:tcPr>
            <w:tcW w:w="3231" w:type="dxa"/>
          </w:tcPr>
          <w:p>
            <w:pPr>
              <w:pStyle w:val="0"/>
              <w:jc w:val="center"/>
            </w:pPr>
            <w:r>
              <w:rPr>
                <w:sz w:val="20"/>
              </w:rPr>
              <w:t xml:space="preserve">Порядок определения и обоснования стоимости работ и затрат</w:t>
            </w:r>
          </w:p>
        </w:tc>
        <w:tc>
          <w:tcPr>
            <w:tcW w:w="1304" w:type="dxa"/>
          </w:tcPr>
          <w:p>
            <w:pPr>
              <w:pStyle w:val="0"/>
              <w:jc w:val="center"/>
            </w:pPr>
            <w:r>
              <w:rPr>
                <w:sz w:val="20"/>
              </w:rPr>
              <w:t xml:space="preserve">Порядок включения работ и затрат в сводный сметный расчет</w:t>
            </w:r>
          </w:p>
        </w:tc>
      </w:tr>
      <w:tr>
        <w:tc>
          <w:tcPr>
            <w:tcW w:w="737" w:type="dxa"/>
          </w:tcPr>
          <w:p>
            <w:pPr>
              <w:pStyle w:val="0"/>
              <w:jc w:val="center"/>
            </w:pPr>
            <w:r>
              <w:rPr>
                <w:sz w:val="20"/>
              </w:rPr>
              <w:t xml:space="preserve">1</w:t>
            </w:r>
          </w:p>
        </w:tc>
        <w:tc>
          <w:tcPr>
            <w:tcW w:w="3798" w:type="dxa"/>
          </w:tcPr>
          <w:p>
            <w:pPr>
              <w:pStyle w:val="0"/>
              <w:jc w:val="center"/>
            </w:pPr>
            <w:r>
              <w:rPr>
                <w:sz w:val="20"/>
              </w:rPr>
              <w:t xml:space="preserve">2</w:t>
            </w:r>
          </w:p>
        </w:tc>
        <w:tc>
          <w:tcPr>
            <w:tcW w:w="3231" w:type="dxa"/>
          </w:tcPr>
          <w:p>
            <w:pPr>
              <w:pStyle w:val="0"/>
              <w:jc w:val="center"/>
            </w:pPr>
            <w:r>
              <w:rPr>
                <w:sz w:val="20"/>
              </w:rPr>
              <w:t xml:space="preserve">3</w:t>
            </w:r>
          </w:p>
        </w:tc>
        <w:tc>
          <w:tcPr>
            <w:tcW w:w="1304" w:type="dxa"/>
          </w:tcPr>
          <w:p>
            <w:pPr>
              <w:pStyle w:val="0"/>
              <w:jc w:val="center"/>
            </w:pPr>
            <w:r>
              <w:rPr>
                <w:sz w:val="20"/>
              </w:rPr>
              <w:t xml:space="preserve">4</w:t>
            </w:r>
          </w:p>
        </w:tc>
      </w:tr>
      <w:tr>
        <w:tc>
          <w:tcPr>
            <w:tcW w:w="737" w:type="dxa"/>
          </w:tcPr>
          <w:p>
            <w:pPr>
              <w:pStyle w:val="0"/>
              <w:outlineLvl w:val="2"/>
            </w:pPr>
            <w:r>
              <w:rPr>
                <w:sz w:val="20"/>
              </w:rPr>
              <w:t xml:space="preserve">1</w:t>
            </w:r>
          </w:p>
        </w:tc>
        <w:tc>
          <w:tcPr>
            <w:tcW w:w="3798" w:type="dxa"/>
          </w:tcPr>
          <w:p>
            <w:pPr>
              <w:pStyle w:val="0"/>
              <w:jc w:val="both"/>
            </w:pPr>
            <w:r>
              <w:rPr>
                <w:sz w:val="20"/>
              </w:rPr>
              <w:t xml:space="preserve">Глава 1</w:t>
            </w:r>
          </w:p>
        </w:tc>
        <w:tc>
          <w:tcPr>
            <w:tcW w:w="3231" w:type="dxa"/>
          </w:tcPr>
          <w:p>
            <w:pPr>
              <w:pStyle w:val="0"/>
            </w:pPr>
            <w:r>
              <w:rPr>
                <w:sz w:val="20"/>
              </w:rPr>
            </w:r>
          </w:p>
        </w:tc>
        <w:tc>
          <w:tcPr>
            <w:tcW w:w="1304" w:type="dxa"/>
          </w:tcPr>
          <w:p>
            <w:pPr>
              <w:pStyle w:val="0"/>
            </w:pPr>
            <w:r>
              <w:rPr>
                <w:sz w:val="20"/>
              </w:rPr>
            </w:r>
          </w:p>
        </w:tc>
      </w:tr>
      <w:tr>
        <w:tc>
          <w:tcPr>
            <w:tcW w:w="737" w:type="dxa"/>
          </w:tcPr>
          <w:p>
            <w:pPr>
              <w:pStyle w:val="0"/>
              <w:outlineLvl w:val="3"/>
            </w:pPr>
            <w:r>
              <w:rPr>
                <w:sz w:val="20"/>
              </w:rPr>
              <w:t xml:space="preserve">1.1</w:t>
            </w:r>
          </w:p>
        </w:tc>
        <w:tc>
          <w:tcPr>
            <w:tcW w:w="3798" w:type="dxa"/>
          </w:tcPr>
          <w:p>
            <w:pPr>
              <w:pStyle w:val="0"/>
              <w:jc w:val="both"/>
            </w:pPr>
            <w:r>
              <w:rPr>
                <w:sz w:val="20"/>
              </w:rPr>
              <w:t xml:space="preserve">Получение исходных данных и условий для подготовки проектной документации</w:t>
            </w:r>
          </w:p>
        </w:tc>
        <w:tc>
          <w:tcPr>
            <w:tcW w:w="3231" w:type="dxa"/>
          </w:tcPr>
          <w:p>
            <w:pPr>
              <w:pStyle w:val="0"/>
            </w:pPr>
            <w:r>
              <w:rPr>
                <w:sz w:val="20"/>
              </w:rPr>
            </w:r>
          </w:p>
        </w:tc>
        <w:tc>
          <w:tcPr>
            <w:tcW w:w="1304" w:type="dxa"/>
          </w:tcPr>
          <w:p>
            <w:pPr>
              <w:pStyle w:val="0"/>
            </w:pPr>
            <w:r>
              <w:rPr>
                <w:sz w:val="20"/>
              </w:rPr>
            </w:r>
          </w:p>
        </w:tc>
      </w:tr>
      <w:tr>
        <w:tc>
          <w:tcPr>
            <w:tcW w:w="737" w:type="dxa"/>
          </w:tcPr>
          <w:p>
            <w:pPr>
              <w:pStyle w:val="0"/>
            </w:pPr>
            <w:r>
              <w:rPr>
                <w:sz w:val="20"/>
              </w:rPr>
              <w:t xml:space="preserve">1.1.1</w:t>
            </w:r>
          </w:p>
        </w:tc>
        <w:tc>
          <w:tcPr>
            <w:tcW w:w="3798" w:type="dxa"/>
          </w:tcPr>
          <w:p>
            <w:pPr>
              <w:pStyle w:val="0"/>
              <w:jc w:val="both"/>
            </w:pPr>
            <w:r>
              <w:rPr>
                <w:sz w:val="20"/>
              </w:rPr>
              <w:t xml:space="preserve">Затраты, связанные с получением (разработкой) исходных данных и специальных технических условий для подготовки проектной документации, проведением необходимых согласований по проектным решениям</w:t>
            </w:r>
          </w:p>
        </w:tc>
        <w:tc>
          <w:tcPr>
            <w:tcW w:w="3231" w:type="dxa"/>
          </w:tcPr>
          <w:p>
            <w:pPr>
              <w:pStyle w:val="0"/>
              <w:jc w:val="both"/>
            </w:pPr>
            <w:r>
              <w:rPr>
                <w:sz w:val="20"/>
              </w:rPr>
              <w:t xml:space="preserve">Определяются расчетами согласно тарифам (ценам, нормативам), утверждаемым в соответствии законодательством Российской Федерации.</w:t>
            </w:r>
          </w:p>
          <w:p>
            <w:pPr>
              <w:pStyle w:val="0"/>
              <w:jc w:val="both"/>
            </w:pPr>
            <w:r>
              <w:rPr>
                <w:sz w:val="20"/>
              </w:rPr>
              <w:t xml:space="preserve">В случаях, когда законодательством Российской Федерации не установлено государственное регулирование - согласно ценам и тарифам специализированных организаций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1.1.2</w:t>
            </w:r>
          </w:p>
        </w:tc>
        <w:tc>
          <w:tcPr>
            <w:tcW w:w="3798" w:type="dxa"/>
          </w:tcPr>
          <w:p>
            <w:pPr>
              <w:pStyle w:val="0"/>
              <w:jc w:val="both"/>
            </w:pPr>
            <w:r>
              <w:rPr>
                <w:sz w:val="20"/>
              </w:rPr>
              <w:t xml:space="preserve">Затраты, связанные с проведением геодезических работ, выполняемых на территории строительства до начала строительства (вынос в натуру границ участка строительства, осей контура строительства зданий сооружений и трасс осей подземных сетей инженерно-технического обеспечения, знаки и пункты в земле или створы осей на близлежащих капитальных строениях)</w:t>
            </w:r>
          </w:p>
        </w:tc>
        <w:tc>
          <w:tcPr>
            <w:tcW w:w="3231" w:type="dxa"/>
          </w:tcPr>
          <w:p>
            <w:pPr>
              <w:pStyle w:val="0"/>
              <w:jc w:val="both"/>
            </w:pPr>
            <w:r>
              <w:rPr>
                <w:sz w:val="20"/>
              </w:rPr>
              <w:t xml:space="preserve">Определяются расчетами с применением сметных нормативов, сведения о которых включены в ФРСН</w:t>
            </w:r>
          </w:p>
        </w:tc>
        <w:tc>
          <w:tcPr>
            <w:tcW w:w="1304" w:type="dxa"/>
          </w:tcPr>
          <w:p>
            <w:pPr>
              <w:pStyle w:val="0"/>
              <w:jc w:val="both"/>
            </w:pPr>
            <w:hyperlink w:history="0" w:anchor="P8745" w:tooltip="4">
              <w:r>
                <w:rPr>
                  <w:sz w:val="20"/>
                  <w:color w:val="0000ff"/>
                </w:rPr>
                <w:t xml:space="preserve">Графы 4</w:t>
              </w:r>
            </w:hyperlink>
            <w:r>
              <w:rPr>
                <w:sz w:val="20"/>
              </w:rPr>
              <w:t xml:space="preserve">, </w:t>
            </w:r>
            <w:hyperlink w:history="0" w:anchor="P8748" w:tooltip="7">
              <w:r>
                <w:rPr>
                  <w:sz w:val="20"/>
                  <w:color w:val="0000ff"/>
                </w:rPr>
                <w:t xml:space="preserve">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1.1.3</w:t>
            </w:r>
          </w:p>
        </w:tc>
        <w:tc>
          <w:tcPr>
            <w:tcW w:w="3798" w:type="dxa"/>
          </w:tcPr>
          <w:p>
            <w:pPr>
              <w:pStyle w:val="0"/>
              <w:jc w:val="both"/>
            </w:pPr>
            <w:r>
              <w:rPr>
                <w:sz w:val="20"/>
              </w:rPr>
              <w:t xml:space="preserve">Затраты, связанные с оформлением прав владения и пользования на земельные участки (затраты на отвод земельного участка (приобретение в собственность земельных участков для строительства, аренда в период архитектурно-строительного проектирования и (или) строительства), плата за сервитут, возмещение убытков при ухудшении качества земель, ограничении прав в связи с установлением и изменением зон с особыми условиями использования территорий, земельный налог на период строительства, плата за пользование водными объектами или их частями</w:t>
            </w:r>
          </w:p>
        </w:tc>
        <w:tc>
          <w:tcPr>
            <w:tcW w:w="3231" w:type="dxa"/>
          </w:tcPr>
          <w:p>
            <w:pPr>
              <w:pStyle w:val="0"/>
              <w:jc w:val="both"/>
            </w:pPr>
            <w:r>
              <w:rPr>
                <w:sz w:val="20"/>
              </w:rPr>
              <w:t xml:space="preserve">Определяются расчетами на основании данных проектной и (или) иной технической документации в соответствии с законодательством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1.1.4</w:t>
            </w:r>
          </w:p>
        </w:tc>
        <w:tc>
          <w:tcPr>
            <w:tcW w:w="3798" w:type="dxa"/>
          </w:tcPr>
          <w:p>
            <w:pPr>
              <w:pStyle w:val="0"/>
              <w:jc w:val="both"/>
            </w:pPr>
            <w:r>
              <w:rPr>
                <w:sz w:val="20"/>
              </w:rPr>
              <w:t xml:space="preserve">Затраты, связанные с подготовкой документации по планировке территории, предусматривающих размещение объектов капитального строительства, в том числе линейных объектов, в случае, когда источником финансирования работ по подготовке указанной документации, приведенном в форме задания на ее разработку, являются средства заказчика, осуществляющего строительство данного объекта и не предполагается их компенсация из средств бюджетов бюджетной системы Российской Федерации</w:t>
            </w:r>
          </w:p>
        </w:tc>
        <w:tc>
          <w:tcPr>
            <w:tcW w:w="3231" w:type="dxa"/>
          </w:tcPr>
          <w:p>
            <w:pPr>
              <w:pStyle w:val="0"/>
              <w:jc w:val="both"/>
            </w:pPr>
            <w:r>
              <w:rPr>
                <w:sz w:val="20"/>
              </w:rPr>
              <w:t xml:space="preserve">Определяются расчетами с применением сметных нормативов, сведения о которых включены в ФРСН, при отсутствии сметных нормативов -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составленными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средств)</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outlineLvl w:val="3"/>
            </w:pPr>
            <w:r>
              <w:rPr>
                <w:sz w:val="20"/>
              </w:rPr>
              <w:t xml:space="preserve">1.2</w:t>
            </w:r>
          </w:p>
        </w:tc>
        <w:tc>
          <w:tcPr>
            <w:tcW w:w="3798" w:type="dxa"/>
          </w:tcPr>
          <w:p>
            <w:pPr>
              <w:pStyle w:val="0"/>
              <w:jc w:val="both"/>
            </w:pPr>
            <w:r>
              <w:rPr>
                <w:sz w:val="20"/>
              </w:rPr>
              <w:t xml:space="preserve">Затраты по освоению территории строительства</w:t>
            </w:r>
          </w:p>
        </w:tc>
        <w:tc>
          <w:tcPr>
            <w:tcW w:w="3231" w:type="dxa"/>
          </w:tcPr>
          <w:p>
            <w:pPr>
              <w:pStyle w:val="0"/>
            </w:pPr>
            <w:r>
              <w:rPr>
                <w:sz w:val="20"/>
              </w:rPr>
            </w:r>
          </w:p>
        </w:tc>
        <w:tc>
          <w:tcPr>
            <w:tcW w:w="1304" w:type="dxa"/>
          </w:tcPr>
          <w:p>
            <w:pPr>
              <w:pStyle w:val="0"/>
            </w:pPr>
            <w:r>
              <w:rPr>
                <w:sz w:val="20"/>
              </w:rPr>
            </w:r>
          </w:p>
        </w:tc>
      </w:tr>
      <w:tr>
        <w:tblPrEx>
          <w:tblBorders>
            <w:insideH w:val="nil"/>
          </w:tblBorders>
        </w:tblPrEx>
        <w:tc>
          <w:tcPr>
            <w:tcW w:w="737" w:type="dxa"/>
            <w:tcBorders>
              <w:bottom w:val="nil"/>
            </w:tcBorders>
          </w:tcPr>
          <w:p>
            <w:pPr>
              <w:pStyle w:val="0"/>
            </w:pPr>
            <w:r>
              <w:rPr>
                <w:sz w:val="20"/>
              </w:rPr>
              <w:t xml:space="preserve">1.2.1</w:t>
            </w:r>
          </w:p>
        </w:tc>
        <w:tc>
          <w:tcPr>
            <w:tcW w:w="3798" w:type="dxa"/>
            <w:tcBorders>
              <w:bottom w:val="nil"/>
            </w:tcBorders>
          </w:tcPr>
          <w:p>
            <w:pPr>
              <w:pStyle w:val="0"/>
              <w:jc w:val="both"/>
            </w:pPr>
            <w:r>
              <w:rPr>
                <w:sz w:val="20"/>
              </w:rPr>
              <w:t xml:space="preserve">Затраты, связанные с:</w:t>
            </w:r>
          </w:p>
          <w:p>
            <w:pPr>
              <w:pStyle w:val="0"/>
              <w:jc w:val="both"/>
            </w:pPr>
            <w:r>
              <w:rPr>
                <w:sz w:val="20"/>
              </w:rPr>
              <w:t xml:space="preserve">а) возмещением убытков (компенсацией) за сносимые строения, садово-огородные насаждения и прочие объекты, препятствующие осуществлению строительства, в связи с изъятием под строительство земельных участков и расположенных на таких земельных участках объектов недвижимого имущества, компонентов природной среды (производимым за счет средств организации в случае, если решение об изъятии принято на основании ходатайства об изъятии);</w:t>
            </w:r>
          </w:p>
          <w:p>
            <w:pPr>
              <w:pStyle w:val="0"/>
              <w:jc w:val="both"/>
            </w:pPr>
            <w:r>
              <w:rPr>
                <w:sz w:val="20"/>
              </w:rPr>
              <w:t xml:space="preserve">б) валкой леса, корчевкой пней, очисткой от кустарника, уборкой камней, вывозкой промышленных отвалов (отработанные породы, шлак и тому подобное);</w:t>
            </w:r>
          </w:p>
          <w:p>
            <w:pPr>
              <w:pStyle w:val="0"/>
              <w:jc w:val="both"/>
            </w:pPr>
            <w:r>
              <w:rPr>
                <w:sz w:val="20"/>
              </w:rPr>
              <w:t xml:space="preserve">в) переносом и (или) переустройством зданий и сооружений, сетей инженерно-технического обеспечения, путей, дорог и других объектов капитального строительства или строительством новых зданий и сооружений взамен сносимых, в том числе с:</w:t>
            </w:r>
          </w:p>
          <w:p>
            <w:pPr>
              <w:pStyle w:val="0"/>
              <w:jc w:val="both"/>
            </w:pPr>
            <w:r>
              <w:rPr>
                <w:sz w:val="20"/>
              </w:rPr>
              <w:t xml:space="preserve">- контролем собственников (владельцев) переносимых и (или) переустраиваемых и (или) строящихся взамен сносимых объектов капитального строительства;</w:t>
            </w:r>
          </w:p>
          <w:p>
            <w:pPr>
              <w:pStyle w:val="0"/>
              <w:jc w:val="both"/>
            </w:pPr>
            <w:r>
              <w:rPr>
                <w:sz w:val="20"/>
              </w:rPr>
              <w:t xml:space="preserve">- компенсацией расходов собственникам (владельцам) объектов капитального строительства по переносу, переустройству в связи с реконструкцией данных объектов;</w:t>
            </w:r>
          </w:p>
          <w:p>
            <w:pPr>
              <w:pStyle w:val="0"/>
              <w:jc w:val="both"/>
            </w:pPr>
            <w:r>
              <w:rPr>
                <w:sz w:val="20"/>
              </w:rPr>
              <w:t xml:space="preserve">- компенсацией убытков собственников (владельцев) переносимых и (или) переустраиваемых объектов капитального строительства, связанных с обесцениванием в течение срока амортизации таких объектов денежных средств, израсходованных на уплату налога на прибыль в отчетном (налоговом) периоде на сумму полученной в денежной форме компенсации на выполнение работ по переносу, переустройству таких объектов капитального строительства, производимых по проекту реконструкции, признаваемой доходом в соответствии с положениями Налогового </w:t>
            </w:r>
            <w:hyperlink w:history="0" r:id="rId218" w:tooltip="&quot;Налоговый кодекс Российской Федерации (часть первая)&quot; от 31.07.1998 N 146-ФЗ (ред. от 28.06.2022) (с изм. и доп., вступ. в силу с 23.09.2022) {КонсультантПлюс}">
              <w:r>
                <w:rPr>
                  <w:sz w:val="20"/>
                  <w:color w:val="0000ff"/>
                </w:rPr>
                <w:t xml:space="preserve">кодекса</w:t>
              </w:r>
            </w:hyperlink>
            <w:r>
              <w:rPr>
                <w:sz w:val="20"/>
              </w:rPr>
              <w:t xml:space="preserve"> Российской Федерации;</w:t>
            </w:r>
          </w:p>
        </w:tc>
        <w:tc>
          <w:tcPr>
            <w:tcW w:w="3231" w:type="dxa"/>
            <w:tcBorders>
              <w:bottom w:val="nil"/>
            </w:tcBorders>
          </w:tcPr>
          <w:p>
            <w:pPr>
              <w:pStyle w:val="0"/>
              <w:jc w:val="both"/>
            </w:pPr>
            <w:r>
              <w:rPr>
                <w:sz w:val="20"/>
              </w:rPr>
              <w:t xml:space="preserve">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 а также в соответствии с законодательством Российской Федерации, регулирующим оценочную деятельность, расчетами согласно тарифам (ценам, нормативам), утверждаемым в соответствии с законодательством Российской Федерации.</w:t>
            </w:r>
          </w:p>
          <w:p>
            <w:pPr>
              <w:pStyle w:val="0"/>
              <w:jc w:val="both"/>
            </w:pPr>
            <w:r>
              <w:rPr>
                <w:sz w:val="20"/>
              </w:rPr>
              <w:t xml:space="preserve">В случаях, когда законодательством не установлено государственное регулирование - согласно ценам и тарифам специализированных организаций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Borders>
              <w:bottom w:val="nil"/>
            </w:tcBorders>
          </w:tcPr>
          <w:p>
            <w:pPr>
              <w:pStyle w:val="0"/>
              <w:jc w:val="both"/>
            </w:pPr>
            <w:hyperlink w:history="0" w:anchor="P8745" w:tooltip="4">
              <w:r>
                <w:rPr>
                  <w:sz w:val="20"/>
                  <w:color w:val="0000ff"/>
                </w:rPr>
                <w:t xml:space="preserve">Графы 4</w:t>
              </w:r>
            </w:hyperlink>
            <w:r>
              <w:rPr>
                <w:sz w:val="20"/>
              </w:rPr>
              <w:t xml:space="preserve">, </w:t>
            </w:r>
            <w:hyperlink w:history="0" w:anchor="P8746" w:tooltip="5">
              <w:r>
                <w:rPr>
                  <w:sz w:val="20"/>
                  <w:color w:val="0000ff"/>
                </w:rPr>
                <w:t xml:space="preserve">5</w:t>
              </w:r>
            </w:hyperlink>
            <w:r>
              <w:rPr>
                <w:sz w:val="20"/>
              </w:rPr>
              <w:t xml:space="preserve">, </w:t>
            </w:r>
            <w:hyperlink w:history="0" w:anchor="P8747" w:tooltip="6">
              <w:r>
                <w:rPr>
                  <w:sz w:val="20"/>
                  <w:color w:val="0000ff"/>
                </w:rPr>
                <w:t xml:space="preserve">6</w:t>
              </w:r>
            </w:hyperlink>
            <w:r>
              <w:rPr>
                <w:sz w:val="20"/>
              </w:rPr>
              <w:t xml:space="preserve">, </w:t>
            </w:r>
            <w:hyperlink w:history="0" w:anchor="P8748" w:tooltip="7">
              <w:r>
                <w:rPr>
                  <w:sz w:val="20"/>
                  <w:color w:val="0000ff"/>
                </w:rPr>
                <w:t xml:space="preserve">7</w:t>
              </w:r>
            </w:hyperlink>
            <w:r>
              <w:rPr>
                <w:sz w:val="20"/>
              </w:rPr>
              <w:t xml:space="preserve"> и </w:t>
            </w:r>
            <w:hyperlink w:history="0" w:anchor="P8749" w:tooltip="8">
              <w:r>
                <w:rPr>
                  <w:sz w:val="20"/>
                  <w:color w:val="0000ff"/>
                </w:rPr>
                <w:t xml:space="preserve">8</w:t>
              </w:r>
            </w:hyperlink>
          </w:p>
        </w:tc>
      </w:tr>
      <w:tr>
        <w:tblPrEx>
          <w:tblBorders>
            <w:insideH w:val="nil"/>
          </w:tblBorders>
        </w:tblPrEx>
        <w:tc>
          <w:tcPr>
            <w:tcW w:w="737" w:type="dxa"/>
            <w:tcBorders>
              <w:top w:val="nil"/>
            </w:tcBorders>
          </w:tcPr>
          <w:p>
            <w:pPr>
              <w:pStyle w:val="0"/>
            </w:pPr>
            <w:r>
              <w:rPr>
                <w:sz w:val="20"/>
              </w:rPr>
            </w:r>
          </w:p>
        </w:tc>
        <w:tc>
          <w:tcPr>
            <w:tcW w:w="3798" w:type="dxa"/>
            <w:tcBorders>
              <w:top w:val="nil"/>
            </w:tcBorders>
          </w:tcPr>
          <w:p>
            <w:pPr>
              <w:pStyle w:val="0"/>
              <w:jc w:val="both"/>
            </w:pPr>
            <w:r>
              <w:rPr>
                <w:sz w:val="20"/>
              </w:rPr>
              <w:t xml:space="preserve">- возникающие в связи с реконструкцией, капитальным ремонтом существующих линейных объектов, в соответствии с </w:t>
            </w:r>
            <w:hyperlink w:history="0" r:id="rId219" w:tooltip="Распоряжение Правительства РФ от 02.06.2022 N 1420-р &lt;Об утверждении перечня видов затрат, которые возникают в связи с реконструкцией, капитальным ремонтом существующих линейных объектов и которые включаются в сметную стоимость строительства, реконструкции, капитального ремонта объектов капитального строительства&gt; {КонсультантПлюс}">
              <w:r>
                <w:rPr>
                  <w:sz w:val="20"/>
                  <w:color w:val="0000ff"/>
                </w:rPr>
                <w:t xml:space="preserve">перечнем</w:t>
              </w:r>
            </w:hyperlink>
            <w:r>
              <w:rPr>
                <w:sz w:val="20"/>
              </w:rPr>
              <w:t xml:space="preserve">, утвержденным распоряжением Правительства Российской Федерации от 2 июня 2022 г. N 1420-р (Собрание законодательства Российской Федерации, 2022, официальный интернет-портал правовой информации </w:t>
            </w:r>
            <w:r>
              <w:rPr>
                <w:sz w:val="20"/>
              </w:rPr>
              <w:t xml:space="preserve">http://pravo.gov.ru</w:t>
            </w:r>
            <w:r>
              <w:rPr>
                <w:sz w:val="20"/>
              </w:rPr>
              <w:t xml:space="preserve">, 06.06.2022);</w:t>
            </w:r>
          </w:p>
          <w:p>
            <w:pPr>
              <w:pStyle w:val="0"/>
              <w:jc w:val="both"/>
            </w:pPr>
            <w:r>
              <w:rPr>
                <w:sz w:val="20"/>
              </w:rPr>
              <w:t xml:space="preserve">г) переселением жильцов, в том числе на выполнение проектных, изыскательских и кадастровых работ (за исключением учтенных в составе исходных данных для подготовки проектной документации), оценку земельных участков, объектов недвижимого имущества и тому подобное;</w:t>
            </w:r>
          </w:p>
          <w:p>
            <w:pPr>
              <w:pStyle w:val="0"/>
              <w:jc w:val="both"/>
            </w:pPr>
            <w:r>
              <w:rPr>
                <w:sz w:val="20"/>
              </w:rPr>
              <w:t xml:space="preserve">д) компенсацией за посев, вспашку и другие сельскохозяйственные работы;</w:t>
            </w:r>
          </w:p>
          <w:p>
            <w:pPr>
              <w:pStyle w:val="0"/>
              <w:jc w:val="both"/>
            </w:pPr>
            <w:r>
              <w:rPr>
                <w:sz w:val="20"/>
              </w:rPr>
              <w:t xml:space="preserve">е) возмещением потерь сельскохозяйственного производства при отводе земель;</w:t>
            </w:r>
          </w:p>
          <w:p>
            <w:pPr>
              <w:pStyle w:val="0"/>
              <w:jc w:val="both"/>
            </w:pPr>
            <w:r>
              <w:rPr>
                <w:sz w:val="20"/>
              </w:rPr>
              <w:t xml:space="preserve">ж) снятием и хранением плодородного слоя почвы и тому подобное;</w:t>
            </w:r>
          </w:p>
          <w:p>
            <w:pPr>
              <w:pStyle w:val="0"/>
              <w:jc w:val="both"/>
            </w:pPr>
            <w:r>
              <w:rPr>
                <w:sz w:val="20"/>
              </w:rPr>
              <w:t xml:space="preserve">з) упущенной выгодой, компенсируемой в соответствии с законодательством Российской Федерации.</w:t>
            </w:r>
          </w:p>
        </w:tc>
        <w:tc>
          <w:tcPr>
            <w:tcW w:w="3231" w:type="dxa"/>
            <w:tcBorders>
              <w:top w:val="nil"/>
            </w:tcBorders>
          </w:tcPr>
          <w:p>
            <w:pPr>
              <w:pStyle w:val="0"/>
            </w:pPr>
            <w:r>
              <w:rPr>
                <w:sz w:val="20"/>
              </w:rPr>
            </w:r>
          </w:p>
        </w:tc>
        <w:tc>
          <w:tcPr>
            <w:tcW w:w="1304" w:type="dxa"/>
            <w:tcBorders>
              <w:top w:val="nil"/>
            </w:tcBorders>
          </w:tcPr>
          <w:p>
            <w:pPr>
              <w:pStyle w:val="0"/>
            </w:pPr>
            <w:r>
              <w:rPr>
                <w:sz w:val="20"/>
              </w:rPr>
            </w:r>
          </w:p>
        </w:tc>
      </w:tr>
      <w:tr>
        <w:tc>
          <w:tcPr>
            <w:tcW w:w="737" w:type="dxa"/>
          </w:tcPr>
          <w:p>
            <w:pPr>
              <w:pStyle w:val="0"/>
            </w:pPr>
            <w:r>
              <w:rPr>
                <w:sz w:val="20"/>
              </w:rPr>
              <w:t xml:space="preserve">1.2.2</w:t>
            </w:r>
          </w:p>
        </w:tc>
        <w:tc>
          <w:tcPr>
            <w:tcW w:w="3798" w:type="dxa"/>
          </w:tcPr>
          <w:p>
            <w:pPr>
              <w:pStyle w:val="0"/>
              <w:jc w:val="both"/>
            </w:pPr>
            <w:r>
              <w:rPr>
                <w:sz w:val="20"/>
              </w:rPr>
              <w:t xml:space="preserve">Затраты по разминированию территории строительства в пределах строительной площадки или полосы отвода линейного объекта</w:t>
            </w:r>
          </w:p>
        </w:tc>
        <w:tc>
          <w:tcPr>
            <w:tcW w:w="3231" w:type="dxa"/>
          </w:tcPr>
          <w:p>
            <w:pPr>
              <w:pStyle w:val="0"/>
              <w:jc w:val="both"/>
            </w:pPr>
            <w:r>
              <w:rPr>
                <w:sz w:val="20"/>
              </w:rPr>
              <w:t xml:space="preserve">Определяются расчетом с применением сметных нормативов, сведения о которых включены в ФРСН, при отсутствии сметных нормативов -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1.2.3</w:t>
            </w:r>
          </w:p>
        </w:tc>
        <w:tc>
          <w:tcPr>
            <w:tcW w:w="3798" w:type="dxa"/>
          </w:tcPr>
          <w:p>
            <w:pPr>
              <w:pStyle w:val="0"/>
              <w:jc w:val="both"/>
            </w:pPr>
            <w:r>
              <w:rPr>
                <w:sz w:val="20"/>
              </w:rPr>
              <w:t xml:space="preserve">Затраты, связанные с организацией соответствующих мероприятий в случае обнаружения археологического объекта или признаков такого объекта</w:t>
            </w:r>
          </w:p>
        </w:tc>
        <w:tc>
          <w:tcPr>
            <w:tcW w:w="3231" w:type="dxa"/>
          </w:tcPr>
          <w:p>
            <w:pPr>
              <w:pStyle w:val="0"/>
              <w:jc w:val="both"/>
            </w:pPr>
            <w:r>
              <w:rPr>
                <w:sz w:val="20"/>
              </w:rPr>
              <w:t xml:space="preserve">Определяются расчетом с применением сметных нормативов, сведения о которых включены в ФРСН, при отсутствии сметных нормативов -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1.2.4</w:t>
            </w:r>
          </w:p>
        </w:tc>
        <w:tc>
          <w:tcPr>
            <w:tcW w:w="3798" w:type="dxa"/>
          </w:tcPr>
          <w:p>
            <w:pPr>
              <w:pStyle w:val="0"/>
              <w:jc w:val="both"/>
            </w:pPr>
            <w:r>
              <w:rPr>
                <w:sz w:val="20"/>
              </w:rPr>
              <w:t xml:space="preserve">Затраты на проведение на территории строительства природоохранных мероприятий, а также мероприятий по возмещению вреда, наносимого окружающей среде</w:t>
            </w:r>
          </w:p>
        </w:tc>
        <w:tc>
          <w:tcPr>
            <w:tcW w:w="3231" w:type="dxa"/>
          </w:tcPr>
          <w:p>
            <w:pPr>
              <w:pStyle w:val="0"/>
              <w:jc w:val="both"/>
            </w:pPr>
            <w:r>
              <w:rPr>
                <w:sz w:val="20"/>
              </w:rPr>
              <w:t xml:space="preserve">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 а также расчетом согласно ценам, тарифам, утверждаемым в соответствии с законодательством Российской Федерации</w:t>
            </w:r>
          </w:p>
        </w:tc>
        <w:tc>
          <w:tcPr>
            <w:tcW w:w="1304" w:type="dxa"/>
          </w:tcPr>
          <w:p>
            <w:pPr>
              <w:pStyle w:val="0"/>
              <w:jc w:val="both"/>
            </w:pPr>
            <w:hyperlink w:history="0" w:anchor="P8745" w:tooltip="4">
              <w:r>
                <w:rPr>
                  <w:sz w:val="20"/>
                  <w:color w:val="0000ff"/>
                </w:rPr>
                <w:t xml:space="preserve">Графы 4</w:t>
              </w:r>
            </w:hyperlink>
            <w:r>
              <w:rPr>
                <w:sz w:val="20"/>
              </w:rPr>
              <w:t xml:space="preserve">, </w:t>
            </w:r>
            <w:hyperlink w:history="0" w:anchor="P8746" w:tooltip="5">
              <w:r>
                <w:rPr>
                  <w:sz w:val="20"/>
                  <w:color w:val="0000ff"/>
                </w:rPr>
                <w:t xml:space="preserve">5</w:t>
              </w:r>
            </w:hyperlink>
            <w:r>
              <w:rPr>
                <w:sz w:val="20"/>
              </w:rPr>
              <w:t xml:space="preserve">, </w:t>
            </w:r>
            <w:hyperlink w:history="0" w:anchor="P8747" w:tooltip="6">
              <w:r>
                <w:rPr>
                  <w:sz w:val="20"/>
                  <w:color w:val="0000ff"/>
                </w:rPr>
                <w:t xml:space="preserve">6</w:t>
              </w:r>
            </w:hyperlink>
            <w:r>
              <w:rPr>
                <w:sz w:val="20"/>
              </w:rPr>
              <w:t xml:space="preserve">, </w:t>
            </w:r>
            <w:hyperlink w:history="0" w:anchor="P8748" w:tooltip="7">
              <w:r>
                <w:rPr>
                  <w:sz w:val="20"/>
                  <w:color w:val="0000ff"/>
                </w:rPr>
                <w:t xml:space="preserve">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1.2.5</w:t>
            </w:r>
          </w:p>
        </w:tc>
        <w:tc>
          <w:tcPr>
            <w:tcW w:w="3798" w:type="dxa"/>
          </w:tcPr>
          <w:p>
            <w:pPr>
              <w:pStyle w:val="0"/>
              <w:jc w:val="both"/>
            </w:pPr>
            <w:r>
              <w:rPr>
                <w:sz w:val="20"/>
              </w:rPr>
              <w:t xml:space="preserve">Затраты по инженерной защите территории строительства от различных геологических и гидрогеологических процессов (сели, оползни, обвалы, подтопление и подобные гидрогеологические процессы)</w:t>
            </w:r>
          </w:p>
        </w:tc>
        <w:tc>
          <w:tcPr>
            <w:tcW w:w="3231" w:type="dxa"/>
          </w:tcPr>
          <w:p>
            <w:pPr>
              <w:pStyle w:val="0"/>
              <w:jc w:val="both"/>
            </w:pPr>
            <w:r>
              <w:rPr>
                <w:sz w:val="20"/>
              </w:rPr>
              <w:t xml:space="preserve">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 на основании ПОС, разработанного в составе проектной документации</w:t>
            </w:r>
          </w:p>
        </w:tc>
        <w:tc>
          <w:tcPr>
            <w:tcW w:w="1304" w:type="dxa"/>
          </w:tcPr>
          <w:p>
            <w:pPr>
              <w:pStyle w:val="0"/>
              <w:jc w:val="both"/>
            </w:pPr>
            <w:hyperlink w:history="0" w:anchor="P8745" w:tooltip="4">
              <w:r>
                <w:rPr>
                  <w:sz w:val="20"/>
                  <w:color w:val="0000ff"/>
                </w:rPr>
                <w:t xml:space="preserve">Графы 4</w:t>
              </w:r>
            </w:hyperlink>
            <w:r>
              <w:rPr>
                <w:sz w:val="20"/>
              </w:rPr>
              <w:t xml:space="preserve">, </w:t>
            </w:r>
            <w:hyperlink w:history="0" w:anchor="P8746" w:tooltip="5">
              <w:r>
                <w:rPr>
                  <w:sz w:val="20"/>
                  <w:color w:val="0000ff"/>
                </w:rPr>
                <w:t xml:space="preserve">5</w:t>
              </w:r>
            </w:hyperlink>
            <w:r>
              <w:rPr>
                <w:sz w:val="20"/>
              </w:rPr>
              <w:t xml:space="preserve">, </w:t>
            </w:r>
            <w:hyperlink w:history="0" w:anchor="P8747" w:tooltip="6">
              <w:r>
                <w:rPr>
                  <w:sz w:val="20"/>
                  <w:color w:val="0000ff"/>
                </w:rPr>
                <w:t xml:space="preserve">6</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1.2.6</w:t>
            </w:r>
          </w:p>
        </w:tc>
        <w:tc>
          <w:tcPr>
            <w:tcW w:w="3798" w:type="dxa"/>
          </w:tcPr>
          <w:p>
            <w:pPr>
              <w:pStyle w:val="0"/>
              <w:jc w:val="both"/>
            </w:pPr>
            <w:r>
              <w:rPr>
                <w:sz w:val="20"/>
              </w:rPr>
              <w:t xml:space="preserve">Затраты, связанные с изменением схемы движения транспорта и пешеходов, в том числе организацию движения</w:t>
            </w:r>
          </w:p>
        </w:tc>
        <w:tc>
          <w:tcPr>
            <w:tcW w:w="3231" w:type="dxa"/>
          </w:tcPr>
          <w:p>
            <w:pPr>
              <w:pStyle w:val="0"/>
              <w:jc w:val="both"/>
            </w:pPr>
            <w:r>
              <w:rPr>
                <w:sz w:val="20"/>
              </w:rPr>
              <w:t xml:space="preserve">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 на основании проекта организации дорожного движения в составе проектной документации</w:t>
            </w:r>
          </w:p>
        </w:tc>
        <w:tc>
          <w:tcPr>
            <w:tcW w:w="1304" w:type="dxa"/>
          </w:tcPr>
          <w:p>
            <w:pPr>
              <w:pStyle w:val="0"/>
              <w:jc w:val="both"/>
            </w:pPr>
            <w:hyperlink w:history="0" w:anchor="P8745" w:tooltip="4">
              <w:r>
                <w:rPr>
                  <w:sz w:val="20"/>
                  <w:color w:val="0000ff"/>
                </w:rPr>
                <w:t xml:space="preserve">Графы 4</w:t>
              </w:r>
            </w:hyperlink>
            <w:r>
              <w:rPr>
                <w:sz w:val="20"/>
              </w:rPr>
              <w:t xml:space="preserve">, </w:t>
            </w:r>
            <w:hyperlink w:history="0" w:anchor="P8746" w:tooltip="5">
              <w:r>
                <w:rPr>
                  <w:sz w:val="20"/>
                  <w:color w:val="0000ff"/>
                </w:rPr>
                <w:t xml:space="preserve">5</w:t>
              </w:r>
            </w:hyperlink>
            <w:r>
              <w:rPr>
                <w:sz w:val="20"/>
              </w:rPr>
              <w:t xml:space="preserve">, </w:t>
            </w:r>
            <w:hyperlink w:history="0" w:anchor="P8747" w:tooltip="6">
              <w:r>
                <w:rPr>
                  <w:sz w:val="20"/>
                  <w:color w:val="0000ff"/>
                </w:rPr>
                <w:t xml:space="preserve">6</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1.2.7</w:t>
            </w:r>
          </w:p>
        </w:tc>
        <w:tc>
          <w:tcPr>
            <w:tcW w:w="3798" w:type="dxa"/>
          </w:tcPr>
          <w:p>
            <w:pPr>
              <w:pStyle w:val="0"/>
              <w:jc w:val="both"/>
            </w:pPr>
            <w:r>
              <w:rPr>
                <w:sz w:val="20"/>
              </w:rPr>
              <w:t xml:space="preserve">Приведение земельных участков, предоставленных во временное пользование на период строительства, в состояние, пригодное для использования в сельском, лесном, рыбном хозяйстве, или для других целей в соответствии с проектом восстановления (рекультивации) нарушенных земель, а также работы по лесовосстановлению</w:t>
            </w:r>
          </w:p>
        </w:tc>
        <w:tc>
          <w:tcPr>
            <w:tcW w:w="3231" w:type="dxa"/>
          </w:tcPr>
          <w:p>
            <w:pPr>
              <w:pStyle w:val="0"/>
              <w:jc w:val="both"/>
            </w:pPr>
            <w:r>
              <w:rPr>
                <w:sz w:val="20"/>
              </w:rPr>
              <w:t xml:space="preserve">Определяются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w:t>
            </w:r>
          </w:p>
        </w:tc>
        <w:tc>
          <w:tcPr>
            <w:tcW w:w="1304" w:type="dxa"/>
          </w:tcPr>
          <w:p>
            <w:pPr>
              <w:pStyle w:val="0"/>
              <w:jc w:val="both"/>
            </w:pPr>
            <w:hyperlink w:history="0" w:anchor="P8745" w:tooltip="4">
              <w:r>
                <w:rPr>
                  <w:sz w:val="20"/>
                  <w:color w:val="0000ff"/>
                </w:rPr>
                <w:t xml:space="preserve">Графы 4</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1.2.8</w:t>
            </w:r>
          </w:p>
        </w:tc>
        <w:tc>
          <w:tcPr>
            <w:tcW w:w="3798" w:type="dxa"/>
          </w:tcPr>
          <w:p>
            <w:pPr>
              <w:pStyle w:val="0"/>
              <w:jc w:val="both"/>
            </w:pPr>
            <w:r>
              <w:rPr>
                <w:sz w:val="20"/>
              </w:rPr>
              <w:t xml:space="preserve">Затраты на подготовку и экспертизу проекта освоения лесов, проекта лесовосстановления, проекта лесоразведения, проекта рекультивации земель</w:t>
            </w:r>
          </w:p>
        </w:tc>
        <w:tc>
          <w:tcPr>
            <w:tcW w:w="3231" w:type="dxa"/>
          </w:tcPr>
          <w:p>
            <w:pPr>
              <w:pStyle w:val="0"/>
              <w:jc w:val="both"/>
            </w:pPr>
            <w:r>
              <w:rPr>
                <w:sz w:val="20"/>
              </w:rPr>
              <w:t xml:space="preserve">Определяются расчетом в соответствии с законодательством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outlineLvl w:val="2"/>
            </w:pPr>
            <w:r>
              <w:rPr>
                <w:sz w:val="20"/>
              </w:rPr>
              <w:t xml:space="preserve">2</w:t>
            </w:r>
          </w:p>
        </w:tc>
        <w:tc>
          <w:tcPr>
            <w:tcW w:w="3798" w:type="dxa"/>
          </w:tcPr>
          <w:p>
            <w:pPr>
              <w:pStyle w:val="0"/>
              <w:jc w:val="both"/>
            </w:pPr>
            <w:r>
              <w:rPr>
                <w:sz w:val="20"/>
              </w:rPr>
              <w:t xml:space="preserve">Глава 9</w:t>
            </w:r>
          </w:p>
        </w:tc>
        <w:tc>
          <w:tcPr>
            <w:tcW w:w="3231" w:type="dxa"/>
          </w:tcPr>
          <w:p>
            <w:pPr>
              <w:pStyle w:val="0"/>
            </w:pPr>
            <w:r>
              <w:rPr>
                <w:sz w:val="20"/>
              </w:rPr>
            </w:r>
          </w:p>
        </w:tc>
        <w:tc>
          <w:tcPr>
            <w:tcW w:w="1304" w:type="dxa"/>
          </w:tcPr>
          <w:p>
            <w:pPr>
              <w:pStyle w:val="0"/>
            </w:pPr>
            <w:r>
              <w:rPr>
                <w:sz w:val="20"/>
              </w:rPr>
            </w:r>
          </w:p>
        </w:tc>
      </w:tr>
      <w:tr>
        <w:tc>
          <w:tcPr>
            <w:tcW w:w="737" w:type="dxa"/>
          </w:tcPr>
          <w:p>
            <w:pPr>
              <w:pStyle w:val="0"/>
            </w:pPr>
            <w:r>
              <w:rPr>
                <w:sz w:val="20"/>
              </w:rPr>
              <w:t xml:space="preserve">2.1</w:t>
            </w:r>
          </w:p>
        </w:tc>
        <w:tc>
          <w:tcPr>
            <w:tcW w:w="3798" w:type="dxa"/>
          </w:tcPr>
          <w:p>
            <w:pPr>
              <w:pStyle w:val="0"/>
              <w:jc w:val="both"/>
            </w:pPr>
            <w:r>
              <w:rPr>
                <w:sz w:val="20"/>
              </w:rPr>
              <w:t xml:space="preserve">Дополнительные затраты при производстве работ в зимнее время</w:t>
            </w:r>
          </w:p>
        </w:tc>
        <w:tc>
          <w:tcPr>
            <w:tcW w:w="3231" w:type="dxa"/>
          </w:tcPr>
          <w:p>
            <w:pPr>
              <w:pStyle w:val="0"/>
              <w:jc w:val="both"/>
            </w:pPr>
            <w:r>
              <w:rPr>
                <w:sz w:val="20"/>
              </w:rPr>
              <w:t xml:space="preserve">Определяются расчетом с применением сметных нормативов, сведения о которых включены в ФРСН. Учитываются отдельными строками для соответствующих объектов капитального строительства</w:t>
            </w:r>
          </w:p>
        </w:tc>
        <w:tc>
          <w:tcPr>
            <w:tcW w:w="1304" w:type="dxa"/>
          </w:tcPr>
          <w:p>
            <w:pPr>
              <w:pStyle w:val="0"/>
              <w:jc w:val="both"/>
            </w:pPr>
            <w:hyperlink w:history="0" w:anchor="P8745" w:tooltip="4">
              <w:r>
                <w:rPr>
                  <w:sz w:val="20"/>
                  <w:color w:val="0000ff"/>
                </w:rPr>
                <w:t xml:space="preserve">Графы 4</w:t>
              </w:r>
            </w:hyperlink>
            <w:r>
              <w:rPr>
                <w:sz w:val="20"/>
              </w:rPr>
              <w:t xml:space="preserve">, </w:t>
            </w:r>
            <w:hyperlink w:history="0" w:anchor="P8746" w:tooltip="5">
              <w:r>
                <w:rPr>
                  <w:sz w:val="20"/>
                  <w:color w:val="0000ff"/>
                </w:rPr>
                <w:t xml:space="preserve">5</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2.2</w:t>
            </w:r>
          </w:p>
        </w:tc>
        <w:tc>
          <w:tcPr>
            <w:tcW w:w="3798" w:type="dxa"/>
          </w:tcPr>
          <w:p>
            <w:pPr>
              <w:pStyle w:val="0"/>
              <w:jc w:val="both"/>
            </w:pPr>
            <w:r>
              <w:rPr>
                <w:sz w:val="20"/>
              </w:rPr>
              <w:t xml:space="preserve">Затраты по перевозке работников к месту работы и обратно автомобильным транспортом (собственным или арендованным), если общественный транспорт не обеспечивает их перевозку и отсутствует возможность организовать перевозку с использованием специальных маршрутов городского пассажирского транспорта.</w:t>
            </w:r>
          </w:p>
          <w:p>
            <w:pPr>
              <w:pStyle w:val="0"/>
              <w:jc w:val="both"/>
            </w:pPr>
            <w:r>
              <w:rPr>
                <w:sz w:val="20"/>
              </w:rPr>
              <w:t xml:space="preserve">Дополнительные затраты, связанные с привлечением на договорной основе с местными органами исполнительной власти средств строительной организации для покрытия расходов по перевозке работников маршрутами наземного городского пассажирского транспорта общего пользования (кроме такси), сверх сумм, определенных исходя из действующих тарифов на соответствующие виды транспорта</w:t>
            </w:r>
          </w:p>
        </w:tc>
        <w:tc>
          <w:tcPr>
            <w:tcW w:w="3231" w:type="dxa"/>
          </w:tcPr>
          <w:p>
            <w:pPr>
              <w:pStyle w:val="0"/>
              <w:jc w:val="both"/>
            </w:pPr>
            <w:r>
              <w:rPr>
                <w:sz w:val="20"/>
              </w:rPr>
              <w:t xml:space="preserve">Определяются расчетом на основании проектной и (или) иной технической документации, а также согласно тарифам (ценам, нормативам), утверждаемым в соответствии законодательством Российской Федерации.</w:t>
            </w:r>
          </w:p>
          <w:p>
            <w:pPr>
              <w:pStyle w:val="0"/>
              <w:jc w:val="both"/>
            </w:pPr>
            <w:r>
              <w:rPr>
                <w:sz w:val="20"/>
              </w:rPr>
              <w:t xml:space="preserve">В случаях, когда законодательством Российской Федерации не установлено государственное регулирование - согласно ценам и тарифам специализированных организаций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2.3</w:t>
            </w:r>
          </w:p>
        </w:tc>
        <w:tc>
          <w:tcPr>
            <w:tcW w:w="3798" w:type="dxa"/>
          </w:tcPr>
          <w:p>
            <w:pPr>
              <w:pStyle w:val="0"/>
              <w:jc w:val="both"/>
            </w:pPr>
            <w:r>
              <w:rPr>
                <w:sz w:val="20"/>
              </w:rPr>
              <w:t xml:space="preserve">Затраты, связанные с осуществлением работ вахтовым методом (содержание, эксплуатация вахтового поселка, доставка вахтовых работников и выплаты, связанные с вахтовым методом производства работ, а также затраты на передислокацию машин и механизмов при вахтовом методе производства работ)</w:t>
            </w:r>
          </w:p>
        </w:tc>
        <w:tc>
          <w:tcPr>
            <w:tcW w:w="3231" w:type="dxa"/>
          </w:tcPr>
          <w:p>
            <w:pPr>
              <w:pStyle w:val="0"/>
              <w:jc w:val="both"/>
            </w:pPr>
            <w:r>
              <w:rPr>
                <w:sz w:val="20"/>
              </w:rPr>
              <w:t xml:space="preserve">Определяются расчетом в соответствии со сметными нормативами, сведения о которых включены в ФРСН, на основании данных ПОС</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2.4</w:t>
            </w:r>
          </w:p>
        </w:tc>
        <w:tc>
          <w:tcPr>
            <w:tcW w:w="3798" w:type="dxa"/>
          </w:tcPr>
          <w:p>
            <w:pPr>
              <w:pStyle w:val="0"/>
              <w:jc w:val="both"/>
            </w:pPr>
            <w:r>
              <w:rPr>
                <w:sz w:val="20"/>
              </w:rPr>
              <w:t xml:space="preserve">Расходы на командировки рабочих и пусконаладочного персонала, привлекаемых для выполнения строительства, от места, определенного в проектной документации, до территории строительства и обратно</w:t>
            </w:r>
          </w:p>
        </w:tc>
        <w:tc>
          <w:tcPr>
            <w:tcW w:w="3231" w:type="dxa"/>
          </w:tcPr>
          <w:p>
            <w:pPr>
              <w:pStyle w:val="0"/>
              <w:jc w:val="both"/>
            </w:pPr>
            <w:r>
              <w:rPr>
                <w:sz w:val="20"/>
              </w:rPr>
              <w:t xml:space="preserve">Определяются расчетом на основании данных проектной документации в соответствии со </w:t>
            </w:r>
            <w:hyperlink w:history="0" r:id="rId220" w:tooltip="&quot;Трудовой кодекс Российской Федерации&quot; от 30.12.2001 N 197-ФЗ (ред. от 14.07.2022) (с изм. и доп., вступ. в силу с 25.07.2022) {КонсультантПлюс}">
              <w:r>
                <w:rPr>
                  <w:sz w:val="20"/>
                  <w:color w:val="0000ff"/>
                </w:rPr>
                <w:t xml:space="preserve">статьей 168</w:t>
              </w:r>
            </w:hyperlink>
            <w:r>
              <w:rPr>
                <w:sz w:val="20"/>
              </w:rPr>
              <w:t xml:space="preserve"> Трудового кодекса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2.5</w:t>
            </w:r>
          </w:p>
        </w:tc>
        <w:tc>
          <w:tcPr>
            <w:tcW w:w="3798" w:type="dxa"/>
          </w:tcPr>
          <w:p>
            <w:pPr>
              <w:pStyle w:val="0"/>
              <w:jc w:val="both"/>
            </w:pPr>
            <w:r>
              <w:rPr>
                <w:sz w:val="20"/>
              </w:rPr>
              <w:t xml:space="preserve">Затраты по содержанию спасательных служб при осуществлении строительства</w:t>
            </w:r>
          </w:p>
        </w:tc>
        <w:tc>
          <w:tcPr>
            <w:tcW w:w="3231" w:type="dxa"/>
          </w:tcPr>
          <w:p>
            <w:pPr>
              <w:pStyle w:val="0"/>
              <w:jc w:val="both"/>
            </w:pPr>
            <w:r>
              <w:rPr>
                <w:sz w:val="20"/>
              </w:rPr>
              <w:t xml:space="preserve">Определяются расчетом на основании данных проектной и (или) иной технической документации в соответствии с законодательством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2.6</w:t>
            </w:r>
          </w:p>
        </w:tc>
        <w:tc>
          <w:tcPr>
            <w:tcW w:w="3798" w:type="dxa"/>
          </w:tcPr>
          <w:p>
            <w:pPr>
              <w:pStyle w:val="0"/>
              <w:jc w:val="both"/>
            </w:pPr>
            <w:r>
              <w:rPr>
                <w:sz w:val="20"/>
              </w:rPr>
              <w:t xml:space="preserve">Затраты, связанные с проведением на территории строительства специальных мероприятий по обеспечению нормальных условий труда, соответствующих требованиям охраны труда и безопасности производства (борьба с радиоактивностью, силикозом, малярией, энцефалитным клещом, гнусом, мероприятия по предотвращению распространения вирусных инфекций и другие мероприятия)</w:t>
            </w:r>
          </w:p>
        </w:tc>
        <w:tc>
          <w:tcPr>
            <w:tcW w:w="3231" w:type="dxa"/>
          </w:tcPr>
          <w:p>
            <w:pPr>
              <w:pStyle w:val="0"/>
              <w:jc w:val="both"/>
            </w:pPr>
            <w:r>
              <w:rPr>
                <w:sz w:val="20"/>
              </w:rPr>
              <w:t xml:space="preserve">Определяются расчетом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на основании данных проектной и (или) иной технической документации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2.7</w:t>
            </w:r>
          </w:p>
        </w:tc>
        <w:tc>
          <w:tcPr>
            <w:tcW w:w="3798" w:type="dxa"/>
          </w:tcPr>
          <w:p>
            <w:pPr>
              <w:pStyle w:val="0"/>
              <w:jc w:val="both"/>
            </w:pPr>
            <w:r>
              <w:rPr>
                <w:sz w:val="20"/>
              </w:rPr>
              <w:t xml:space="preserve">Затраты на проведение пусконаладочных работ</w:t>
            </w:r>
          </w:p>
        </w:tc>
        <w:tc>
          <w:tcPr>
            <w:tcW w:w="3231" w:type="dxa"/>
          </w:tcPr>
          <w:p>
            <w:pPr>
              <w:pStyle w:val="0"/>
              <w:jc w:val="both"/>
            </w:pPr>
            <w:r>
              <w:rPr>
                <w:sz w:val="20"/>
              </w:rPr>
              <w:t xml:space="preserve">Определяются отдельными локальными сметными расчетами (сметами), разработанными в соответствии с положениями Методики, с применением сметных нормативов, сведения о которых включены в ФРСН</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2.8</w:t>
            </w:r>
          </w:p>
        </w:tc>
        <w:tc>
          <w:tcPr>
            <w:tcW w:w="3798" w:type="dxa"/>
          </w:tcPr>
          <w:p>
            <w:pPr>
              <w:pStyle w:val="0"/>
              <w:jc w:val="both"/>
            </w:pPr>
            <w:r>
              <w:rPr>
                <w:sz w:val="20"/>
              </w:rPr>
              <w:t xml:space="preserve">Затраты на содержание автомобильных дорог и восстановление их по окончании строительства</w:t>
            </w:r>
          </w:p>
        </w:tc>
        <w:tc>
          <w:tcPr>
            <w:tcW w:w="3231" w:type="dxa"/>
          </w:tcPr>
          <w:p>
            <w:pPr>
              <w:pStyle w:val="0"/>
              <w:jc w:val="both"/>
            </w:pPr>
            <w:r>
              <w:rPr>
                <w:sz w:val="20"/>
              </w:rPr>
              <w:t xml:space="preserve">Определяются локальными сметными расчетами (сметами), разработанными на основании проектной и (или) иной технической документации (ПОС), в соответствии с положениями Методики, с применением сметных нормативов, сведения о которых включены в ФРСН</w:t>
            </w:r>
          </w:p>
          <w:p>
            <w:pPr>
              <w:pStyle w:val="0"/>
              <w:jc w:val="both"/>
            </w:pPr>
            <w:r>
              <w:rPr>
                <w:sz w:val="20"/>
              </w:rPr>
              <w:t xml:space="preserve">Затраты на содержание автомобильных дорог в период строительства, не относящиеся к их строительству и (или) ремонту, в случае отсутствия в сметно-нормативной базе соответствующих сметных нормативов могут определяться расчетом по ценам и тарифам специализированных организаций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либо с использованием иных документов, содержащих соответствующие нормативы (расценки), утвержденных органами исполнительной власти субъектов Российской Федерации, Минтрансом России или Федеральным дорожным агентством</w:t>
            </w:r>
          </w:p>
        </w:tc>
        <w:tc>
          <w:tcPr>
            <w:tcW w:w="1304" w:type="dxa"/>
          </w:tcPr>
          <w:p>
            <w:pPr>
              <w:pStyle w:val="0"/>
              <w:jc w:val="both"/>
            </w:pPr>
            <w:hyperlink w:history="0" w:anchor="P8745" w:tooltip="4">
              <w:r>
                <w:rPr>
                  <w:sz w:val="20"/>
                  <w:color w:val="0000ff"/>
                </w:rPr>
                <w:t xml:space="preserve">Графы 4</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2.9</w:t>
            </w:r>
          </w:p>
        </w:tc>
        <w:tc>
          <w:tcPr>
            <w:tcW w:w="3798" w:type="dxa"/>
          </w:tcPr>
          <w:p>
            <w:pPr>
              <w:pStyle w:val="0"/>
              <w:jc w:val="both"/>
            </w:pPr>
            <w:r>
              <w:rPr>
                <w:sz w:val="20"/>
              </w:rPr>
              <w:t xml:space="preserve">Затраты по подключению (технологическому присоединению) к сетям инженерно-технического обеспечения, в том числе к информационно-телекоммуникационной сети "Интернет", а также контроль собственников (владельцев) указанных сетей инженерно-технического обеспечения</w:t>
            </w:r>
          </w:p>
        </w:tc>
        <w:tc>
          <w:tcPr>
            <w:tcW w:w="3231" w:type="dxa"/>
          </w:tcPr>
          <w:p>
            <w:pPr>
              <w:pStyle w:val="0"/>
              <w:jc w:val="both"/>
            </w:pPr>
            <w:r>
              <w:rPr>
                <w:sz w:val="20"/>
              </w:rPr>
              <w:t xml:space="preserve">Определяются на основании расчетов по данным проектной и (или) иной технической документации на основании цен и тарифов, установленных в соответствии с законодательством Российской Федерации. В случаях, когда законодательством не установлено государственное регулирование - согласно ценам и тарифам специализированных организаций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2.10</w:t>
            </w:r>
          </w:p>
        </w:tc>
        <w:tc>
          <w:tcPr>
            <w:tcW w:w="3798" w:type="dxa"/>
          </w:tcPr>
          <w:p>
            <w:pPr>
              <w:pStyle w:val="0"/>
              <w:jc w:val="both"/>
            </w:pPr>
            <w:r>
              <w:rPr>
                <w:sz w:val="20"/>
              </w:rPr>
              <w:t xml:space="preserve">Затраты по размещению, утилизации и (или) обезвреживанию отходов строительного производства (строительного мусора, грунта и прочих отходов, в том числе загрязненных опасными веществами)</w:t>
            </w:r>
          </w:p>
        </w:tc>
        <w:tc>
          <w:tcPr>
            <w:tcW w:w="3231" w:type="dxa"/>
          </w:tcPr>
          <w:p>
            <w:pPr>
              <w:pStyle w:val="0"/>
              <w:jc w:val="both"/>
            </w:pPr>
            <w:r>
              <w:rPr>
                <w:sz w:val="20"/>
              </w:rPr>
              <w:t xml:space="preserve">Определяются на основании данных проектной и (или) иной технической документации по ценам, тарифам, установленным в соответствии с законодательством Российской Федерации в области обращения с отходами.</w:t>
            </w:r>
          </w:p>
          <w:p>
            <w:pPr>
              <w:pStyle w:val="0"/>
              <w:jc w:val="both"/>
            </w:pPr>
            <w:r>
              <w:rPr>
                <w:sz w:val="20"/>
              </w:rPr>
              <w:t xml:space="preserve">В случаях, когда законодательством не установлено государственное регулирование - согласно ценам и тарифам специализированных организаций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2.11</w:t>
            </w:r>
          </w:p>
        </w:tc>
        <w:tc>
          <w:tcPr>
            <w:tcW w:w="3798" w:type="dxa"/>
          </w:tcPr>
          <w:p>
            <w:pPr>
              <w:pStyle w:val="0"/>
              <w:jc w:val="both"/>
            </w:pPr>
            <w:r>
              <w:rPr>
                <w:sz w:val="20"/>
              </w:rPr>
              <w:t xml:space="preserve">Плата за негативное воздействие на окружающую среду (затраты, связанные с содержанием и эксплуатацией основных средств природоохранного назначения)</w:t>
            </w:r>
          </w:p>
        </w:tc>
        <w:tc>
          <w:tcPr>
            <w:tcW w:w="3231" w:type="dxa"/>
          </w:tcPr>
          <w:p>
            <w:pPr>
              <w:pStyle w:val="0"/>
              <w:jc w:val="both"/>
            </w:pPr>
            <w:r>
              <w:rPr>
                <w:sz w:val="20"/>
              </w:rPr>
              <w:t xml:space="preserve">Определяются расчетом на основании данных проектной и (или) иной технической документации в соответствии с законодательством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2.12</w:t>
            </w:r>
          </w:p>
        </w:tc>
        <w:tc>
          <w:tcPr>
            <w:tcW w:w="3798" w:type="dxa"/>
          </w:tcPr>
          <w:p>
            <w:pPr>
              <w:pStyle w:val="0"/>
              <w:jc w:val="both"/>
            </w:pPr>
            <w:r>
              <w:rPr>
                <w:sz w:val="20"/>
              </w:rPr>
              <w:t xml:space="preserve">Компенсация расходов предприятиям железнодорожного, речного, автомобильного транспорта и другим организациям, связанных с предоставлением "окон", в том числе за осуществление контроля собственников (владельцев) указанных предприятий (организаций)</w:t>
            </w:r>
          </w:p>
        </w:tc>
        <w:tc>
          <w:tcPr>
            <w:tcW w:w="3231" w:type="dxa"/>
          </w:tcPr>
          <w:p>
            <w:pPr>
              <w:pStyle w:val="0"/>
              <w:jc w:val="both"/>
            </w:pPr>
            <w:r>
              <w:rPr>
                <w:sz w:val="20"/>
              </w:rPr>
              <w:t xml:space="preserve">Определяются расчетом на основании проектной и (или) иной технической документации по тарифам (ценам, нормативам), утверждаемым в соответствии с законодательством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2.13</w:t>
            </w:r>
          </w:p>
        </w:tc>
        <w:tc>
          <w:tcPr>
            <w:tcW w:w="3798" w:type="dxa"/>
          </w:tcPr>
          <w:p>
            <w:pPr>
              <w:pStyle w:val="0"/>
              <w:jc w:val="both"/>
            </w:pPr>
            <w:r>
              <w:rPr>
                <w:sz w:val="20"/>
              </w:rPr>
              <w:t xml:space="preserve">Затраты, связанные с транспортировкой опасных, тяжеловесных и (или) крупногабаритных грузов, в том числе оплата услуг ГИБДД по сопровождению перевозки опасных грузов, движения тяжеловесных и (или) крупногабаритных транспортных средств, выдача разрешений, пропусков, а также плата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c>
          <w:tcPr>
            <w:tcW w:w="3231" w:type="dxa"/>
          </w:tcPr>
          <w:p>
            <w:pPr>
              <w:pStyle w:val="0"/>
              <w:jc w:val="both"/>
            </w:pPr>
            <w:r>
              <w:rPr>
                <w:sz w:val="20"/>
              </w:rPr>
              <w:t xml:space="preserve">Определяются расчетом на основании данных проектной и (или) иной технической документации по ценам, тарифам в соответствии законодательством Российской Федерации.</w:t>
            </w:r>
          </w:p>
          <w:p>
            <w:pPr>
              <w:pStyle w:val="0"/>
              <w:jc w:val="both"/>
            </w:pPr>
            <w:r>
              <w:rPr>
                <w:sz w:val="20"/>
              </w:rPr>
              <w:t xml:space="preserve">Расчет выполняется с учетом протяженности участков маршрутов доставки грузов в составе транспортных схем, указанных в ПОС, за вычетом расстояний по автомобильным дорогам, не относящимся к дорогам общего пользования федерального значения (например, временные автомобильные дороги), объема грузов, перевозимых по автомобильным дорогам общего пользования федерального значения для объекта строительства с дифференциацией по классам грузов и типам автотранспортных средств (с указанием их грузоподъемности), определяемого на основании сметных норм, сведения о которых включены в ФРСН, перечня и объемов работ, принятых на основании проектной и (или) иной технической документации (при отсутствии в сметных нормах данных о расходе строительных ресурсов, их количество принимается по проектным данным с учетом положений настоящей Методики) и масс брутто перевозимых грузов, расчетного количества рейсов автотранспортных средств с учетом их грузоподъемности и классов перевозимых грузов</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2.14</w:t>
            </w:r>
          </w:p>
        </w:tc>
        <w:tc>
          <w:tcPr>
            <w:tcW w:w="3798" w:type="dxa"/>
          </w:tcPr>
          <w:p>
            <w:pPr>
              <w:pStyle w:val="0"/>
              <w:jc w:val="both"/>
            </w:pPr>
            <w:r>
              <w:rPr>
                <w:sz w:val="20"/>
              </w:rPr>
              <w:t xml:space="preserve">Затраты, связанные с арендой и содержанием плавучих средств</w:t>
            </w:r>
          </w:p>
        </w:tc>
        <w:tc>
          <w:tcPr>
            <w:tcW w:w="3231" w:type="dxa"/>
          </w:tcPr>
          <w:p>
            <w:pPr>
              <w:pStyle w:val="0"/>
              <w:jc w:val="both"/>
            </w:pPr>
            <w:r>
              <w:rPr>
                <w:sz w:val="20"/>
              </w:rPr>
              <w:t xml:space="preserve">Определяются расчетом на основании данных проектной и (или) иной технической документации, с применением сметных нормативов, сведения о которых включены в ФРСН, в том числе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5" w:tooltip="4">
              <w:r>
                <w:rPr>
                  <w:sz w:val="20"/>
                  <w:color w:val="0000ff"/>
                </w:rPr>
                <w:t xml:space="preserve">Графы 4</w:t>
              </w:r>
            </w:hyperlink>
            <w:r>
              <w:rPr>
                <w:sz w:val="20"/>
              </w:rPr>
              <w:t xml:space="preserve">, </w:t>
            </w:r>
            <w:hyperlink w:history="0" w:anchor="P8746" w:tooltip="5">
              <w:r>
                <w:rPr>
                  <w:sz w:val="20"/>
                  <w:color w:val="0000ff"/>
                </w:rPr>
                <w:t xml:space="preserve">5</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2.15</w:t>
            </w:r>
          </w:p>
        </w:tc>
        <w:tc>
          <w:tcPr>
            <w:tcW w:w="3798" w:type="dxa"/>
          </w:tcPr>
          <w:p>
            <w:pPr>
              <w:pStyle w:val="0"/>
              <w:jc w:val="both"/>
            </w:pPr>
            <w:r>
              <w:rPr>
                <w:sz w:val="20"/>
              </w:rPr>
              <w:t xml:space="preserve">Затраты, связанные с перебазированием подрядных организаций и их подразделений на объект капитального строительства и обратно, когда подрядная организация определена в качестве единственного поставщика (исполнителя) в соответствии с законодательством Российской Федерации</w:t>
            </w:r>
          </w:p>
        </w:tc>
        <w:tc>
          <w:tcPr>
            <w:tcW w:w="3231" w:type="dxa"/>
          </w:tcPr>
          <w:p>
            <w:pPr>
              <w:pStyle w:val="0"/>
              <w:jc w:val="both"/>
            </w:pPr>
            <w:r>
              <w:rPr>
                <w:sz w:val="20"/>
              </w:rPr>
              <w:t xml:space="preserve">Определяются расчетом на основании данных проектной документации выполненным в соответствии со сметными нормативами, сведения о которых включены в ФРСН.</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2.16</w:t>
            </w:r>
          </w:p>
        </w:tc>
        <w:tc>
          <w:tcPr>
            <w:tcW w:w="3798" w:type="dxa"/>
          </w:tcPr>
          <w:p>
            <w:pPr>
              <w:pStyle w:val="0"/>
              <w:jc w:val="both"/>
            </w:pPr>
            <w:r>
              <w:rPr>
                <w:sz w:val="20"/>
              </w:rPr>
              <w:t xml:space="preserve">Затраты, связанные с использованием студенческих отрядов, для строительства объектов капитального строительства</w:t>
            </w:r>
          </w:p>
        </w:tc>
        <w:tc>
          <w:tcPr>
            <w:tcW w:w="3231" w:type="dxa"/>
          </w:tcPr>
          <w:p>
            <w:pPr>
              <w:pStyle w:val="0"/>
              <w:jc w:val="both"/>
            </w:pPr>
            <w:r>
              <w:rPr>
                <w:sz w:val="20"/>
              </w:rPr>
              <w:t xml:space="preserve">Определяются расчетом на основании данных проектной документации, выполненным в соответствии со сметными нормативами, сведения о которых включены в ФРСН.</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2.17</w:t>
            </w:r>
          </w:p>
        </w:tc>
        <w:tc>
          <w:tcPr>
            <w:tcW w:w="3798" w:type="dxa"/>
          </w:tcPr>
          <w:p>
            <w:pPr>
              <w:pStyle w:val="0"/>
              <w:jc w:val="both"/>
            </w:pPr>
            <w:r>
              <w:rPr>
                <w:sz w:val="20"/>
              </w:rPr>
              <w:t xml:space="preserve">Затраты, связанные с предоставлением обязательной банковской гарантии в качестве обеспечения исполнения контракта и гарантийных обязательств, в том числе на обеспечение возврата аванса</w:t>
            </w:r>
          </w:p>
        </w:tc>
        <w:tc>
          <w:tcPr>
            <w:tcW w:w="3231" w:type="dxa"/>
          </w:tcPr>
          <w:p>
            <w:pPr>
              <w:pStyle w:val="0"/>
              <w:jc w:val="both"/>
            </w:pPr>
            <w:r>
              <w:rPr>
                <w:sz w:val="20"/>
              </w:rPr>
              <w:t xml:space="preserve">Определяются расчетом в соответствии с </w:t>
            </w:r>
            <w:hyperlink w:history="0" w:anchor="P624" w:tooltip="161. В главе 9 сводного сметного расчета могут предусматриваться затраты, связанные с предоставлением обязательной банковской гарантии в качестве обеспечения исполнения контракта и гарантийных обязательств, в случаях, когда указанные затраты являются обязательными по требованию заказчика. Затраты, связанные с предоставлением обязательной банковской гарантии (СБГ), учитываются по результатам конъюнктурного анализа не менее 3 (трех) предложений банков, обладающих правом выдачи банковских гарантий, выполнен...">
              <w:r>
                <w:rPr>
                  <w:sz w:val="20"/>
                  <w:color w:val="0000ff"/>
                </w:rPr>
                <w:t xml:space="preserve">пунктом 161</w:t>
              </w:r>
            </w:hyperlink>
            <w:r>
              <w:rPr>
                <w:sz w:val="20"/>
              </w:rPr>
              <w:t xml:space="preserve"> Методики на основании данных проектной и (или) иной технической документации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2.18</w:t>
            </w:r>
          </w:p>
        </w:tc>
        <w:tc>
          <w:tcPr>
            <w:tcW w:w="3798" w:type="dxa"/>
          </w:tcPr>
          <w:p>
            <w:pPr>
              <w:pStyle w:val="0"/>
              <w:jc w:val="both"/>
            </w:pPr>
            <w:r>
              <w:rPr>
                <w:sz w:val="20"/>
              </w:rPr>
              <w:t xml:space="preserve">Затраты на научно-техническое сопровождение строительства зданий или сооружений, мониторинг компонентов окружающей среды, геотехнический мониторинг (состояния основания, строительных конструкций и систем инженерно-технического обеспечения) и другие виды мониторинга, предусмотренные нормативными документами по стандартизации</w:t>
            </w:r>
          </w:p>
        </w:tc>
        <w:tc>
          <w:tcPr>
            <w:tcW w:w="3231" w:type="dxa"/>
          </w:tcPr>
          <w:p>
            <w:pPr>
              <w:pStyle w:val="0"/>
              <w:jc w:val="both"/>
            </w:pPr>
            <w:r>
              <w:rPr>
                <w:sz w:val="20"/>
              </w:rPr>
              <w:t xml:space="preserve">Определяются расчетом на основании данных проектной документации с применением сметных нормативов, сведения о которых включены в ФРСН, а также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в случаях, предусмотренных положениями нормативных правовых актов Российской Федерации, субъектов Российской Федерации, городов федерального значения.</w:t>
            </w:r>
          </w:p>
          <w:p>
            <w:pPr>
              <w:pStyle w:val="0"/>
              <w:jc w:val="both"/>
            </w:pPr>
            <w:r>
              <w:rPr>
                <w:sz w:val="20"/>
              </w:rPr>
              <w:t xml:space="preserve">Затраты на научно-техническое сопровождение строительства зданий включаются для опасных производственных объектов, относящихся к зданиям или сооружениям повышенного уровня ответственности.</w:t>
            </w:r>
          </w:p>
        </w:tc>
        <w:tc>
          <w:tcPr>
            <w:tcW w:w="1304" w:type="dxa"/>
          </w:tcPr>
          <w:p>
            <w:pPr>
              <w:pStyle w:val="0"/>
              <w:jc w:val="both"/>
            </w:pPr>
            <w:hyperlink w:history="0" w:anchor="P8745" w:tooltip="4">
              <w:r>
                <w:rPr>
                  <w:sz w:val="20"/>
                  <w:color w:val="0000ff"/>
                </w:rPr>
                <w:t xml:space="preserve">Графы 4</w:t>
              </w:r>
            </w:hyperlink>
            <w:r>
              <w:rPr>
                <w:sz w:val="20"/>
              </w:rPr>
              <w:t xml:space="preserve"> - </w:t>
            </w:r>
            <w:hyperlink w:history="0" w:anchor="P8749" w:tooltip="8">
              <w:r>
                <w:rPr>
                  <w:sz w:val="20"/>
                  <w:color w:val="0000ff"/>
                </w:rPr>
                <w:t xml:space="preserve">8</w:t>
              </w:r>
            </w:hyperlink>
          </w:p>
        </w:tc>
      </w:tr>
      <w:tr>
        <w:tc>
          <w:tcPr>
            <w:tcW w:w="737" w:type="dxa"/>
          </w:tcPr>
          <w:p>
            <w:pPr>
              <w:pStyle w:val="0"/>
            </w:pPr>
            <w:r>
              <w:rPr>
                <w:sz w:val="20"/>
              </w:rPr>
              <w:t xml:space="preserve">2.19</w:t>
            </w:r>
          </w:p>
        </w:tc>
        <w:tc>
          <w:tcPr>
            <w:tcW w:w="3798" w:type="dxa"/>
          </w:tcPr>
          <w:p>
            <w:pPr>
              <w:pStyle w:val="0"/>
              <w:jc w:val="both"/>
            </w:pPr>
            <w:r>
              <w:rPr>
                <w:sz w:val="20"/>
              </w:rPr>
              <w:t xml:space="preserve">Затраты на обеспечение безопасности строящихся объектов, требования к которой устанавливаются нормативно-правовыми актами и связаны, в том числе, с обеспечением безопасности при строительстве, реконструкции и капитальном ремонте особо опасных, технически сложных и уникальных объектов капитального строительства, обеспечением транспортной безопасности и прочими случаями, требующими привлечения специализированных организаций, подразделений военизированной (усиленной) охраны и специального инженерного обеспечения, а также расходы на гражданскую оборону в период строительства</w:t>
            </w:r>
          </w:p>
        </w:tc>
        <w:tc>
          <w:tcPr>
            <w:tcW w:w="3231" w:type="dxa"/>
          </w:tcPr>
          <w:p>
            <w:pPr>
              <w:pStyle w:val="0"/>
              <w:jc w:val="both"/>
            </w:pPr>
            <w:r>
              <w:rPr>
                <w:sz w:val="20"/>
              </w:rPr>
              <w:t xml:space="preserve">Определяются расчетом на основании данных проектной и (или) иной технической документации.</w:t>
            </w:r>
          </w:p>
          <w:p>
            <w:pPr>
              <w:pStyle w:val="0"/>
              <w:jc w:val="both"/>
            </w:pPr>
            <w:r>
              <w:rPr>
                <w:sz w:val="20"/>
              </w:rPr>
              <w:t xml:space="preserve">Дополнительные затраты, связанные с возведением зданий, строений, сооружений, необходимых для размещения организаций, выполняющих функции усиленной охраны объектов, определяются локальными сметными расчетами (сметами) с применением сметных нормативов, сведения о которых включены в ФРСН, на основании данных проектной и (или) иной технической документации.</w:t>
            </w:r>
          </w:p>
          <w:p>
            <w:pPr>
              <w:pStyle w:val="0"/>
              <w:jc w:val="both"/>
            </w:pPr>
            <w:r>
              <w:rPr>
                <w:sz w:val="20"/>
              </w:rPr>
              <w:t xml:space="preserve">В случаях, когда охрану объекта планируется осуществлять собственными силами подрядной организации совместно с организацией,</w:t>
            </w:r>
          </w:p>
          <w:p>
            <w:pPr>
              <w:pStyle w:val="0"/>
              <w:jc w:val="both"/>
            </w:pPr>
            <w:r>
              <w:rPr>
                <w:sz w:val="20"/>
              </w:rPr>
              <w:t xml:space="preserve">обеспечивающей усиленную охрану объекта, дополнительные затраты на содержание и эксплуатацию зданий и сооружений для обеспечения усиленной охраны определяются расчетом на основании данных ПОС.</w:t>
            </w:r>
          </w:p>
          <w:p>
            <w:pPr>
              <w:pStyle w:val="0"/>
              <w:jc w:val="both"/>
            </w:pPr>
            <w:r>
              <w:rPr>
                <w:sz w:val="20"/>
              </w:rPr>
              <w:t xml:space="preserve">Затраты на усиленную охрану и другие услуги, на которые отсутствуют сметные нормативы определяются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5" w:tooltip="4">
              <w:r>
                <w:rPr>
                  <w:sz w:val="20"/>
                  <w:color w:val="0000ff"/>
                </w:rPr>
                <w:t xml:space="preserve">Графы 4</w:t>
              </w:r>
            </w:hyperlink>
            <w:r>
              <w:rPr>
                <w:sz w:val="20"/>
              </w:rPr>
              <w:t xml:space="preserve"> - </w:t>
            </w:r>
            <w:hyperlink w:history="0" w:anchor="P8749" w:tooltip="8">
              <w:r>
                <w:rPr>
                  <w:sz w:val="20"/>
                  <w:color w:val="0000ff"/>
                </w:rPr>
                <w:t xml:space="preserve">8</w:t>
              </w:r>
            </w:hyperlink>
          </w:p>
        </w:tc>
      </w:tr>
      <w:tr>
        <w:tc>
          <w:tcPr>
            <w:tcW w:w="737" w:type="dxa"/>
          </w:tcPr>
          <w:p>
            <w:pPr>
              <w:pStyle w:val="0"/>
            </w:pPr>
            <w:r>
              <w:rPr>
                <w:sz w:val="20"/>
              </w:rPr>
              <w:t xml:space="preserve">2.20</w:t>
            </w:r>
          </w:p>
        </w:tc>
        <w:tc>
          <w:tcPr>
            <w:tcW w:w="3798" w:type="dxa"/>
          </w:tcPr>
          <w:p>
            <w:pPr>
              <w:pStyle w:val="0"/>
              <w:jc w:val="both"/>
            </w:pPr>
            <w:r>
              <w:rPr>
                <w:sz w:val="20"/>
              </w:rPr>
              <w:t xml:space="preserve">Затраты на страхование объекта строительства, осуществляемое в соответствии законодательством Российской Федерации в случаях, когда указанные затраты включаются по требованию заказчика</w:t>
            </w:r>
          </w:p>
        </w:tc>
        <w:tc>
          <w:tcPr>
            <w:tcW w:w="3231" w:type="dxa"/>
          </w:tcPr>
          <w:p>
            <w:pPr>
              <w:pStyle w:val="0"/>
              <w:jc w:val="both"/>
            </w:pPr>
            <w:r>
              <w:rPr>
                <w:sz w:val="20"/>
              </w:rPr>
              <w:t xml:space="preserve">Определяются расчетом согласно ценам и тарифам специализированных организаций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2.21</w:t>
            </w:r>
          </w:p>
        </w:tc>
        <w:tc>
          <w:tcPr>
            <w:tcW w:w="3798" w:type="dxa"/>
          </w:tcPr>
          <w:p>
            <w:pPr>
              <w:pStyle w:val="0"/>
              <w:jc w:val="both"/>
            </w:pPr>
            <w:r>
              <w:rPr>
                <w:sz w:val="20"/>
              </w:rPr>
              <w:t xml:space="preserve">Затраты, связанные с применением технологий информационного моделирования при осуществлении строительства</w:t>
            </w:r>
          </w:p>
        </w:tc>
        <w:tc>
          <w:tcPr>
            <w:tcW w:w="3231" w:type="dxa"/>
          </w:tcPr>
          <w:p>
            <w:pPr>
              <w:pStyle w:val="0"/>
              <w:jc w:val="both"/>
            </w:pPr>
            <w:r>
              <w:rPr>
                <w:sz w:val="20"/>
              </w:rPr>
              <w:t xml:space="preserve">Определяются расчетом на основании данных проектной и (или) иной технической документации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2.22</w:t>
            </w:r>
          </w:p>
        </w:tc>
        <w:tc>
          <w:tcPr>
            <w:tcW w:w="3798" w:type="dxa"/>
          </w:tcPr>
          <w:p>
            <w:pPr>
              <w:pStyle w:val="0"/>
              <w:jc w:val="both"/>
            </w:pPr>
            <w:r>
              <w:rPr>
                <w:sz w:val="20"/>
              </w:rPr>
              <w:t xml:space="preserve">Затраты заказчика по вводу объектов в эксплуатацию (затраты на кадастровые работы, выполнение контрольно-исполнительных геодезических съемок подземных инженерных коммуникаций в границах участка, на выполнение исполнительной топографической съемки при сдаче объекта в эксплуатацию, на подготовку технических планов зданий и сооружений, оформление технических паспортов объектов, обследования, испытания, диагностика зданий и сооружений (в случае, если указанные затраты носят обязательный характер, а также другие затраты, в том числе необходимые для подтверждения безопасных для здоровья человека условий проживания и пребывания в зданиях и сооружениях по показателям в соответствии с требованиями законодательства Российской Федерации в области безопасности зданий и сооружений, санитарно-эпидемиологического благополучия населения и технического регулирования)</w:t>
            </w:r>
          </w:p>
        </w:tc>
        <w:tc>
          <w:tcPr>
            <w:tcW w:w="3231" w:type="dxa"/>
          </w:tcPr>
          <w:p>
            <w:pPr>
              <w:pStyle w:val="0"/>
              <w:jc w:val="both"/>
            </w:pPr>
            <w:r>
              <w:rPr>
                <w:sz w:val="20"/>
              </w:rPr>
              <w:t xml:space="preserve">Определяются локальными сметными расчетами (сметами) и (или) расчетами, разработанными в порядке, установленном Методикой, с применением сметных нормативов, сведения о которых включены в ФРСН.</w:t>
            </w:r>
          </w:p>
          <w:p>
            <w:pPr>
              <w:pStyle w:val="0"/>
              <w:jc w:val="both"/>
            </w:pPr>
            <w:r>
              <w:rPr>
                <w:sz w:val="20"/>
              </w:rPr>
              <w:t xml:space="preserve">При отсутствии сметных нормативов определяются расчетом согласно нормативам, ценам, тарифам, утверждаемым органами государственной власти и местного самоуправления в соответствии с полномочиями, установленными законодательством Российской Федерации.</w:t>
            </w:r>
          </w:p>
          <w:p>
            <w:pPr>
              <w:pStyle w:val="0"/>
              <w:jc w:val="both"/>
            </w:pPr>
            <w:r>
              <w:rPr>
                <w:sz w:val="20"/>
              </w:rPr>
              <w:t xml:space="preserve">В случаях, когда законодательством не установлено государственное регулирование - согласно ценам и тарифам специализированных организаций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2.23</w:t>
            </w:r>
          </w:p>
        </w:tc>
        <w:tc>
          <w:tcPr>
            <w:tcW w:w="3798" w:type="dxa"/>
          </w:tcPr>
          <w:p>
            <w:pPr>
              <w:pStyle w:val="0"/>
              <w:jc w:val="both"/>
            </w:pPr>
            <w:r>
              <w:rPr>
                <w:sz w:val="20"/>
              </w:rPr>
              <w:t xml:space="preserve">Затраты, связанные с компенсацией подрядным организациям затрат на оплату процентов за пользование кредитами, займами в случаях, когда возможность включения указанных затрат в сметную стоимость строительства предусмотрена законодательством Российской Федерации</w:t>
            </w:r>
          </w:p>
        </w:tc>
        <w:tc>
          <w:tcPr>
            <w:tcW w:w="3231" w:type="dxa"/>
          </w:tcPr>
          <w:p>
            <w:pPr>
              <w:pStyle w:val="0"/>
              <w:jc w:val="both"/>
            </w:pPr>
            <w:r>
              <w:rPr>
                <w:sz w:val="20"/>
              </w:rPr>
              <w:t xml:space="preserve">Определяются расчетом на основании данных проектной документации и иных документов</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2.24</w:t>
            </w:r>
          </w:p>
        </w:tc>
        <w:tc>
          <w:tcPr>
            <w:tcW w:w="3798" w:type="dxa"/>
          </w:tcPr>
          <w:p>
            <w:pPr>
              <w:pStyle w:val="0"/>
              <w:jc w:val="both"/>
            </w:pPr>
            <w:r>
              <w:rPr>
                <w:sz w:val="20"/>
              </w:rPr>
              <w:t xml:space="preserve">Затраты на расширенное банковское сопровождение в случаях, установленных </w:t>
            </w:r>
            <w:hyperlink w:history="0" r:id="rId221" w:tooltip="Постановление Правительства РФ от 20.09.2014 N 963 (ред. от 01.12.2021) &quot;Об осуществлении банковского сопровождения контрактов&quot; (вместе с &quot;Правилами осуществления банковского сопровождения контрактов&quot;) {КонсультантПлюс}">
              <w:r>
                <w:rPr>
                  <w:sz w:val="20"/>
                  <w:color w:val="0000ff"/>
                </w:rPr>
                <w:t xml:space="preserve">Правилами</w:t>
              </w:r>
            </w:hyperlink>
            <w:r>
              <w:rPr>
                <w:sz w:val="20"/>
              </w:rPr>
              <w:t xml:space="preserve"> осуществления банковского сопровождения контрактов, утвержденными постановлением Правительства Российской Федерации от 20 сентября 2014 г. N 963 (Собрание законодательства Российской Федерации, 2014, N 39, ст. 5259; 2018, N 39, ст. 5985)</w:t>
            </w:r>
          </w:p>
        </w:tc>
        <w:tc>
          <w:tcPr>
            <w:tcW w:w="3231" w:type="dxa"/>
          </w:tcPr>
          <w:p>
            <w:pPr>
              <w:pStyle w:val="0"/>
              <w:jc w:val="both"/>
            </w:pPr>
            <w:r>
              <w:rPr>
                <w:sz w:val="20"/>
              </w:rPr>
              <w:t xml:space="preserve">Определяются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в размерах, не превышающих установленных </w:t>
            </w:r>
            <w:hyperlink w:history="0" r:id="rId222" w:tooltip="Постановление Правительства РФ от 20.09.2014 N 963 (ред. от 01.12.2021) &quot;Об осуществлении банковского сопровождения контрактов&quot; (вместе с &quot;Правилами осуществления банковского сопровождения контрактов&quot;) {КонсультантПлюс}">
              <w:r>
                <w:rPr>
                  <w:sz w:val="20"/>
                  <w:color w:val="0000ff"/>
                </w:rPr>
                <w:t xml:space="preserve">Правилами</w:t>
              </w:r>
            </w:hyperlink>
            <w:r>
              <w:rPr>
                <w:sz w:val="20"/>
              </w:rPr>
              <w:t xml:space="preserve"> осуществления банковского сопровождения контрактов, утвержденными постановлением Правительства Российской Федерации от 20 сентября 2014 г. N 963</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pPr>
            <w:r>
              <w:rPr>
                <w:sz w:val="20"/>
              </w:rPr>
              <w:t xml:space="preserve">2.25</w:t>
            </w:r>
          </w:p>
        </w:tc>
        <w:tc>
          <w:tcPr>
            <w:tcW w:w="3798" w:type="dxa"/>
          </w:tcPr>
          <w:p>
            <w:pPr>
              <w:pStyle w:val="0"/>
              <w:jc w:val="both"/>
            </w:pPr>
            <w:r>
              <w:rPr>
                <w:sz w:val="20"/>
              </w:rPr>
              <w:t xml:space="preserve">Затраты, связанные с содержанием временных перевалочных баз в пунктах перегрузки материальных ресурсов и оборудования с одного вида транспорта на другой, а также перевалочных баз за пределами строительной площадки</w:t>
            </w:r>
          </w:p>
        </w:tc>
        <w:tc>
          <w:tcPr>
            <w:tcW w:w="3231" w:type="dxa"/>
          </w:tcPr>
          <w:p>
            <w:pPr>
              <w:pStyle w:val="0"/>
              <w:jc w:val="both"/>
            </w:pPr>
            <w:r>
              <w:rPr>
                <w:sz w:val="20"/>
              </w:rPr>
              <w:t xml:space="preserve">Определяются расчетом на основании проектной и (или) иной технической документации, а также согласно тарифам (ценам, нормативам), утверждаемым в соответствии законодательством Российской Федерации.</w:t>
            </w:r>
          </w:p>
          <w:p>
            <w:pPr>
              <w:pStyle w:val="0"/>
              <w:jc w:val="both"/>
            </w:pPr>
            <w:r>
              <w:rPr>
                <w:sz w:val="20"/>
              </w:rPr>
              <w:t xml:space="preserve">Затраты, связанные с арендой существующих складских площадей (помещений), используемых в качестве перевалочных баз, в случае отсутствия соответствующих сметных нормативов могут определяться на основании цен предварительных договоров аренды или расчетом согласно ценам и тарифам специализированных организаций в соответствии с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пунктами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blPrEx>
          <w:tblBorders>
            <w:insideH w:val="nil"/>
          </w:tblBorders>
        </w:tblPrEx>
        <w:tc>
          <w:tcPr>
            <w:gridSpan w:val="4"/>
            <w:tcW w:w="9070"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имеется в виду Федеральный закон N 115-ФЗ от 25.07.2002, а не от 27.07.2002.</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737" w:type="dxa"/>
            <w:tcBorders>
              <w:top w:val="nil"/>
            </w:tcBorders>
          </w:tcPr>
          <w:p>
            <w:pPr>
              <w:pStyle w:val="0"/>
              <w:jc w:val="center"/>
            </w:pPr>
            <w:r>
              <w:rPr>
                <w:sz w:val="20"/>
              </w:rPr>
              <w:t xml:space="preserve">2.26</w:t>
            </w:r>
          </w:p>
        </w:tc>
        <w:tc>
          <w:tcPr>
            <w:tcW w:w="3798" w:type="dxa"/>
            <w:tcBorders>
              <w:top w:val="nil"/>
            </w:tcBorders>
          </w:tcPr>
          <w:p>
            <w:pPr>
              <w:pStyle w:val="0"/>
              <w:jc w:val="both"/>
            </w:pPr>
            <w:r>
              <w:rPr>
                <w:sz w:val="20"/>
              </w:rPr>
              <w:t xml:space="preserve">Затраты, связанные с привлечением иностранных граждан - высококвалифицированных специалистов, имеющих опыт работы, навыки или достижения в конкретной области для выполнения отдельных видов работ (для наладки, монтажа оборудования иностранного производства или контроля за их проведением в соответствии с техническими требованиями изготовителей такого оборудования, авторского надзора и производства иных подобных работ), при отсутствии таких специалистов, на территории Российской Федерации, обладающих необходимой квалификацией Необходимость привлечения таких специалистов определяется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w:t>
            </w:r>
          </w:p>
        </w:tc>
        <w:tc>
          <w:tcPr>
            <w:tcW w:w="3231" w:type="dxa"/>
            <w:tcBorders>
              <w:top w:val="nil"/>
            </w:tcBorders>
          </w:tcPr>
          <w:p>
            <w:pPr>
              <w:pStyle w:val="0"/>
              <w:jc w:val="both"/>
            </w:pPr>
            <w:r>
              <w:rPr>
                <w:sz w:val="20"/>
              </w:rPr>
              <w:t xml:space="preserve">Определяются расчетом на основании данных проектной документации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с учетом положений Федерального </w:t>
            </w:r>
            <w:hyperlink w:history="0" r:id="rId223" w:tooltip="Федеральный закон от 25.07.2002 N 115-ФЗ (ред. от 14.07.2022)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27 июля 2002 г. N 115-ФЗ "О правовом положении иностранных граждан в Российской Федерации"</w:t>
            </w:r>
          </w:p>
        </w:tc>
        <w:tc>
          <w:tcPr>
            <w:tcW w:w="1304" w:type="dxa"/>
            <w:tcBorders>
              <w:top w:val="nil"/>
            </w:tcBorders>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jc w:val="center"/>
            </w:pPr>
            <w:r>
              <w:rPr>
                <w:sz w:val="20"/>
              </w:rPr>
              <w:t xml:space="preserve">2.27</w:t>
            </w:r>
          </w:p>
        </w:tc>
        <w:tc>
          <w:tcPr>
            <w:tcW w:w="3798" w:type="dxa"/>
          </w:tcPr>
          <w:p>
            <w:pPr>
              <w:pStyle w:val="0"/>
              <w:jc w:val="both"/>
            </w:pPr>
            <w:r>
              <w:rPr>
                <w:sz w:val="20"/>
              </w:rPr>
              <w:t xml:space="preserve">Затраты, связанные с привлечением юридических лиц, не зарегистрированных на территории Российской Федерации, для выполнения отдельных видов работ, требующих применения особых технологий, оборудования, квалификации, в случае отсутствия на территории Российской Федерации организаций, выполняющих такие виды работ и сметные нормы на которые отсутствуют. Необходимость выполнения таких работ определяется заказчиком по согласованию с главным распорядителем средств соответствующего бюджета (за исключением случаев, когда заказчиком является главный распорядитель бюджетных средств)"</w:t>
            </w:r>
          </w:p>
        </w:tc>
        <w:tc>
          <w:tcPr>
            <w:tcW w:w="3231" w:type="dxa"/>
          </w:tcPr>
          <w:p>
            <w:pPr>
              <w:pStyle w:val="0"/>
              <w:jc w:val="both"/>
            </w:pPr>
            <w:r>
              <w:rPr>
                <w:sz w:val="20"/>
              </w:rPr>
              <w:t xml:space="preserve">Определяются расчетом на основании данных проектной и (или) иной технической документации, в том числе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а также в случаях, предусмотренных законодательством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jc w:val="center"/>
            </w:pPr>
            <w:r>
              <w:rPr>
                <w:sz w:val="20"/>
              </w:rPr>
              <w:t xml:space="preserve">2.28</w:t>
            </w:r>
          </w:p>
        </w:tc>
        <w:tc>
          <w:tcPr>
            <w:tcW w:w="3798" w:type="dxa"/>
          </w:tcPr>
          <w:p>
            <w:pPr>
              <w:pStyle w:val="0"/>
              <w:jc w:val="both"/>
            </w:pPr>
            <w:r>
              <w:rPr>
                <w:sz w:val="20"/>
              </w:rPr>
              <w:t xml:space="preserve">Средства на выплату премий за досрочный ввод в эксплуатацию построенного объекта</w:t>
            </w:r>
          </w:p>
        </w:tc>
        <w:tc>
          <w:tcPr>
            <w:tcW w:w="3231" w:type="dxa"/>
          </w:tcPr>
          <w:p>
            <w:pPr>
              <w:pStyle w:val="0"/>
              <w:jc w:val="both"/>
            </w:pPr>
            <w:r>
              <w:rPr>
                <w:sz w:val="20"/>
              </w:rPr>
              <w:t xml:space="preserve">Определяются расчетом в соответствии с </w:t>
            </w:r>
            <w:hyperlink w:history="0" w:anchor="P634" w:tooltip="161.2. В случае, установленном законодательством Российской Федерации, в главе 9 сводного сметного расчета могут быть предусмотрены средства на выплату премий за досрочный ввод в эксплуатацию построенного объекта.">
              <w:r>
                <w:rPr>
                  <w:sz w:val="20"/>
                  <w:color w:val="0000ff"/>
                </w:rPr>
                <w:t xml:space="preserve">пунктом 161.2</w:t>
              </w:r>
            </w:hyperlink>
            <w:r>
              <w:rPr>
                <w:sz w:val="20"/>
              </w:rPr>
              <w:t xml:space="preserve"> Методики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jc w:val="center"/>
            </w:pPr>
            <w:r>
              <w:rPr>
                <w:sz w:val="20"/>
              </w:rPr>
              <w:t xml:space="preserve">2.29</w:t>
            </w:r>
          </w:p>
        </w:tc>
        <w:tc>
          <w:tcPr>
            <w:tcW w:w="3798" w:type="dxa"/>
          </w:tcPr>
          <w:p>
            <w:pPr>
              <w:pStyle w:val="0"/>
              <w:jc w:val="both"/>
            </w:pPr>
            <w:r>
              <w:rPr>
                <w:sz w:val="20"/>
              </w:rPr>
              <w:t xml:space="preserve">Затраты, на аттестацию (проверку) оборудования, проводимую специализированными организациями, аккредитованными ФСБ России, до ввода объекта в эксплуатацию</w:t>
            </w:r>
          </w:p>
        </w:tc>
        <w:tc>
          <w:tcPr>
            <w:tcW w:w="3231" w:type="dxa"/>
          </w:tcPr>
          <w:p>
            <w:pPr>
              <w:pStyle w:val="0"/>
              <w:jc w:val="both"/>
            </w:pPr>
            <w:r>
              <w:rPr>
                <w:sz w:val="20"/>
              </w:rPr>
              <w:t xml:space="preserve">Определяются расчетом на основании данных проектной и (или) иной технической документации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 согласно ценам и тарифам специализированных организаций в случаях, когда такие требования к аттестации оборудования предусмотрены законодательством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jc w:val="center"/>
            </w:pPr>
            <w:r>
              <w:rPr>
                <w:sz w:val="20"/>
              </w:rPr>
              <w:t xml:space="preserve">2.30</w:t>
            </w:r>
          </w:p>
        </w:tc>
        <w:tc>
          <w:tcPr>
            <w:tcW w:w="3798" w:type="dxa"/>
          </w:tcPr>
          <w:p>
            <w:pPr>
              <w:pStyle w:val="0"/>
              <w:jc w:val="both"/>
            </w:pPr>
            <w:r>
              <w:rPr>
                <w:sz w:val="20"/>
              </w:rPr>
              <w:t xml:space="preserve">Затраты на перебазировку машин с базы механизации на строительную площадку и обратно, по которым данные затраты не включены в сметную цену эксплуатации машин и механизмов</w:t>
            </w:r>
          </w:p>
        </w:tc>
        <w:tc>
          <w:tcPr>
            <w:tcW w:w="3231" w:type="dxa"/>
          </w:tcPr>
          <w:p>
            <w:pPr>
              <w:pStyle w:val="0"/>
              <w:jc w:val="both"/>
            </w:pPr>
            <w:r>
              <w:rPr>
                <w:sz w:val="20"/>
              </w:rPr>
              <w:t xml:space="preserve">Определяются расчетом на основании данных проектной документации, выполненным в соответствии со сметными нормативами, сведения о которых включены в ФРСН.</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blPrEx>
          <w:tblBorders>
            <w:insideH w:val="nil"/>
          </w:tblBorders>
        </w:tblPrEx>
        <w:tc>
          <w:tcPr>
            <w:gridSpan w:val="4"/>
            <w:tcW w:w="9070"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имеется в виду Федеральный закон N 115-ФЗ от 25.07.2002, а не от 27.07.2002.</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737" w:type="dxa"/>
            <w:tcBorders>
              <w:top w:val="nil"/>
            </w:tcBorders>
          </w:tcPr>
          <w:p>
            <w:pPr>
              <w:pStyle w:val="0"/>
              <w:jc w:val="center"/>
            </w:pPr>
            <w:r>
              <w:rPr>
                <w:sz w:val="20"/>
              </w:rPr>
              <w:t xml:space="preserve">2.31</w:t>
            </w:r>
          </w:p>
        </w:tc>
        <w:tc>
          <w:tcPr>
            <w:tcW w:w="3798" w:type="dxa"/>
            <w:tcBorders>
              <w:top w:val="nil"/>
            </w:tcBorders>
          </w:tcPr>
          <w:p>
            <w:pPr>
              <w:pStyle w:val="0"/>
              <w:jc w:val="both"/>
            </w:pPr>
            <w:r>
              <w:rPr>
                <w:sz w:val="20"/>
              </w:rPr>
              <w:t xml:space="preserve">Затраты по выдаче разрешений на привлечение и использование иностранных работников</w:t>
            </w:r>
          </w:p>
        </w:tc>
        <w:tc>
          <w:tcPr>
            <w:tcW w:w="3231" w:type="dxa"/>
            <w:tcBorders>
              <w:top w:val="nil"/>
            </w:tcBorders>
          </w:tcPr>
          <w:p>
            <w:pPr>
              <w:pStyle w:val="0"/>
              <w:jc w:val="both"/>
            </w:pPr>
            <w:r>
              <w:rPr>
                <w:sz w:val="20"/>
              </w:rPr>
              <w:t xml:space="preserve">Определяются расчетом на основании данных проектной документации с учетом положений Налогового кодекса Российской Федерации, Федерального </w:t>
            </w:r>
            <w:hyperlink w:history="0" r:id="rId224" w:tooltip="Федеральный закон от 25.07.2002 N 115-ФЗ (ред. от 14.07.2022) &quot;О правовом положении иностранных граждан в Российской Федерации&quot; {КонсультантПлюс}">
              <w:r>
                <w:rPr>
                  <w:sz w:val="20"/>
                  <w:color w:val="0000ff"/>
                </w:rPr>
                <w:t xml:space="preserve">закона</w:t>
              </w:r>
            </w:hyperlink>
            <w:r>
              <w:rPr>
                <w:sz w:val="20"/>
              </w:rPr>
              <w:t xml:space="preserve"> от 27 июля 2002 г. N 115-ФЗ "О правовом положении иностранных граждан в Российской Федерации".</w:t>
            </w:r>
          </w:p>
        </w:tc>
        <w:tc>
          <w:tcPr>
            <w:tcW w:w="1304" w:type="dxa"/>
            <w:tcBorders>
              <w:top w:val="nil"/>
            </w:tcBorders>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jc w:val="center"/>
            </w:pPr>
            <w:r>
              <w:rPr>
                <w:sz w:val="20"/>
              </w:rPr>
              <w:t xml:space="preserve">2.32</w:t>
            </w:r>
          </w:p>
        </w:tc>
        <w:tc>
          <w:tcPr>
            <w:tcW w:w="3798" w:type="dxa"/>
          </w:tcPr>
          <w:p>
            <w:pPr>
              <w:pStyle w:val="0"/>
              <w:jc w:val="both"/>
            </w:pPr>
            <w:r>
              <w:rPr>
                <w:sz w:val="20"/>
              </w:rPr>
              <w:t xml:space="preserve">Затраты, на проведение строительного контроля заказчика (дополнительно к затратам на проведение строительного контроля заказчика, учтенным в главе 10 сводного сметного расчета) инструментальными и лабораторными методами в объемах, предусмотренных действующими документами в области стандартизации и технического регулирования соответствующих работ, а также нормативными правовыми актами Российской Федерации</w:t>
            </w:r>
          </w:p>
        </w:tc>
        <w:tc>
          <w:tcPr>
            <w:tcW w:w="3231" w:type="dxa"/>
          </w:tcPr>
          <w:p>
            <w:pPr>
              <w:pStyle w:val="0"/>
              <w:jc w:val="both"/>
            </w:pPr>
            <w:r>
              <w:rPr>
                <w:sz w:val="20"/>
              </w:rPr>
              <w:t xml:space="preserve">Указанные затраты учитываются дополнительно к затратам, определенным на основании нормативов, приведенных в приложении к </w:t>
            </w:r>
            <w:hyperlink w:history="0" r:id="rId225" w:tooltip="Постановление Правительства РФ от 21.06.2010 N 468 &quot;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quot; (вместе с &quot;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quot;) {КонсультантПлюс}">
              <w:r>
                <w:rPr>
                  <w:sz w:val="20"/>
                  <w:color w:val="0000ff"/>
                </w:rPr>
                <w:t xml:space="preserve">Положению</w:t>
              </w:r>
            </w:hyperlink>
            <w:r>
              <w:rPr>
                <w:sz w:val="20"/>
              </w:rPr>
              <w:t xml:space="preserve">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утвержденному постановлением Правительства Российской Федерации от 21 июня 2010 г.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 (Собрание законодательства Российской Федерации, 2010, N 26, ст. 3365) и определяются расчетом с применением сметных нормативов, сведения о которых включены в ФРСН, на основании данных проектной и (или) иной технической документации, а в случае отсутствия сметных нормативов в соответствии с положениями </w:t>
            </w:r>
            <w:hyperlink w:history="0" w:anchor="P104" w:tooltip="13. 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N 1 к Методике и подписываются ...">
              <w:r>
                <w:rPr>
                  <w:sz w:val="20"/>
                  <w:color w:val="0000ff"/>
                </w:rPr>
                <w:t xml:space="preserve">пунктов 13</w:t>
              </w:r>
            </w:hyperlink>
            <w:r>
              <w:rPr>
                <w:sz w:val="20"/>
              </w:rPr>
              <w:t xml:space="preserve"> - </w:t>
            </w:r>
            <w:hyperlink w:history="0" w:anchor="P145" w:tooltip="22. В случае определения сметной стоимости строительства одновременно в двух уровнях цен: текущем и базисном, сметная стоимость отдельных видов работ и услуг, а также сметных цен материальных ресурсов и оборудования, текущая стоимость которых получена в соответствии с положениями пунктов 13 - 21 Методики по результатам конъюнктурного анализа, определяется в базисном уровне цен как отношение их стоимости в текущем уровне цен к соответствующим индексам изменения сметной стоимости, примененным при составлен...">
              <w:r>
                <w:rPr>
                  <w:sz w:val="20"/>
                  <w:color w:val="0000ff"/>
                </w:rPr>
                <w:t xml:space="preserve">22</w:t>
              </w:r>
            </w:hyperlink>
            <w:r>
              <w:rPr>
                <w:sz w:val="20"/>
              </w:rPr>
              <w:t xml:space="preserve"> Методики.</w:t>
            </w:r>
          </w:p>
        </w:tc>
        <w:tc>
          <w:tcPr>
            <w:tcW w:w="1304" w:type="dxa"/>
          </w:tcPr>
          <w:p>
            <w:pPr>
              <w:pStyle w:val="0"/>
              <w:jc w:val="center"/>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r>
        <w:tc>
          <w:tcPr>
            <w:tcW w:w="737" w:type="dxa"/>
          </w:tcPr>
          <w:p>
            <w:pPr>
              <w:pStyle w:val="0"/>
              <w:jc w:val="center"/>
            </w:pPr>
            <w:r>
              <w:rPr>
                <w:sz w:val="20"/>
              </w:rPr>
              <w:t xml:space="preserve">2.33</w:t>
            </w:r>
          </w:p>
        </w:tc>
        <w:tc>
          <w:tcPr>
            <w:tcW w:w="3798" w:type="dxa"/>
          </w:tcPr>
          <w:p>
            <w:pPr>
              <w:pStyle w:val="0"/>
              <w:jc w:val="both"/>
            </w:pPr>
            <w:r>
              <w:rPr>
                <w:sz w:val="20"/>
              </w:rPr>
              <w:t xml:space="preserve">Затраты, связанные с возмещением убытков, причиненными ограничением прав в связи с установлением, изменением зон с особыми условиями использования территорий, в соответствии с требованиями </w:t>
            </w:r>
            <w:hyperlink w:history="0" r:id="rId226" w:tooltip="&quot;Земельный кодекс Российской Федерации&quot; от 25.10.2001 N 136-ФЗ (ред. от 14.07.2022) (с изм. и доп., вступ. в силу с 01.09.2022) {КонсультантПлюс}">
              <w:r>
                <w:rPr>
                  <w:sz w:val="20"/>
                  <w:color w:val="0000ff"/>
                </w:rPr>
                <w:t xml:space="preserve">статьи 57.1</w:t>
              </w:r>
            </w:hyperlink>
            <w:r>
              <w:rPr>
                <w:sz w:val="20"/>
              </w:rPr>
              <w:t xml:space="preserve"> Земельного кодекса (Собрание законодательства Российской Федерации, 2001, N 44, ст. 4147; 2018, N 32, ст. 5135)</w:t>
            </w:r>
          </w:p>
        </w:tc>
        <w:tc>
          <w:tcPr>
            <w:tcW w:w="3231" w:type="dxa"/>
          </w:tcPr>
          <w:p>
            <w:pPr>
              <w:pStyle w:val="0"/>
              <w:jc w:val="both"/>
            </w:pPr>
            <w:r>
              <w:rPr>
                <w:sz w:val="20"/>
              </w:rPr>
              <w:t xml:space="preserve">Определяются расчетами в соответствии с законодательством Российской Федерации.</w:t>
            </w:r>
          </w:p>
        </w:tc>
        <w:tc>
          <w:tcPr>
            <w:tcW w:w="1304" w:type="dxa"/>
          </w:tcPr>
          <w:p>
            <w:pPr>
              <w:pStyle w:val="0"/>
              <w:jc w:val="both"/>
            </w:pPr>
            <w:hyperlink w:history="0" w:anchor="P8748" w:tooltip="7">
              <w:r>
                <w:rPr>
                  <w:sz w:val="20"/>
                  <w:color w:val="0000ff"/>
                </w:rPr>
                <w:t xml:space="preserve">Графы 7</w:t>
              </w:r>
            </w:hyperlink>
            <w:r>
              <w:rPr>
                <w:sz w:val="20"/>
              </w:rPr>
              <w:t xml:space="preserve"> и </w:t>
            </w:r>
            <w:hyperlink w:history="0" w:anchor="P8749" w:tooltip="8">
              <w:r>
                <w:rPr>
                  <w:sz w:val="20"/>
                  <w:color w:val="0000ff"/>
                </w:rPr>
                <w:t xml:space="preserve">8</w:t>
              </w:r>
            </w:hyperlink>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pStyle w:val="0"/>
        <w:jc w:val="both"/>
      </w:pPr>
      <w:r>
        <w:rPr>
          <w:sz w:val="20"/>
        </w:rPr>
      </w:r>
    </w:p>
    <w:bookmarkStart w:id="9526" w:name="P9526"/>
    <w:bookmarkEnd w:id="9526"/>
    <w:p>
      <w:pPr>
        <w:pStyle w:val="2"/>
        <w:jc w:val="center"/>
      </w:pPr>
      <w:r>
        <w:rPr>
          <w:sz w:val="20"/>
        </w:rPr>
        <w:t xml:space="preserve">КОЭФФИЦИЕНТЫ</w:t>
      </w:r>
    </w:p>
    <w:p>
      <w:pPr>
        <w:pStyle w:val="2"/>
        <w:jc w:val="center"/>
      </w:pPr>
      <w:r>
        <w:rPr>
          <w:sz w:val="20"/>
        </w:rPr>
        <w:t xml:space="preserve">ДЛЯ УЧЕТА В СМЕТНОЙ ДОКУМЕНТАЦИИ ВЛИЯНИЯ УСЛОВИЙ</w:t>
      </w:r>
    </w:p>
    <w:p>
      <w:pPr>
        <w:pStyle w:val="2"/>
        <w:jc w:val="center"/>
      </w:pPr>
      <w:r>
        <w:rPr>
          <w:sz w:val="20"/>
        </w:rPr>
        <w:t xml:space="preserve">ПРОИЗВОДСТВА РАБОТ, ПРЕДУСМОТРЕННЫХ ПРОЕКТНОЙ</w:t>
      </w:r>
    </w:p>
    <w:p>
      <w:pPr>
        <w:pStyle w:val="2"/>
        <w:jc w:val="center"/>
      </w:pPr>
      <w:r>
        <w:rPr>
          <w:sz w:val="20"/>
        </w:rPr>
        <w:t xml:space="preserve">И (ИЛИ) ИНОЙ ТЕХНИЧЕСКОЙ ДОКУМЕНТАЦИЕЙ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7"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outlineLvl w:val="2"/>
        <w:jc w:val="right"/>
      </w:pPr>
      <w:r>
        <w:rPr>
          <w:sz w:val="20"/>
        </w:rPr>
        <w:t xml:space="preserve">Таблица 1</w:t>
      </w:r>
    </w:p>
    <w:p>
      <w:pPr>
        <w:pStyle w:val="0"/>
        <w:jc w:val="both"/>
      </w:pPr>
      <w:r>
        <w:rPr>
          <w:sz w:val="20"/>
        </w:rPr>
      </w:r>
    </w:p>
    <w:bookmarkStart w:id="9535" w:name="P9535"/>
    <w:bookmarkEnd w:id="9535"/>
    <w:p>
      <w:pPr>
        <w:pStyle w:val="2"/>
        <w:jc w:val="center"/>
      </w:pPr>
      <w:r>
        <w:rPr>
          <w:sz w:val="20"/>
        </w:rPr>
        <w:t xml:space="preserve">Строительство объектов капитального строительства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4195"/>
        <w:gridCol w:w="1474"/>
        <w:gridCol w:w="1304"/>
        <w:gridCol w:w="1472"/>
      </w:tblGrid>
      <w:tr>
        <w:tc>
          <w:tcPr>
            <w:tcW w:w="623" w:type="dxa"/>
            <w:vMerge w:val="restart"/>
          </w:tcPr>
          <w:p>
            <w:pPr>
              <w:pStyle w:val="0"/>
              <w:jc w:val="center"/>
            </w:pPr>
            <w:r>
              <w:rPr>
                <w:sz w:val="20"/>
              </w:rPr>
              <w:t xml:space="preserve">N пп.</w:t>
            </w:r>
          </w:p>
        </w:tc>
        <w:tc>
          <w:tcPr>
            <w:tcW w:w="4195" w:type="dxa"/>
            <w:vMerge w:val="restart"/>
          </w:tcPr>
          <w:p>
            <w:pPr>
              <w:pStyle w:val="0"/>
              <w:jc w:val="center"/>
            </w:pPr>
            <w:r>
              <w:rPr>
                <w:sz w:val="20"/>
              </w:rPr>
              <w:t xml:space="preserve">Условия производства работ</w:t>
            </w:r>
          </w:p>
        </w:tc>
        <w:tc>
          <w:tcPr>
            <w:gridSpan w:val="3"/>
            <w:tcW w:w="4250" w:type="dxa"/>
          </w:tcPr>
          <w:p>
            <w:pPr>
              <w:pStyle w:val="0"/>
              <w:jc w:val="center"/>
            </w:pPr>
            <w:r>
              <w:rPr>
                <w:sz w:val="20"/>
              </w:rPr>
              <w:t xml:space="preserve">Коэффициенты</w:t>
            </w:r>
          </w:p>
        </w:tc>
      </w:tr>
      <w:tr>
        <w:tc>
          <w:tcPr>
            <w:vMerge w:val="continue"/>
          </w:tcPr>
          <w:p/>
        </w:tc>
        <w:tc>
          <w:tcPr>
            <w:vMerge w:val="continue"/>
          </w:tcPr>
          <w:p/>
        </w:tc>
        <w:tc>
          <w:tcPr>
            <w:tcW w:w="1474" w:type="dxa"/>
          </w:tcPr>
          <w:p>
            <w:pPr>
              <w:pStyle w:val="0"/>
              <w:jc w:val="center"/>
            </w:pPr>
            <w:r>
              <w:rPr>
                <w:sz w:val="20"/>
              </w:rPr>
              <w:t xml:space="preserve">ГЭСН (ФЕР, ТЕР) (кроме ГЭСН (ФЕР, ТЕР) 81-02-46-XXXX)</w:t>
            </w:r>
          </w:p>
        </w:tc>
        <w:tc>
          <w:tcPr>
            <w:tcW w:w="1304" w:type="dxa"/>
          </w:tcPr>
          <w:p>
            <w:pPr>
              <w:pStyle w:val="0"/>
              <w:jc w:val="center"/>
            </w:pPr>
            <w:r>
              <w:rPr>
                <w:sz w:val="20"/>
              </w:rPr>
              <w:t xml:space="preserve">ГЭСНм (ФЕРм, ТЕРм)</w:t>
            </w:r>
          </w:p>
        </w:tc>
        <w:tc>
          <w:tcPr>
            <w:tcW w:w="1472" w:type="dxa"/>
          </w:tcPr>
          <w:p>
            <w:pPr>
              <w:pStyle w:val="0"/>
              <w:jc w:val="center"/>
            </w:pPr>
            <w:r>
              <w:rPr>
                <w:sz w:val="20"/>
              </w:rPr>
              <w:t xml:space="preserve">ГЭСНр (ФЕРр, ТЕРр), ГЭСН (ФЕР, ТЕР) 81-02-46-XXXX</w:t>
            </w:r>
          </w:p>
        </w:tc>
      </w:tr>
      <w:tr>
        <w:tc>
          <w:tcPr>
            <w:tcW w:w="623" w:type="dxa"/>
          </w:tcPr>
          <w:p>
            <w:pPr>
              <w:pStyle w:val="0"/>
              <w:jc w:val="center"/>
            </w:pPr>
            <w:r>
              <w:rPr>
                <w:sz w:val="20"/>
              </w:rPr>
              <w:t xml:space="preserve">1</w:t>
            </w:r>
          </w:p>
        </w:tc>
        <w:tc>
          <w:tcPr>
            <w:tcW w:w="4195" w:type="dxa"/>
          </w:tcPr>
          <w:p>
            <w:pPr>
              <w:pStyle w:val="0"/>
              <w:jc w:val="center"/>
            </w:pPr>
            <w:r>
              <w:rPr>
                <w:sz w:val="20"/>
              </w:rPr>
              <w:t xml:space="preserve">2</w:t>
            </w:r>
          </w:p>
        </w:tc>
        <w:tc>
          <w:tcPr>
            <w:tcW w:w="1474" w:type="dxa"/>
          </w:tcPr>
          <w:p>
            <w:pPr>
              <w:pStyle w:val="0"/>
              <w:jc w:val="center"/>
            </w:pPr>
            <w:r>
              <w:rPr>
                <w:sz w:val="20"/>
              </w:rPr>
              <w:t xml:space="preserve">3</w:t>
            </w:r>
          </w:p>
        </w:tc>
        <w:tc>
          <w:tcPr>
            <w:tcW w:w="1304" w:type="dxa"/>
          </w:tcPr>
          <w:p>
            <w:pPr>
              <w:pStyle w:val="0"/>
              <w:jc w:val="center"/>
            </w:pPr>
            <w:r>
              <w:rPr>
                <w:sz w:val="20"/>
              </w:rPr>
              <w:t xml:space="preserve">4</w:t>
            </w:r>
          </w:p>
        </w:tc>
        <w:tc>
          <w:tcPr>
            <w:tcW w:w="1472" w:type="dxa"/>
          </w:tcPr>
          <w:p>
            <w:pPr>
              <w:pStyle w:val="0"/>
              <w:jc w:val="center"/>
            </w:pPr>
            <w:r>
              <w:rPr>
                <w:sz w:val="20"/>
              </w:rPr>
              <w:t xml:space="preserve">5</w:t>
            </w:r>
          </w:p>
        </w:tc>
      </w:tr>
      <w:tr>
        <w:tc>
          <w:tcPr>
            <w:tcW w:w="623" w:type="dxa"/>
          </w:tcPr>
          <w:p>
            <w:pPr>
              <w:pStyle w:val="0"/>
              <w:jc w:val="center"/>
            </w:pPr>
            <w:r>
              <w:rPr>
                <w:sz w:val="20"/>
              </w:rPr>
              <w:t xml:space="preserve">1</w:t>
            </w:r>
          </w:p>
        </w:tc>
        <w:tc>
          <w:tcPr>
            <w:tcW w:w="4195" w:type="dxa"/>
          </w:tcPr>
          <w:p>
            <w:pPr>
              <w:pStyle w:val="0"/>
              <w:jc w:val="both"/>
            </w:pPr>
            <w:r>
              <w:rPr>
                <w:sz w:val="20"/>
              </w:rPr>
              <w:t xml:space="preserve">Производство работ по возведению конструктивных элементов встраиваемых помещений внутри строящегося объекта капитального строительства (при возведенных несущих конструктивных элементах), что в соответствии с требованиями технической безопасности, приводит к ограничению действий рабочих по производству работ</w:t>
            </w:r>
          </w:p>
        </w:tc>
        <w:tc>
          <w:tcPr>
            <w:tcW w:w="1474" w:type="dxa"/>
          </w:tcPr>
          <w:p>
            <w:pPr>
              <w:pStyle w:val="0"/>
              <w:jc w:val="center"/>
            </w:pPr>
            <w:r>
              <w:rPr>
                <w:sz w:val="20"/>
              </w:rPr>
              <w:t xml:space="preserve">1,20</w:t>
            </w:r>
          </w:p>
        </w:tc>
        <w:tc>
          <w:tcPr>
            <w:tcW w:w="1304" w:type="dxa"/>
          </w:tcPr>
          <w:p>
            <w:pPr>
              <w:pStyle w:val="0"/>
              <w:jc w:val="center"/>
            </w:pPr>
            <w:r>
              <w:rPr>
                <w:sz w:val="20"/>
              </w:rPr>
              <w:t xml:space="preserve">1,20</w:t>
            </w:r>
          </w:p>
        </w:tc>
        <w:tc>
          <w:tcPr>
            <w:tcW w:w="1472" w:type="dxa"/>
          </w:tcPr>
          <w:p>
            <w:pPr>
              <w:pStyle w:val="0"/>
              <w:jc w:val="center"/>
            </w:pPr>
            <w:r>
              <w:rPr>
                <w:sz w:val="20"/>
              </w:rPr>
              <w:t xml:space="preserve">-</w:t>
            </w:r>
          </w:p>
        </w:tc>
      </w:tr>
      <w:tr>
        <w:tc>
          <w:tcPr>
            <w:tcW w:w="623" w:type="dxa"/>
          </w:tcPr>
          <w:bookmarkStart w:id="9553" w:name="P9553"/>
          <w:bookmarkEnd w:id="9553"/>
          <w:p>
            <w:pPr>
              <w:pStyle w:val="0"/>
              <w:jc w:val="center"/>
            </w:pPr>
            <w:r>
              <w:rPr>
                <w:sz w:val="20"/>
              </w:rPr>
              <w:t xml:space="preserve">2</w:t>
            </w:r>
          </w:p>
        </w:tc>
        <w:tc>
          <w:tcPr>
            <w:tcW w:w="4195" w:type="dxa"/>
          </w:tcPr>
          <w:p>
            <w:pPr>
              <w:pStyle w:val="0"/>
              <w:jc w:val="both"/>
            </w:pPr>
            <w:r>
              <w:rPr>
                <w:sz w:val="20"/>
              </w:rPr>
              <w:t xml:space="preserve">Производство работ осуществляется на территории предприятия с наличием в зоне производства работ одного или нескольких из перечисленных ниже факторов:</w:t>
            </w:r>
          </w:p>
          <w:p>
            <w:pPr>
              <w:pStyle w:val="0"/>
              <w:jc w:val="both"/>
            </w:pPr>
            <w:r>
              <w:rPr>
                <w:sz w:val="20"/>
              </w:rPr>
              <w:t xml:space="preserve">разветвленной сети транспортных и инженерных коммуникаций;</w:t>
            </w:r>
          </w:p>
          <w:p>
            <w:pPr>
              <w:pStyle w:val="0"/>
              <w:jc w:val="both"/>
            </w:pPr>
            <w:r>
              <w:rPr>
                <w:sz w:val="20"/>
              </w:rPr>
              <w:t xml:space="preserve">стесненных условий для складирования материалов;</w:t>
            </w:r>
          </w:p>
          <w:p>
            <w:pPr>
              <w:pStyle w:val="0"/>
              <w:jc w:val="both"/>
            </w:pPr>
            <w:r>
              <w:rPr>
                <w:sz w:val="20"/>
              </w:rPr>
              <w:t xml:space="preserve">действующего технологического оборудования;</w:t>
            </w:r>
          </w:p>
          <w:p>
            <w:pPr>
              <w:pStyle w:val="0"/>
              <w:jc w:val="both"/>
            </w:pPr>
            <w:r>
              <w:rPr>
                <w:sz w:val="20"/>
              </w:rPr>
              <w:t xml:space="preserve">движения технологического транспорта</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p>
            <w:pPr>
              <w:pStyle w:val="0"/>
              <w:jc w:val="center"/>
            </w:pPr>
            <w:r>
              <w:rPr>
                <w:sz w:val="20"/>
              </w:rPr>
              <w:t xml:space="preserve">3</w:t>
            </w:r>
          </w:p>
        </w:tc>
        <w:tc>
          <w:tcPr>
            <w:tcW w:w="4195" w:type="dxa"/>
          </w:tcPr>
          <w:p>
            <w:pPr>
              <w:pStyle w:val="0"/>
              <w:jc w:val="both"/>
            </w:pPr>
            <w:r>
              <w:rPr>
                <w:sz w:val="20"/>
              </w:rPr>
              <w:t xml:space="preserve">Производство работ осуществляется с вредными условиями труда, при этом:</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567" w:name="P9567"/>
          <w:bookmarkEnd w:id="9567"/>
          <w:p>
            <w:pPr>
              <w:pStyle w:val="0"/>
              <w:jc w:val="center"/>
            </w:pPr>
            <w:r>
              <w:rPr>
                <w:sz w:val="20"/>
              </w:rPr>
              <w:t xml:space="preserve">3.1</w:t>
            </w:r>
          </w:p>
        </w:tc>
        <w:tc>
          <w:tcPr>
            <w:tcW w:w="4195" w:type="dxa"/>
          </w:tcPr>
          <w:p>
            <w:pPr>
              <w:pStyle w:val="0"/>
            </w:pPr>
            <w:r>
              <w:rPr>
                <w:sz w:val="20"/>
              </w:rPr>
              <w:t xml:space="preserve">на предприятии, где работникам основного производства установлен сокращенный рабочий день, а рабочие имеют рабочий день нормальной продолжительности;</w:t>
            </w:r>
          </w:p>
        </w:tc>
        <w:tc>
          <w:tcPr>
            <w:tcW w:w="1474" w:type="dxa"/>
          </w:tcPr>
          <w:p>
            <w:pPr>
              <w:pStyle w:val="0"/>
              <w:jc w:val="center"/>
            </w:pPr>
            <w:r>
              <w:rPr>
                <w:sz w:val="20"/>
              </w:rPr>
              <w:t xml:space="preserve">1,1</w:t>
            </w:r>
          </w:p>
        </w:tc>
        <w:tc>
          <w:tcPr>
            <w:tcW w:w="1304" w:type="dxa"/>
          </w:tcPr>
          <w:p>
            <w:pPr>
              <w:pStyle w:val="0"/>
              <w:jc w:val="center"/>
            </w:pPr>
            <w:r>
              <w:rPr>
                <w:sz w:val="20"/>
              </w:rPr>
              <w:t xml:space="preserve">1,1</w:t>
            </w:r>
          </w:p>
        </w:tc>
        <w:tc>
          <w:tcPr>
            <w:tcW w:w="1472" w:type="dxa"/>
          </w:tcPr>
          <w:p>
            <w:pPr>
              <w:pStyle w:val="0"/>
              <w:jc w:val="center"/>
            </w:pPr>
            <w:r>
              <w:rPr>
                <w:sz w:val="20"/>
              </w:rPr>
              <w:t xml:space="preserve">1,1</w:t>
            </w:r>
          </w:p>
        </w:tc>
      </w:tr>
      <w:tr>
        <w:tc>
          <w:tcPr>
            <w:tcW w:w="623" w:type="dxa"/>
          </w:tcPr>
          <w:p>
            <w:pPr>
              <w:pStyle w:val="0"/>
              <w:jc w:val="center"/>
            </w:pPr>
            <w:r>
              <w:rPr>
                <w:sz w:val="20"/>
              </w:rPr>
              <w:t xml:space="preserve">3.2</w:t>
            </w:r>
          </w:p>
        </w:tc>
        <w:tc>
          <w:tcPr>
            <w:tcW w:w="4195" w:type="dxa"/>
          </w:tcPr>
          <w:p>
            <w:pPr>
              <w:pStyle w:val="0"/>
            </w:pPr>
            <w:r>
              <w:rPr>
                <w:sz w:val="20"/>
              </w:rPr>
              <w:t xml:space="preserve">на предприятии, где рабочие переведены на сокращенный рабочий день при 36-часовой рабочей неделе;</w:t>
            </w:r>
          </w:p>
        </w:tc>
        <w:tc>
          <w:tcPr>
            <w:tcW w:w="1474" w:type="dxa"/>
          </w:tcPr>
          <w:p>
            <w:pPr>
              <w:pStyle w:val="0"/>
              <w:jc w:val="center"/>
            </w:pPr>
            <w:r>
              <w:rPr>
                <w:sz w:val="20"/>
              </w:rPr>
              <w:t xml:space="preserve">1,3</w:t>
            </w:r>
          </w:p>
        </w:tc>
        <w:tc>
          <w:tcPr>
            <w:tcW w:w="1304" w:type="dxa"/>
          </w:tcPr>
          <w:p>
            <w:pPr>
              <w:pStyle w:val="0"/>
              <w:jc w:val="center"/>
            </w:pPr>
            <w:r>
              <w:rPr>
                <w:sz w:val="20"/>
              </w:rPr>
              <w:t xml:space="preserve">1,3</w:t>
            </w:r>
          </w:p>
        </w:tc>
        <w:tc>
          <w:tcPr>
            <w:tcW w:w="1472" w:type="dxa"/>
          </w:tcPr>
          <w:p>
            <w:pPr>
              <w:pStyle w:val="0"/>
              <w:jc w:val="center"/>
            </w:pPr>
            <w:r>
              <w:rPr>
                <w:sz w:val="20"/>
              </w:rPr>
              <w:t xml:space="preserve">1,3</w:t>
            </w:r>
          </w:p>
        </w:tc>
      </w:tr>
      <w:tr>
        <w:tc>
          <w:tcPr>
            <w:tcW w:w="623" w:type="dxa"/>
          </w:tcPr>
          <w:p>
            <w:pPr>
              <w:pStyle w:val="0"/>
              <w:jc w:val="center"/>
            </w:pPr>
            <w:r>
              <w:rPr>
                <w:sz w:val="20"/>
              </w:rPr>
              <w:t xml:space="preserve">3.3</w:t>
            </w:r>
          </w:p>
        </w:tc>
        <w:tc>
          <w:tcPr>
            <w:tcW w:w="4195" w:type="dxa"/>
          </w:tcPr>
          <w:p>
            <w:pPr>
              <w:pStyle w:val="0"/>
            </w:pPr>
            <w:r>
              <w:rPr>
                <w:sz w:val="20"/>
              </w:rPr>
              <w:t xml:space="preserve">на предприятии, где рабочие переведены на сокращенный рабочий день при 30-часовой рабочей неделе;</w:t>
            </w:r>
          </w:p>
        </w:tc>
        <w:tc>
          <w:tcPr>
            <w:tcW w:w="1474" w:type="dxa"/>
          </w:tcPr>
          <w:p>
            <w:pPr>
              <w:pStyle w:val="0"/>
              <w:jc w:val="center"/>
            </w:pPr>
            <w:r>
              <w:rPr>
                <w:sz w:val="20"/>
              </w:rPr>
              <w:t xml:space="preserve">1,5</w:t>
            </w:r>
          </w:p>
        </w:tc>
        <w:tc>
          <w:tcPr>
            <w:tcW w:w="1304" w:type="dxa"/>
          </w:tcPr>
          <w:p>
            <w:pPr>
              <w:pStyle w:val="0"/>
              <w:jc w:val="center"/>
            </w:pPr>
            <w:r>
              <w:rPr>
                <w:sz w:val="20"/>
              </w:rPr>
              <w:t xml:space="preserve">1,5</w:t>
            </w:r>
          </w:p>
        </w:tc>
        <w:tc>
          <w:tcPr>
            <w:tcW w:w="1472" w:type="dxa"/>
          </w:tcPr>
          <w:p>
            <w:pPr>
              <w:pStyle w:val="0"/>
              <w:jc w:val="center"/>
            </w:pPr>
            <w:r>
              <w:rPr>
                <w:sz w:val="20"/>
              </w:rPr>
              <w:t xml:space="preserve">1,5</w:t>
            </w:r>
          </w:p>
        </w:tc>
      </w:tr>
      <w:tr>
        <w:tc>
          <w:tcPr>
            <w:tcW w:w="623" w:type="dxa"/>
          </w:tcPr>
          <w:p>
            <w:pPr>
              <w:pStyle w:val="0"/>
              <w:jc w:val="center"/>
            </w:pPr>
            <w:r>
              <w:rPr>
                <w:sz w:val="20"/>
              </w:rPr>
              <w:t xml:space="preserve">3.4</w:t>
            </w:r>
          </w:p>
        </w:tc>
        <w:tc>
          <w:tcPr>
            <w:tcW w:w="4195" w:type="dxa"/>
          </w:tcPr>
          <w:p>
            <w:pPr>
              <w:pStyle w:val="0"/>
            </w:pPr>
            <w:r>
              <w:rPr>
                <w:sz w:val="20"/>
              </w:rPr>
              <w:t xml:space="preserve">на предприятии, где рабочие переведены на сокращенный рабочий день при 24-часовой рабочей неделе;</w:t>
            </w:r>
          </w:p>
        </w:tc>
        <w:tc>
          <w:tcPr>
            <w:tcW w:w="1474" w:type="dxa"/>
          </w:tcPr>
          <w:p>
            <w:pPr>
              <w:pStyle w:val="0"/>
              <w:jc w:val="center"/>
            </w:pPr>
            <w:r>
              <w:rPr>
                <w:sz w:val="20"/>
              </w:rPr>
              <w:t xml:space="preserve">1,7</w:t>
            </w:r>
          </w:p>
        </w:tc>
        <w:tc>
          <w:tcPr>
            <w:tcW w:w="1304" w:type="dxa"/>
          </w:tcPr>
          <w:p>
            <w:pPr>
              <w:pStyle w:val="0"/>
              <w:jc w:val="center"/>
            </w:pPr>
            <w:r>
              <w:rPr>
                <w:sz w:val="20"/>
              </w:rPr>
              <w:t xml:space="preserve">1,7</w:t>
            </w:r>
          </w:p>
        </w:tc>
        <w:tc>
          <w:tcPr>
            <w:tcW w:w="1472" w:type="dxa"/>
          </w:tcPr>
          <w:p>
            <w:pPr>
              <w:pStyle w:val="0"/>
              <w:jc w:val="center"/>
            </w:pPr>
            <w:r>
              <w:rPr>
                <w:sz w:val="20"/>
              </w:rPr>
              <w:t xml:space="preserve">1,7</w:t>
            </w:r>
          </w:p>
        </w:tc>
      </w:tr>
      <w:tr>
        <w:tc>
          <w:tcPr>
            <w:tcW w:w="623" w:type="dxa"/>
          </w:tcPr>
          <w:p>
            <w:pPr>
              <w:pStyle w:val="0"/>
              <w:jc w:val="center"/>
            </w:pPr>
            <w:r>
              <w:rPr>
                <w:sz w:val="20"/>
              </w:rPr>
              <w:t xml:space="preserve">3.5</w:t>
            </w:r>
          </w:p>
        </w:tc>
        <w:tc>
          <w:tcPr>
            <w:tcW w:w="4195" w:type="dxa"/>
          </w:tcPr>
          <w:p>
            <w:pPr>
              <w:pStyle w:val="0"/>
            </w:pPr>
            <w:r>
              <w:rPr>
                <w:sz w:val="20"/>
              </w:rPr>
              <w:t xml:space="preserve">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3500 до 4000 м над уровнем моря, при 30-часовой рабочей неделе;</w:t>
            </w:r>
          </w:p>
        </w:tc>
        <w:tc>
          <w:tcPr>
            <w:tcW w:w="1474" w:type="dxa"/>
          </w:tcPr>
          <w:p>
            <w:pPr>
              <w:pStyle w:val="0"/>
              <w:jc w:val="center"/>
            </w:pPr>
            <w:r>
              <w:rPr>
                <w:sz w:val="20"/>
              </w:rPr>
              <w:t xml:space="preserve">1,66</w:t>
            </w:r>
          </w:p>
        </w:tc>
        <w:tc>
          <w:tcPr>
            <w:tcW w:w="1304" w:type="dxa"/>
          </w:tcPr>
          <w:p>
            <w:pPr>
              <w:pStyle w:val="0"/>
              <w:jc w:val="center"/>
            </w:pPr>
            <w:r>
              <w:rPr>
                <w:sz w:val="20"/>
              </w:rPr>
              <w:t xml:space="preserve">1,66</w:t>
            </w:r>
          </w:p>
        </w:tc>
        <w:tc>
          <w:tcPr>
            <w:tcW w:w="1472" w:type="dxa"/>
          </w:tcPr>
          <w:p>
            <w:pPr>
              <w:pStyle w:val="0"/>
              <w:jc w:val="center"/>
            </w:pPr>
            <w:r>
              <w:rPr>
                <w:sz w:val="20"/>
              </w:rPr>
              <w:t xml:space="preserve">1,66</w:t>
            </w:r>
          </w:p>
        </w:tc>
      </w:tr>
      <w:tr>
        <w:tc>
          <w:tcPr>
            <w:tcW w:w="623" w:type="dxa"/>
          </w:tcPr>
          <w:bookmarkStart w:id="9592" w:name="P9592"/>
          <w:bookmarkEnd w:id="9592"/>
          <w:p>
            <w:pPr>
              <w:pStyle w:val="0"/>
              <w:jc w:val="center"/>
            </w:pPr>
            <w:r>
              <w:rPr>
                <w:sz w:val="20"/>
              </w:rPr>
              <w:t xml:space="preserve">3.6</w:t>
            </w:r>
          </w:p>
        </w:tc>
        <w:tc>
          <w:tcPr>
            <w:tcW w:w="4195" w:type="dxa"/>
          </w:tcPr>
          <w:p>
            <w:pPr>
              <w:pStyle w:val="0"/>
            </w:pPr>
            <w:r>
              <w:rPr>
                <w:sz w:val="20"/>
              </w:rPr>
              <w:t xml:space="preserve">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4000 до 4500 м над уровнем моря, при 30-часовой рабочей неделе</w:t>
            </w:r>
          </w:p>
        </w:tc>
        <w:tc>
          <w:tcPr>
            <w:tcW w:w="1474" w:type="dxa"/>
          </w:tcPr>
          <w:p>
            <w:pPr>
              <w:pStyle w:val="0"/>
              <w:jc w:val="center"/>
            </w:pPr>
            <w:r>
              <w:rPr>
                <w:sz w:val="20"/>
              </w:rPr>
              <w:t xml:space="preserve">1,74</w:t>
            </w:r>
          </w:p>
        </w:tc>
        <w:tc>
          <w:tcPr>
            <w:tcW w:w="1304" w:type="dxa"/>
          </w:tcPr>
          <w:p>
            <w:pPr>
              <w:pStyle w:val="0"/>
              <w:jc w:val="center"/>
            </w:pPr>
            <w:r>
              <w:rPr>
                <w:sz w:val="20"/>
              </w:rPr>
              <w:t xml:space="preserve">1,74</w:t>
            </w:r>
          </w:p>
        </w:tc>
        <w:tc>
          <w:tcPr>
            <w:tcW w:w="1472" w:type="dxa"/>
          </w:tcPr>
          <w:p>
            <w:pPr>
              <w:pStyle w:val="0"/>
              <w:jc w:val="center"/>
            </w:pPr>
            <w:r>
              <w:rPr>
                <w:sz w:val="20"/>
              </w:rPr>
              <w:t xml:space="preserve">1,74</w:t>
            </w:r>
          </w:p>
        </w:tc>
      </w:tr>
      <w:tr>
        <w:tc>
          <w:tcPr>
            <w:tcW w:w="623" w:type="dxa"/>
          </w:tcPr>
          <w:bookmarkStart w:id="9597" w:name="P9597"/>
          <w:bookmarkEnd w:id="9597"/>
          <w:p>
            <w:pPr>
              <w:pStyle w:val="0"/>
              <w:jc w:val="center"/>
            </w:pPr>
            <w:r>
              <w:rPr>
                <w:sz w:val="20"/>
              </w:rPr>
              <w:t xml:space="preserve">4</w:t>
            </w:r>
          </w:p>
        </w:tc>
        <w:tc>
          <w:tcPr>
            <w:tcW w:w="4195" w:type="dxa"/>
          </w:tcPr>
          <w:p>
            <w:pPr>
              <w:pStyle w:val="0"/>
              <w:jc w:val="both"/>
            </w:pPr>
            <w:r>
              <w:rPr>
                <w:sz w:val="20"/>
              </w:rPr>
              <w:t xml:space="preserve">Производство работ осуществляется в охранной зоне действующей воздушной линии электропередачи, вблизи объектов, находящихся под напряжением, внутри объектов капитального строительства,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474" w:type="dxa"/>
          </w:tcPr>
          <w:p>
            <w:pPr>
              <w:pStyle w:val="0"/>
              <w:jc w:val="center"/>
            </w:pPr>
            <w:r>
              <w:rPr>
                <w:sz w:val="20"/>
              </w:rPr>
              <w:t xml:space="preserve">1,20</w:t>
            </w:r>
          </w:p>
        </w:tc>
        <w:tc>
          <w:tcPr>
            <w:tcW w:w="1304" w:type="dxa"/>
          </w:tcPr>
          <w:p>
            <w:pPr>
              <w:pStyle w:val="0"/>
              <w:jc w:val="center"/>
            </w:pPr>
            <w:r>
              <w:rPr>
                <w:sz w:val="20"/>
              </w:rPr>
              <w:t xml:space="preserve">1,20</w:t>
            </w:r>
          </w:p>
        </w:tc>
        <w:tc>
          <w:tcPr>
            <w:tcW w:w="1472" w:type="dxa"/>
          </w:tcPr>
          <w:p>
            <w:pPr>
              <w:pStyle w:val="0"/>
              <w:jc w:val="center"/>
            </w:pPr>
            <w:r>
              <w:rPr>
                <w:sz w:val="20"/>
              </w:rPr>
              <w:t xml:space="preserve">1,20</w:t>
            </w:r>
          </w:p>
        </w:tc>
      </w:tr>
      <w:tr>
        <w:tc>
          <w:tcPr>
            <w:tcW w:w="623" w:type="dxa"/>
          </w:tcPr>
          <w:bookmarkStart w:id="9602" w:name="P9602"/>
          <w:bookmarkEnd w:id="9602"/>
          <w:p>
            <w:pPr>
              <w:pStyle w:val="0"/>
              <w:jc w:val="center"/>
            </w:pPr>
            <w:r>
              <w:rPr>
                <w:sz w:val="20"/>
              </w:rPr>
              <w:t xml:space="preserve">5</w:t>
            </w:r>
          </w:p>
        </w:tc>
        <w:tc>
          <w:tcPr>
            <w:tcW w:w="4195" w:type="dxa"/>
          </w:tcPr>
          <w:p>
            <w:pPr>
              <w:pStyle w:val="0"/>
              <w:jc w:val="both"/>
            </w:pPr>
            <w:r>
              <w:rPr>
                <w:sz w:val="20"/>
              </w:rPr>
              <w:t xml:space="preserve">Производство работ осуществляется в стесненных условиях населенных пунктов</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bookmarkStart w:id="9607" w:name="P9607"/>
          <w:bookmarkEnd w:id="9607"/>
          <w:p>
            <w:pPr>
              <w:pStyle w:val="0"/>
              <w:jc w:val="center"/>
            </w:pPr>
            <w:r>
              <w:rPr>
                <w:sz w:val="20"/>
              </w:rPr>
              <w:t xml:space="preserve">6</w:t>
            </w:r>
          </w:p>
        </w:tc>
        <w:tc>
          <w:tcPr>
            <w:tcW w:w="4195" w:type="dxa"/>
          </w:tcPr>
          <w:p>
            <w:pPr>
              <w:pStyle w:val="0"/>
              <w:jc w:val="both"/>
            </w:pPr>
            <w:r>
              <w:rPr>
                <w:sz w:val="20"/>
              </w:rPr>
              <w:t xml:space="preserve">Производство работ осуществляется в закрытых сооружениях или помещениях (за исключением шахт, рудников, метрополитенов, тоннелей и подземных сооружений специального назначения), верхняя отметка перекрытия которых находится ниже 3 м от поверхности земли</w:t>
            </w:r>
          </w:p>
        </w:tc>
        <w:tc>
          <w:tcPr>
            <w:tcW w:w="1474" w:type="dxa"/>
          </w:tcPr>
          <w:p>
            <w:pPr>
              <w:pStyle w:val="0"/>
              <w:jc w:val="center"/>
            </w:pPr>
            <w:r>
              <w:rPr>
                <w:sz w:val="20"/>
              </w:rPr>
              <w:t xml:space="preserve">1,1</w:t>
            </w:r>
          </w:p>
        </w:tc>
        <w:tc>
          <w:tcPr>
            <w:tcW w:w="1304" w:type="dxa"/>
          </w:tcPr>
          <w:p>
            <w:pPr>
              <w:pStyle w:val="0"/>
              <w:jc w:val="center"/>
            </w:pPr>
            <w:r>
              <w:rPr>
                <w:sz w:val="20"/>
              </w:rPr>
              <w:t xml:space="preserve">1,1</w:t>
            </w:r>
          </w:p>
        </w:tc>
        <w:tc>
          <w:tcPr>
            <w:tcW w:w="1472" w:type="dxa"/>
          </w:tcPr>
          <w:p>
            <w:pPr>
              <w:pStyle w:val="0"/>
              <w:jc w:val="center"/>
            </w:pPr>
            <w:r>
              <w:rPr>
                <w:sz w:val="20"/>
              </w:rPr>
              <w:t xml:space="preserve">1,1</w:t>
            </w:r>
          </w:p>
        </w:tc>
      </w:tr>
      <w:tr>
        <w:tc>
          <w:tcPr>
            <w:tcW w:w="623" w:type="dxa"/>
          </w:tcPr>
          <w:bookmarkStart w:id="9612" w:name="P9612"/>
          <w:bookmarkEnd w:id="9612"/>
          <w:p>
            <w:pPr>
              <w:pStyle w:val="0"/>
              <w:jc w:val="center"/>
            </w:pPr>
            <w:r>
              <w:rPr>
                <w:sz w:val="20"/>
              </w:rPr>
              <w:t xml:space="preserve">7</w:t>
            </w:r>
          </w:p>
        </w:tc>
        <w:tc>
          <w:tcPr>
            <w:tcW w:w="4195" w:type="dxa"/>
          </w:tcPr>
          <w:p>
            <w:pPr>
              <w:pStyle w:val="0"/>
              <w:jc w:val="both"/>
            </w:pPr>
            <w:r>
              <w:rPr>
                <w:sz w:val="20"/>
              </w:rPr>
              <w:t xml:space="preserve">Производство работ осуществляется в помещениях и иных ограниченных пространствах высотой до 1,8 м</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1,35</w:t>
            </w:r>
          </w:p>
        </w:tc>
      </w:tr>
      <w:tr>
        <w:tc>
          <w:tcPr>
            <w:tcW w:w="623" w:type="dxa"/>
          </w:tcPr>
          <w:p>
            <w:pPr>
              <w:pStyle w:val="0"/>
              <w:jc w:val="center"/>
            </w:pPr>
            <w:r>
              <w:rPr>
                <w:sz w:val="20"/>
              </w:rPr>
              <w:t xml:space="preserve">8</w:t>
            </w:r>
          </w:p>
        </w:tc>
        <w:tc>
          <w:tcPr>
            <w:tcW w:w="4195" w:type="dxa"/>
          </w:tcPr>
          <w:p>
            <w:pPr>
              <w:pStyle w:val="0"/>
              <w:jc w:val="both"/>
            </w:pPr>
            <w:r>
              <w:rPr>
                <w:sz w:val="20"/>
              </w:rPr>
              <w:t xml:space="preserve">Производство работ осуществляется в горной местности:</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622" w:name="P9622"/>
          <w:bookmarkEnd w:id="9622"/>
          <w:p>
            <w:pPr>
              <w:pStyle w:val="0"/>
              <w:jc w:val="center"/>
            </w:pPr>
            <w:r>
              <w:rPr>
                <w:sz w:val="20"/>
              </w:rPr>
              <w:t xml:space="preserve">8.1</w:t>
            </w:r>
          </w:p>
        </w:tc>
        <w:tc>
          <w:tcPr>
            <w:tcW w:w="4195" w:type="dxa"/>
          </w:tcPr>
          <w:p>
            <w:pPr>
              <w:pStyle w:val="0"/>
              <w:jc w:val="both"/>
            </w:pPr>
            <w:r>
              <w:rPr>
                <w:sz w:val="20"/>
              </w:rPr>
              <w:t xml:space="preserve">на высоте свыше 1500 до 2500 м над уровнем моря;</w:t>
            </w:r>
          </w:p>
        </w:tc>
        <w:tc>
          <w:tcPr>
            <w:tcW w:w="1474" w:type="dxa"/>
          </w:tcPr>
          <w:p>
            <w:pPr>
              <w:pStyle w:val="0"/>
              <w:jc w:val="center"/>
            </w:pPr>
            <w:r>
              <w:rPr>
                <w:sz w:val="20"/>
              </w:rPr>
              <w:t xml:space="preserve">1,25</w:t>
            </w:r>
          </w:p>
        </w:tc>
        <w:tc>
          <w:tcPr>
            <w:tcW w:w="1304" w:type="dxa"/>
          </w:tcPr>
          <w:p>
            <w:pPr>
              <w:pStyle w:val="0"/>
              <w:jc w:val="center"/>
            </w:pPr>
            <w:r>
              <w:rPr>
                <w:sz w:val="20"/>
              </w:rPr>
              <w:t xml:space="preserve">1,25</w:t>
            </w:r>
          </w:p>
        </w:tc>
        <w:tc>
          <w:tcPr>
            <w:tcW w:w="1472" w:type="dxa"/>
          </w:tcPr>
          <w:p>
            <w:pPr>
              <w:pStyle w:val="0"/>
              <w:jc w:val="center"/>
            </w:pPr>
            <w:r>
              <w:rPr>
                <w:sz w:val="20"/>
              </w:rPr>
              <w:t xml:space="preserve">1,25</w:t>
            </w:r>
          </w:p>
        </w:tc>
      </w:tr>
      <w:tr>
        <w:tc>
          <w:tcPr>
            <w:tcW w:w="623" w:type="dxa"/>
          </w:tcPr>
          <w:bookmarkStart w:id="9627" w:name="P9627"/>
          <w:bookmarkEnd w:id="9627"/>
          <w:p>
            <w:pPr>
              <w:pStyle w:val="0"/>
              <w:jc w:val="center"/>
            </w:pPr>
            <w:r>
              <w:rPr>
                <w:sz w:val="20"/>
              </w:rPr>
              <w:t xml:space="preserve">8.2</w:t>
            </w:r>
          </w:p>
        </w:tc>
        <w:tc>
          <w:tcPr>
            <w:tcW w:w="4195" w:type="dxa"/>
          </w:tcPr>
          <w:p>
            <w:pPr>
              <w:pStyle w:val="0"/>
              <w:jc w:val="both"/>
            </w:pPr>
            <w:r>
              <w:rPr>
                <w:sz w:val="20"/>
              </w:rPr>
              <w:t xml:space="preserve">на высоте свыше 2500 до 3000 м над уровнем моря;</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1,35</w:t>
            </w:r>
          </w:p>
        </w:tc>
      </w:tr>
      <w:tr>
        <w:tc>
          <w:tcPr>
            <w:tcW w:w="623" w:type="dxa"/>
          </w:tcPr>
          <w:bookmarkStart w:id="9632" w:name="P9632"/>
          <w:bookmarkEnd w:id="9632"/>
          <w:p>
            <w:pPr>
              <w:pStyle w:val="0"/>
              <w:jc w:val="center"/>
            </w:pPr>
            <w:r>
              <w:rPr>
                <w:sz w:val="20"/>
              </w:rPr>
              <w:t xml:space="preserve">8.3</w:t>
            </w:r>
          </w:p>
        </w:tc>
        <w:tc>
          <w:tcPr>
            <w:tcW w:w="4195" w:type="dxa"/>
          </w:tcPr>
          <w:p>
            <w:pPr>
              <w:pStyle w:val="0"/>
              <w:jc w:val="both"/>
            </w:pPr>
            <w:r>
              <w:rPr>
                <w:sz w:val="20"/>
              </w:rPr>
              <w:t xml:space="preserve">на высоте свыше 3000 над уровнем моря</w:t>
            </w:r>
          </w:p>
        </w:tc>
        <w:tc>
          <w:tcPr>
            <w:tcW w:w="1474" w:type="dxa"/>
          </w:tcPr>
          <w:p>
            <w:pPr>
              <w:pStyle w:val="0"/>
              <w:jc w:val="center"/>
            </w:pPr>
            <w:r>
              <w:rPr>
                <w:sz w:val="20"/>
              </w:rPr>
              <w:t xml:space="preserve">1,5</w:t>
            </w:r>
          </w:p>
        </w:tc>
        <w:tc>
          <w:tcPr>
            <w:tcW w:w="1304" w:type="dxa"/>
          </w:tcPr>
          <w:p>
            <w:pPr>
              <w:pStyle w:val="0"/>
              <w:jc w:val="center"/>
            </w:pPr>
            <w:r>
              <w:rPr>
                <w:sz w:val="20"/>
              </w:rPr>
              <w:t xml:space="preserve">1,5</w:t>
            </w:r>
          </w:p>
        </w:tc>
        <w:tc>
          <w:tcPr>
            <w:tcW w:w="1472" w:type="dxa"/>
          </w:tcPr>
          <w:p>
            <w:pPr>
              <w:pStyle w:val="0"/>
              <w:jc w:val="center"/>
            </w:pPr>
            <w:r>
              <w:rPr>
                <w:sz w:val="20"/>
              </w:rPr>
              <w:t xml:space="preserve">1,5</w:t>
            </w:r>
          </w:p>
        </w:tc>
      </w:tr>
      <w:tr>
        <w:tc>
          <w:tcPr>
            <w:tcW w:w="623" w:type="dxa"/>
          </w:tcPr>
          <w:bookmarkStart w:id="9637" w:name="P9637"/>
          <w:bookmarkEnd w:id="9637"/>
          <w:p>
            <w:pPr>
              <w:pStyle w:val="0"/>
              <w:jc w:val="center"/>
            </w:pPr>
            <w:r>
              <w:rPr>
                <w:sz w:val="20"/>
              </w:rPr>
              <w:t xml:space="preserve">9</w:t>
            </w:r>
          </w:p>
        </w:tc>
        <w:tc>
          <w:tcPr>
            <w:tcW w:w="4195" w:type="dxa"/>
          </w:tcPr>
          <w:p>
            <w:pPr>
              <w:pStyle w:val="0"/>
              <w:jc w:val="both"/>
            </w:pPr>
            <w:r>
              <w:rPr>
                <w:sz w:val="20"/>
              </w:rPr>
              <w:t xml:space="preserve">Производство работ осуществляется на склонах гор с сохранением природного ландшафта</w:t>
            </w:r>
          </w:p>
        </w:tc>
        <w:tc>
          <w:tcPr>
            <w:tcW w:w="1474" w:type="dxa"/>
          </w:tcPr>
          <w:p>
            <w:pPr>
              <w:pStyle w:val="0"/>
              <w:jc w:val="center"/>
            </w:pPr>
            <w:r>
              <w:rPr>
                <w:sz w:val="20"/>
              </w:rPr>
              <w:t xml:space="preserve">1,2</w:t>
            </w:r>
          </w:p>
        </w:tc>
        <w:tc>
          <w:tcPr>
            <w:tcW w:w="1304" w:type="dxa"/>
          </w:tcPr>
          <w:p>
            <w:pPr>
              <w:pStyle w:val="0"/>
              <w:jc w:val="center"/>
            </w:pPr>
            <w:r>
              <w:rPr>
                <w:sz w:val="20"/>
              </w:rPr>
              <w:t xml:space="preserve">1,2</w:t>
            </w:r>
          </w:p>
        </w:tc>
        <w:tc>
          <w:tcPr>
            <w:tcW w:w="1472" w:type="dxa"/>
          </w:tcPr>
          <w:p>
            <w:pPr>
              <w:pStyle w:val="0"/>
              <w:jc w:val="center"/>
            </w:pPr>
            <w:r>
              <w:rPr>
                <w:sz w:val="20"/>
              </w:rPr>
              <w:t xml:space="preserve">1,2</w:t>
            </w:r>
          </w:p>
        </w:tc>
      </w:tr>
      <w:tr>
        <w:tc>
          <w:tcPr>
            <w:tcW w:w="623" w:type="dxa"/>
          </w:tcPr>
          <w:p>
            <w:pPr>
              <w:pStyle w:val="0"/>
              <w:jc w:val="center"/>
            </w:pPr>
            <w:r>
              <w:rPr>
                <w:sz w:val="20"/>
              </w:rPr>
              <w:t xml:space="preserve">10</w:t>
            </w:r>
          </w:p>
        </w:tc>
        <w:tc>
          <w:tcPr>
            <w:tcW w:w="4195" w:type="dxa"/>
          </w:tcPr>
          <w:p>
            <w:pPr>
              <w:pStyle w:val="0"/>
              <w:jc w:val="both"/>
            </w:pPr>
            <w:r>
              <w:rPr>
                <w:sz w:val="20"/>
              </w:rPr>
              <w:t xml:space="preserve">Производство работ при строительстве шахт, рудников, метрополитенов, тоннелей и других подземных сооружений специального назначения</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647" w:name="P9647"/>
          <w:bookmarkEnd w:id="9647"/>
          <w:p>
            <w:pPr>
              <w:pStyle w:val="0"/>
              <w:jc w:val="center"/>
            </w:pPr>
            <w:r>
              <w:rPr>
                <w:sz w:val="20"/>
              </w:rPr>
              <w:t xml:space="preserve">10.1</w:t>
            </w:r>
          </w:p>
        </w:tc>
        <w:tc>
          <w:tcPr>
            <w:tcW w:w="4195" w:type="dxa"/>
          </w:tcPr>
          <w:p>
            <w:pPr>
              <w:pStyle w:val="0"/>
              <w:jc w:val="both"/>
            </w:pPr>
            <w:r>
              <w:rPr>
                <w:sz w:val="20"/>
              </w:rPr>
              <w:t xml:space="preserve">для работ, выполняемых на поверхности</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bookmarkStart w:id="9652" w:name="P9652"/>
          <w:bookmarkEnd w:id="9652"/>
          <w:p>
            <w:pPr>
              <w:pStyle w:val="0"/>
              <w:jc w:val="center"/>
            </w:pPr>
            <w:r>
              <w:rPr>
                <w:sz w:val="20"/>
              </w:rPr>
              <w:t xml:space="preserve">10.2</w:t>
            </w:r>
          </w:p>
        </w:tc>
        <w:tc>
          <w:tcPr>
            <w:tcW w:w="4195" w:type="dxa"/>
          </w:tcPr>
          <w:p>
            <w:pPr>
              <w:pStyle w:val="0"/>
              <w:jc w:val="both"/>
            </w:pPr>
            <w:r>
              <w:rPr>
                <w:sz w:val="20"/>
              </w:rPr>
              <w:t xml:space="preserve">при открытом способе производства работ (включая путевые работы на поверхности)</w:t>
            </w:r>
          </w:p>
        </w:tc>
        <w:tc>
          <w:tcPr>
            <w:tcW w:w="1474" w:type="dxa"/>
          </w:tcPr>
          <w:p>
            <w:pPr>
              <w:pStyle w:val="0"/>
              <w:jc w:val="center"/>
            </w:pPr>
            <w:r>
              <w:rPr>
                <w:sz w:val="20"/>
              </w:rPr>
              <w:t xml:space="preserve">1,25</w:t>
            </w:r>
          </w:p>
        </w:tc>
        <w:tc>
          <w:tcPr>
            <w:tcW w:w="1304" w:type="dxa"/>
          </w:tcPr>
          <w:p>
            <w:pPr>
              <w:pStyle w:val="0"/>
              <w:jc w:val="center"/>
            </w:pPr>
            <w:r>
              <w:rPr>
                <w:sz w:val="20"/>
              </w:rPr>
              <w:t xml:space="preserve">1,25</w:t>
            </w:r>
          </w:p>
        </w:tc>
        <w:tc>
          <w:tcPr>
            <w:tcW w:w="1472" w:type="dxa"/>
          </w:tcPr>
          <w:p>
            <w:pPr>
              <w:pStyle w:val="0"/>
              <w:jc w:val="center"/>
            </w:pPr>
            <w:r>
              <w:rPr>
                <w:sz w:val="20"/>
              </w:rPr>
              <w:t xml:space="preserve">1,25</w:t>
            </w:r>
          </w:p>
        </w:tc>
      </w:tr>
      <w:tr>
        <w:tc>
          <w:tcPr>
            <w:tcW w:w="623" w:type="dxa"/>
          </w:tcPr>
          <w:bookmarkStart w:id="9657" w:name="P9657"/>
          <w:bookmarkEnd w:id="9657"/>
          <w:p>
            <w:pPr>
              <w:pStyle w:val="0"/>
              <w:jc w:val="center"/>
            </w:pPr>
            <w:r>
              <w:rPr>
                <w:sz w:val="20"/>
              </w:rPr>
              <w:t xml:space="preserve">10.3</w:t>
            </w:r>
          </w:p>
        </w:tc>
        <w:tc>
          <w:tcPr>
            <w:tcW w:w="4195" w:type="dxa"/>
          </w:tcPr>
          <w:p>
            <w:pPr>
              <w:pStyle w:val="0"/>
              <w:jc w:val="both"/>
            </w:pPr>
            <w:r>
              <w:rPr>
                <w:sz w:val="20"/>
              </w:rPr>
              <w:t xml:space="preserve">для работ, выполняемых в подземных условиях</w:t>
            </w:r>
          </w:p>
        </w:tc>
        <w:tc>
          <w:tcPr>
            <w:tcW w:w="1474" w:type="dxa"/>
          </w:tcPr>
          <w:p>
            <w:pPr>
              <w:pStyle w:val="0"/>
              <w:jc w:val="center"/>
            </w:pPr>
            <w:r>
              <w:rPr>
                <w:sz w:val="20"/>
              </w:rPr>
              <w:t xml:space="preserve">1,68</w:t>
            </w:r>
          </w:p>
        </w:tc>
        <w:tc>
          <w:tcPr>
            <w:tcW w:w="1304" w:type="dxa"/>
          </w:tcPr>
          <w:p>
            <w:pPr>
              <w:pStyle w:val="0"/>
              <w:jc w:val="center"/>
            </w:pPr>
            <w:r>
              <w:rPr>
                <w:sz w:val="20"/>
              </w:rPr>
              <w:t xml:space="preserve">1,68</w:t>
            </w:r>
          </w:p>
        </w:tc>
        <w:tc>
          <w:tcPr>
            <w:tcW w:w="1472" w:type="dxa"/>
          </w:tcPr>
          <w:p>
            <w:pPr>
              <w:pStyle w:val="0"/>
              <w:jc w:val="center"/>
            </w:pPr>
            <w:r>
              <w:rPr>
                <w:sz w:val="20"/>
              </w:rPr>
              <w:t xml:space="preserve">1,48</w:t>
            </w:r>
          </w:p>
        </w:tc>
      </w:tr>
      <w:tr>
        <w:tc>
          <w:tcPr>
            <w:tcW w:w="623" w:type="dxa"/>
          </w:tcPr>
          <w:p>
            <w:pPr>
              <w:pStyle w:val="0"/>
              <w:jc w:val="center"/>
            </w:pPr>
            <w:r>
              <w:rPr>
                <w:sz w:val="20"/>
              </w:rPr>
              <w:t xml:space="preserve">11</w:t>
            </w:r>
          </w:p>
        </w:tc>
        <w:tc>
          <w:tcPr>
            <w:tcW w:w="4195" w:type="dxa"/>
          </w:tcPr>
          <w:p>
            <w:pPr>
              <w:pStyle w:val="0"/>
              <w:jc w:val="both"/>
            </w:pPr>
            <w:r>
              <w:rPr>
                <w:sz w:val="20"/>
              </w:rPr>
              <w:t xml:space="preserve">Производство работ осуществляется в эксплуатируемых тоннелях метрополитенов в ночное время "в окно":</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667" w:name="P9667"/>
          <w:bookmarkEnd w:id="9667"/>
          <w:p>
            <w:pPr>
              <w:pStyle w:val="0"/>
              <w:jc w:val="center"/>
            </w:pPr>
            <w:r>
              <w:rPr>
                <w:sz w:val="20"/>
              </w:rPr>
              <w:t xml:space="preserve">11.1</w:t>
            </w:r>
          </w:p>
        </w:tc>
        <w:tc>
          <w:tcPr>
            <w:tcW w:w="4195" w:type="dxa"/>
          </w:tcPr>
          <w:p>
            <w:pPr>
              <w:pStyle w:val="0"/>
              <w:jc w:val="both"/>
            </w:pPr>
            <w:r>
              <w:rPr>
                <w:sz w:val="20"/>
              </w:rPr>
              <w:t xml:space="preserve">при выполнении рабочими в течение рабочей смены только работ, связанных с "окном";</w:t>
            </w:r>
          </w:p>
        </w:tc>
        <w:tc>
          <w:tcPr>
            <w:tcW w:w="1474" w:type="dxa"/>
          </w:tcPr>
          <w:p>
            <w:pPr>
              <w:pStyle w:val="0"/>
              <w:jc w:val="center"/>
            </w:pPr>
            <w:r>
              <w:rPr>
                <w:sz w:val="20"/>
              </w:rPr>
              <w:t xml:space="preserve">3,00</w:t>
            </w:r>
          </w:p>
        </w:tc>
        <w:tc>
          <w:tcPr>
            <w:tcW w:w="1304" w:type="dxa"/>
          </w:tcPr>
          <w:p>
            <w:pPr>
              <w:pStyle w:val="0"/>
              <w:jc w:val="center"/>
            </w:pPr>
            <w:r>
              <w:rPr>
                <w:sz w:val="20"/>
              </w:rPr>
              <w:t xml:space="preserve">3,00</w:t>
            </w:r>
          </w:p>
        </w:tc>
        <w:tc>
          <w:tcPr>
            <w:tcW w:w="1472" w:type="dxa"/>
          </w:tcPr>
          <w:p>
            <w:pPr>
              <w:pStyle w:val="0"/>
              <w:jc w:val="center"/>
            </w:pPr>
            <w:r>
              <w:rPr>
                <w:sz w:val="20"/>
              </w:rPr>
              <w:t xml:space="preserve">2,80</w:t>
            </w:r>
          </w:p>
        </w:tc>
      </w:tr>
      <w:tr>
        <w:tc>
          <w:tcPr>
            <w:tcW w:w="623" w:type="dxa"/>
          </w:tcPr>
          <w:bookmarkStart w:id="9672" w:name="P9672"/>
          <w:bookmarkEnd w:id="9672"/>
          <w:p>
            <w:pPr>
              <w:pStyle w:val="0"/>
              <w:jc w:val="center"/>
            </w:pPr>
            <w:r>
              <w:rPr>
                <w:sz w:val="20"/>
              </w:rPr>
              <w:t xml:space="preserve">11.2</w:t>
            </w:r>
          </w:p>
        </w:tc>
        <w:tc>
          <w:tcPr>
            <w:tcW w:w="4195" w:type="dxa"/>
          </w:tcPr>
          <w:p>
            <w:pPr>
              <w:pStyle w:val="0"/>
              <w:jc w:val="both"/>
            </w:pPr>
            <w:r>
              <w:rPr>
                <w:sz w:val="20"/>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w="1474" w:type="dxa"/>
          </w:tcPr>
          <w:p>
            <w:pPr>
              <w:pStyle w:val="0"/>
              <w:jc w:val="center"/>
            </w:pPr>
            <w:r>
              <w:rPr>
                <w:sz w:val="20"/>
              </w:rPr>
              <w:t xml:space="preserve">2,00</w:t>
            </w:r>
          </w:p>
        </w:tc>
        <w:tc>
          <w:tcPr>
            <w:tcW w:w="1304" w:type="dxa"/>
          </w:tcPr>
          <w:p>
            <w:pPr>
              <w:pStyle w:val="0"/>
              <w:jc w:val="center"/>
            </w:pPr>
            <w:r>
              <w:rPr>
                <w:sz w:val="20"/>
              </w:rPr>
              <w:t xml:space="preserve">2,00</w:t>
            </w:r>
          </w:p>
        </w:tc>
        <w:tc>
          <w:tcPr>
            <w:tcW w:w="1472" w:type="dxa"/>
          </w:tcPr>
          <w:p>
            <w:pPr>
              <w:pStyle w:val="0"/>
              <w:jc w:val="center"/>
            </w:pPr>
            <w:r>
              <w:rPr>
                <w:sz w:val="20"/>
              </w:rPr>
              <w:t xml:space="preserve">1,80</w:t>
            </w:r>
          </w:p>
        </w:tc>
      </w:tr>
      <w:tr>
        <w:tc>
          <w:tcPr>
            <w:tcW w:w="623" w:type="dxa"/>
          </w:tcPr>
          <w:bookmarkStart w:id="9677" w:name="P9677"/>
          <w:bookmarkEnd w:id="9677"/>
          <w:p>
            <w:pPr>
              <w:pStyle w:val="0"/>
              <w:jc w:val="center"/>
            </w:pPr>
            <w:r>
              <w:rPr>
                <w:sz w:val="20"/>
              </w:rPr>
              <w:t xml:space="preserve">12</w:t>
            </w:r>
          </w:p>
        </w:tc>
        <w:tc>
          <w:tcPr>
            <w:tcW w:w="4195" w:type="dxa"/>
          </w:tcPr>
          <w:p>
            <w:pPr>
              <w:pStyle w:val="0"/>
              <w:jc w:val="both"/>
            </w:pPr>
            <w:r>
              <w:rPr>
                <w:sz w:val="20"/>
              </w:rPr>
              <w:t xml:space="preserve">Производство работ на предприятиях, где в силу режима секретности и (или) внутриобъектного режима применяются специальный допуск, специальный пропуск и другие ограничения для рабочих</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bl>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1.1. Коэффициенты, приведенные в </w:t>
      </w:r>
      <w:hyperlink w:history="0" w:anchor="P9535" w:tooltip="Строительство объектов капитального строительства">
        <w:r>
          <w:rPr>
            <w:sz w:val="20"/>
            <w:color w:val="0000ff"/>
          </w:rPr>
          <w:t xml:space="preserve">таблице 1</w:t>
        </w:r>
      </w:hyperlink>
      <w:r>
        <w:rPr>
          <w:sz w:val="20"/>
        </w:rPr>
        <w:t xml:space="preserve"> (за исключением указанных в </w:t>
      </w:r>
      <w:hyperlink w:history="0" w:anchor="P9567" w:tooltip="3.1">
        <w:r>
          <w:rPr>
            <w:sz w:val="20"/>
            <w:color w:val="0000ff"/>
          </w:rPr>
          <w:t xml:space="preserve">пунктах 3.1</w:t>
        </w:r>
      </w:hyperlink>
      <w:r>
        <w:rPr>
          <w:sz w:val="20"/>
        </w:rPr>
        <w:t xml:space="preserve"> - </w:t>
      </w:r>
      <w:hyperlink w:history="0" w:anchor="P9592" w:tooltip="3.6">
        <w:r>
          <w:rPr>
            <w:sz w:val="20"/>
            <w:color w:val="0000ff"/>
          </w:rPr>
          <w:t xml:space="preserve">3.6</w:t>
        </w:r>
      </w:hyperlink>
      <w:r>
        <w:rPr>
          <w:sz w:val="20"/>
        </w:rPr>
        <w:t xml:space="preserve">, </w:t>
      </w:r>
      <w:hyperlink w:history="0" w:anchor="P9647" w:tooltip="10.1">
        <w:r>
          <w:rPr>
            <w:sz w:val="20"/>
            <w:color w:val="0000ff"/>
          </w:rPr>
          <w:t xml:space="preserve">10.1</w:t>
        </w:r>
      </w:hyperlink>
      <w:r>
        <w:rPr>
          <w:sz w:val="20"/>
        </w:rPr>
        <w:t xml:space="preserve">, </w:t>
      </w:r>
      <w:hyperlink w:history="0" w:anchor="P9652" w:tooltip="10.2">
        <w:r>
          <w:rPr>
            <w:sz w:val="20"/>
            <w:color w:val="0000ff"/>
          </w:rPr>
          <w:t xml:space="preserve">10.2</w:t>
        </w:r>
      </w:hyperlink>
      <w:r>
        <w:rPr>
          <w:sz w:val="20"/>
        </w:rPr>
        <w:t xml:space="preserve">, </w:t>
      </w:r>
      <w:hyperlink w:history="0" w:anchor="P9657" w:tooltip="10.3">
        <w:r>
          <w:rPr>
            <w:sz w:val="20"/>
            <w:color w:val="0000ff"/>
          </w:rPr>
          <w:t xml:space="preserve">10.3</w:t>
        </w:r>
      </w:hyperlink>
      <w:r>
        <w:rPr>
          <w:sz w:val="20"/>
        </w:rPr>
        <w:t xml:space="preserve">, </w:t>
      </w:r>
      <w:hyperlink w:history="0" w:anchor="P9667" w:tooltip="11.1">
        <w:r>
          <w:rPr>
            <w:sz w:val="20"/>
            <w:color w:val="0000ff"/>
          </w:rPr>
          <w:t xml:space="preserve">11.1</w:t>
        </w:r>
      </w:hyperlink>
      <w:r>
        <w:rPr>
          <w:sz w:val="20"/>
        </w:rPr>
        <w:t xml:space="preserve"> и </w:t>
      </w:r>
      <w:hyperlink w:history="0" w:anchor="P9672" w:tooltip="11.2">
        <w:r>
          <w:rPr>
            <w:sz w:val="20"/>
            <w:color w:val="0000ff"/>
          </w:rPr>
          <w:t xml:space="preserve">11.2</w:t>
        </w:r>
      </w:hyperlink>
      <w:r>
        <w:rPr>
          <w:sz w:val="20"/>
        </w:rPr>
        <w:t xml:space="preserve">) применяются:</w:t>
      </w:r>
    </w:p>
    <w:p>
      <w:pPr>
        <w:pStyle w:val="0"/>
        <w:spacing w:before="200" w:line-rule="auto"/>
        <w:ind w:firstLine="540"/>
        <w:jc w:val="both"/>
      </w:pPr>
      <w:r>
        <w:rPr>
          <w:sz w:val="20"/>
        </w:rPr>
        <w:t xml:space="preserve">а) при определении сметной стоимости строительства базисно-индексным методом - к показателям оплаты труда рабочих, затратам труда рабочих, стоимости эксплуатации машин и механизмов, в том числе оплате труда и затратам труда машинистов;</w:t>
      </w:r>
    </w:p>
    <w:p>
      <w:pPr>
        <w:pStyle w:val="0"/>
        <w:spacing w:before="200" w:line-rule="auto"/>
        <w:ind w:firstLine="540"/>
        <w:jc w:val="both"/>
      </w:pPr>
      <w:r>
        <w:rPr>
          <w:sz w:val="20"/>
        </w:rPr>
        <w:t xml:space="preserve">б) при определении сметной стоимости строительства ресурсно-индексным и ресурсным методами - к затратам труда рабочих, времени эксплуатации машин и механизмов и затратам труда машинистов.</w:t>
      </w:r>
    </w:p>
    <w:p>
      <w:pPr>
        <w:pStyle w:val="0"/>
        <w:spacing w:before="200" w:line-rule="auto"/>
        <w:ind w:firstLine="540"/>
        <w:jc w:val="both"/>
      </w:pPr>
      <w:r>
        <w:rPr>
          <w:sz w:val="20"/>
        </w:rPr>
        <w:t xml:space="preserve">Коэффициенты, указанные в </w:t>
      </w:r>
      <w:hyperlink w:history="0" w:anchor="P9567" w:tooltip="3.1">
        <w:r>
          <w:rPr>
            <w:sz w:val="20"/>
            <w:color w:val="0000ff"/>
          </w:rPr>
          <w:t xml:space="preserve">пунктах 3.1</w:t>
        </w:r>
      </w:hyperlink>
      <w:r>
        <w:rPr>
          <w:sz w:val="20"/>
        </w:rPr>
        <w:t xml:space="preserve"> - </w:t>
      </w:r>
      <w:hyperlink w:history="0" w:anchor="P9592" w:tooltip="3.6">
        <w:r>
          <w:rPr>
            <w:sz w:val="20"/>
            <w:color w:val="0000ff"/>
          </w:rPr>
          <w:t xml:space="preserve">3.6</w:t>
        </w:r>
      </w:hyperlink>
      <w:r>
        <w:rPr>
          <w:sz w:val="20"/>
        </w:rPr>
        <w:t xml:space="preserve">, </w:t>
      </w:r>
      <w:hyperlink w:history="0" w:anchor="P9647" w:tooltip="10.1">
        <w:r>
          <w:rPr>
            <w:sz w:val="20"/>
            <w:color w:val="0000ff"/>
          </w:rPr>
          <w:t xml:space="preserve">10.1</w:t>
        </w:r>
      </w:hyperlink>
      <w:r>
        <w:rPr>
          <w:sz w:val="20"/>
        </w:rPr>
        <w:t xml:space="preserve">, </w:t>
      </w:r>
      <w:hyperlink w:history="0" w:anchor="P9652" w:tooltip="10.2">
        <w:r>
          <w:rPr>
            <w:sz w:val="20"/>
            <w:color w:val="0000ff"/>
          </w:rPr>
          <w:t xml:space="preserve">10.2</w:t>
        </w:r>
      </w:hyperlink>
      <w:r>
        <w:rPr>
          <w:sz w:val="20"/>
        </w:rPr>
        <w:t xml:space="preserve">, </w:t>
      </w:r>
      <w:hyperlink w:history="0" w:anchor="P9657" w:tooltip="10.3">
        <w:r>
          <w:rPr>
            <w:sz w:val="20"/>
            <w:color w:val="0000ff"/>
          </w:rPr>
          <w:t xml:space="preserve">10.3</w:t>
        </w:r>
      </w:hyperlink>
      <w:r>
        <w:rPr>
          <w:sz w:val="20"/>
        </w:rPr>
        <w:t xml:space="preserve">, </w:t>
      </w:r>
      <w:hyperlink w:history="0" w:anchor="P9667" w:tooltip="11.1">
        <w:r>
          <w:rPr>
            <w:sz w:val="20"/>
            <w:color w:val="0000ff"/>
          </w:rPr>
          <w:t xml:space="preserve">11.1</w:t>
        </w:r>
      </w:hyperlink>
      <w:r>
        <w:rPr>
          <w:sz w:val="20"/>
        </w:rPr>
        <w:t xml:space="preserve"> и </w:t>
      </w:r>
      <w:hyperlink w:history="0" w:anchor="P9672" w:tooltip="11.2">
        <w:r>
          <w:rPr>
            <w:sz w:val="20"/>
            <w:color w:val="0000ff"/>
          </w:rPr>
          <w:t xml:space="preserve">11.2</w:t>
        </w:r>
      </w:hyperlink>
      <w:r>
        <w:rPr>
          <w:sz w:val="20"/>
        </w:rPr>
        <w:t xml:space="preserve">, применяются к показателям оплаты труда рабочих и машинистов.</w:t>
      </w:r>
    </w:p>
    <w:p>
      <w:pPr>
        <w:pStyle w:val="0"/>
        <w:spacing w:before="200" w:line-rule="auto"/>
        <w:ind w:firstLine="540"/>
        <w:jc w:val="both"/>
      </w:pPr>
      <w:r>
        <w:rPr>
          <w:sz w:val="20"/>
        </w:rPr>
        <w:t xml:space="preserve">1.2. Коэффициенты, указанные в </w:t>
      </w:r>
      <w:hyperlink w:history="0" w:anchor="P9553" w:tooltip="2">
        <w:r>
          <w:rPr>
            <w:sz w:val="20"/>
            <w:color w:val="0000ff"/>
          </w:rPr>
          <w:t xml:space="preserve">пунктах 2</w:t>
        </w:r>
      </w:hyperlink>
      <w:r>
        <w:rPr>
          <w:sz w:val="20"/>
        </w:rPr>
        <w:t xml:space="preserve"> и </w:t>
      </w:r>
      <w:hyperlink w:history="0" w:anchor="P9602" w:tooltip="5">
        <w:r>
          <w:rPr>
            <w:sz w:val="20"/>
            <w:color w:val="0000ff"/>
          </w:rPr>
          <w:t xml:space="preserve">5</w:t>
        </w:r>
      </w:hyperlink>
      <w:r>
        <w:rPr>
          <w:sz w:val="20"/>
        </w:rPr>
        <w:t xml:space="preserve">, не распространяются на работы, выполняемые в помещениях объектов капитального строительства.</w:t>
      </w:r>
    </w:p>
    <w:p>
      <w:pPr>
        <w:pStyle w:val="0"/>
        <w:spacing w:before="200" w:line-rule="auto"/>
        <w:ind w:firstLine="540"/>
        <w:jc w:val="both"/>
      </w:pPr>
      <w:r>
        <w:rPr>
          <w:sz w:val="20"/>
        </w:rPr>
        <w:t xml:space="preserve">1.3. Одновременное применение нескольких коэффициентов не допускается. Исключением являются коэффициенты, указанные в </w:t>
      </w:r>
      <w:hyperlink w:history="0" w:anchor="P9567" w:tooltip="3.1">
        <w:r>
          <w:rPr>
            <w:sz w:val="20"/>
            <w:color w:val="0000ff"/>
          </w:rPr>
          <w:t xml:space="preserve">пунктах 3.1</w:t>
        </w:r>
      </w:hyperlink>
      <w:r>
        <w:rPr>
          <w:sz w:val="20"/>
        </w:rPr>
        <w:t xml:space="preserve"> - </w:t>
      </w:r>
      <w:hyperlink w:history="0" w:anchor="P9592" w:tooltip="3.6">
        <w:r>
          <w:rPr>
            <w:sz w:val="20"/>
            <w:color w:val="0000ff"/>
          </w:rPr>
          <w:t xml:space="preserve">3.6</w:t>
        </w:r>
      </w:hyperlink>
      <w:r>
        <w:rPr>
          <w:sz w:val="20"/>
        </w:rPr>
        <w:t xml:space="preserve">, </w:t>
      </w:r>
      <w:hyperlink w:history="0" w:anchor="P9597" w:tooltip="4">
        <w:r>
          <w:rPr>
            <w:sz w:val="20"/>
            <w:color w:val="0000ff"/>
          </w:rPr>
          <w:t xml:space="preserve">4</w:t>
        </w:r>
      </w:hyperlink>
      <w:r>
        <w:rPr>
          <w:sz w:val="20"/>
        </w:rPr>
        <w:t xml:space="preserve">, </w:t>
      </w:r>
      <w:hyperlink w:history="0" w:anchor="P9607" w:tooltip="6">
        <w:r>
          <w:rPr>
            <w:sz w:val="20"/>
            <w:color w:val="0000ff"/>
          </w:rPr>
          <w:t xml:space="preserve">6</w:t>
        </w:r>
      </w:hyperlink>
      <w:r>
        <w:rPr>
          <w:sz w:val="20"/>
        </w:rPr>
        <w:t xml:space="preserve">, </w:t>
      </w:r>
      <w:hyperlink w:history="0" w:anchor="P9612" w:tooltip="7">
        <w:r>
          <w:rPr>
            <w:sz w:val="20"/>
            <w:color w:val="0000ff"/>
          </w:rPr>
          <w:t xml:space="preserve">7</w:t>
        </w:r>
      </w:hyperlink>
      <w:r>
        <w:rPr>
          <w:sz w:val="20"/>
        </w:rPr>
        <w:t xml:space="preserve">, </w:t>
      </w:r>
      <w:hyperlink w:history="0" w:anchor="P9622" w:tooltip="8.1">
        <w:r>
          <w:rPr>
            <w:sz w:val="20"/>
            <w:color w:val="0000ff"/>
          </w:rPr>
          <w:t xml:space="preserve">8.1</w:t>
        </w:r>
      </w:hyperlink>
      <w:r>
        <w:rPr>
          <w:sz w:val="20"/>
        </w:rPr>
        <w:t xml:space="preserve">, </w:t>
      </w:r>
      <w:hyperlink w:history="0" w:anchor="P9627" w:tooltip="8.2">
        <w:r>
          <w:rPr>
            <w:sz w:val="20"/>
            <w:color w:val="0000ff"/>
          </w:rPr>
          <w:t xml:space="preserve">8.2</w:t>
        </w:r>
      </w:hyperlink>
      <w:r>
        <w:rPr>
          <w:sz w:val="20"/>
        </w:rPr>
        <w:t xml:space="preserve">, </w:t>
      </w:r>
      <w:hyperlink w:history="0" w:anchor="P9632" w:tooltip="8.3">
        <w:r>
          <w:rPr>
            <w:sz w:val="20"/>
            <w:color w:val="0000ff"/>
          </w:rPr>
          <w:t xml:space="preserve">8.3</w:t>
        </w:r>
      </w:hyperlink>
      <w:r>
        <w:rPr>
          <w:sz w:val="20"/>
        </w:rPr>
        <w:t xml:space="preserve">, </w:t>
      </w:r>
      <w:hyperlink w:history="0" w:anchor="P9637" w:tooltip="9">
        <w:r>
          <w:rPr>
            <w:sz w:val="20"/>
            <w:color w:val="0000ff"/>
          </w:rPr>
          <w:t xml:space="preserve">9</w:t>
        </w:r>
      </w:hyperlink>
      <w:r>
        <w:rPr>
          <w:sz w:val="20"/>
        </w:rPr>
        <w:t xml:space="preserve"> и </w:t>
      </w:r>
      <w:hyperlink w:history="0" w:anchor="P9677" w:tooltip="12">
        <w:r>
          <w:rPr>
            <w:sz w:val="20"/>
            <w:color w:val="0000ff"/>
          </w:rPr>
          <w:t xml:space="preserve">12</w:t>
        </w:r>
      </w:hyperlink>
      <w:r>
        <w:rPr>
          <w:sz w:val="20"/>
        </w:rPr>
        <w:t xml:space="preserve">, каждый из которых может применяться с другим коэффициентом, приведенным в </w:t>
      </w:r>
      <w:hyperlink w:history="0" w:anchor="P9535" w:tooltip="Строительство объектов капитального строительства">
        <w:r>
          <w:rPr>
            <w:sz w:val="20"/>
            <w:color w:val="0000ff"/>
          </w:rPr>
          <w:t xml:space="preserve">таблице 1</w:t>
        </w:r>
      </w:hyperlink>
      <w:r>
        <w:rPr>
          <w:sz w:val="20"/>
        </w:rPr>
        <w:t xml:space="preserve">. При одновременном применении коэффициенты, относящиеся к одним и тем же составляющим сметных норм (единичных расценок), перемножаются.</w:t>
      </w:r>
    </w:p>
    <w:p>
      <w:pPr>
        <w:pStyle w:val="0"/>
        <w:jc w:val="both"/>
      </w:pPr>
      <w:r>
        <w:rPr>
          <w:sz w:val="20"/>
        </w:rPr>
      </w:r>
    </w:p>
    <w:p>
      <w:pPr>
        <w:pStyle w:val="0"/>
        <w:outlineLvl w:val="2"/>
        <w:jc w:val="right"/>
      </w:pPr>
      <w:r>
        <w:rPr>
          <w:sz w:val="20"/>
        </w:rPr>
        <w:t xml:space="preserve">Таблица 2</w:t>
      </w:r>
    </w:p>
    <w:p>
      <w:pPr>
        <w:pStyle w:val="0"/>
        <w:jc w:val="both"/>
      </w:pPr>
      <w:r>
        <w:rPr>
          <w:sz w:val="20"/>
        </w:rPr>
      </w:r>
    </w:p>
    <w:bookmarkStart w:id="9693" w:name="P9693"/>
    <w:bookmarkEnd w:id="9693"/>
    <w:p>
      <w:pPr>
        <w:pStyle w:val="2"/>
        <w:jc w:val="center"/>
      </w:pPr>
      <w:r>
        <w:rPr>
          <w:sz w:val="20"/>
        </w:rPr>
        <w:t xml:space="preserve">Реконструкция объектов капитального строительства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4195"/>
        <w:gridCol w:w="1474"/>
        <w:gridCol w:w="1304"/>
        <w:gridCol w:w="1472"/>
      </w:tblGrid>
      <w:tr>
        <w:tc>
          <w:tcPr>
            <w:tcW w:w="623" w:type="dxa"/>
            <w:vMerge w:val="restart"/>
          </w:tcPr>
          <w:p>
            <w:pPr>
              <w:pStyle w:val="0"/>
              <w:jc w:val="center"/>
            </w:pPr>
            <w:r>
              <w:rPr>
                <w:sz w:val="20"/>
              </w:rPr>
              <w:t xml:space="preserve">N пп.</w:t>
            </w:r>
          </w:p>
        </w:tc>
        <w:tc>
          <w:tcPr>
            <w:tcW w:w="4195" w:type="dxa"/>
            <w:vMerge w:val="restart"/>
          </w:tcPr>
          <w:p>
            <w:pPr>
              <w:pStyle w:val="0"/>
              <w:jc w:val="center"/>
            </w:pPr>
            <w:r>
              <w:rPr>
                <w:sz w:val="20"/>
              </w:rPr>
              <w:t xml:space="preserve">Условия производства работ</w:t>
            </w:r>
          </w:p>
        </w:tc>
        <w:tc>
          <w:tcPr>
            <w:gridSpan w:val="3"/>
            <w:tcW w:w="4250" w:type="dxa"/>
          </w:tcPr>
          <w:p>
            <w:pPr>
              <w:pStyle w:val="0"/>
              <w:jc w:val="center"/>
            </w:pPr>
            <w:r>
              <w:rPr>
                <w:sz w:val="20"/>
              </w:rPr>
              <w:t xml:space="preserve">Коэффициенты</w:t>
            </w:r>
          </w:p>
        </w:tc>
      </w:tr>
      <w:tr>
        <w:tc>
          <w:tcPr>
            <w:vMerge w:val="continue"/>
          </w:tcPr>
          <w:p/>
        </w:tc>
        <w:tc>
          <w:tcPr>
            <w:vMerge w:val="continue"/>
          </w:tcPr>
          <w:p/>
        </w:tc>
        <w:tc>
          <w:tcPr>
            <w:tcW w:w="1474" w:type="dxa"/>
          </w:tcPr>
          <w:p>
            <w:pPr>
              <w:pStyle w:val="0"/>
              <w:jc w:val="center"/>
            </w:pPr>
            <w:r>
              <w:rPr>
                <w:sz w:val="20"/>
              </w:rPr>
              <w:t xml:space="preserve">ГЭСН (ФЕР, ТЕР) (кроме ГЭСН (ФЕР, ТЕР) 81-02-46-XXXX)</w:t>
            </w:r>
          </w:p>
        </w:tc>
        <w:tc>
          <w:tcPr>
            <w:tcW w:w="1304" w:type="dxa"/>
          </w:tcPr>
          <w:p>
            <w:pPr>
              <w:pStyle w:val="0"/>
              <w:jc w:val="center"/>
            </w:pPr>
            <w:r>
              <w:rPr>
                <w:sz w:val="20"/>
              </w:rPr>
              <w:t xml:space="preserve">ГЭСНм (ФЕРм, ТЕРм)</w:t>
            </w:r>
          </w:p>
        </w:tc>
        <w:tc>
          <w:tcPr>
            <w:tcW w:w="1472" w:type="dxa"/>
          </w:tcPr>
          <w:p>
            <w:pPr>
              <w:pStyle w:val="0"/>
              <w:jc w:val="center"/>
            </w:pPr>
            <w:r>
              <w:rPr>
                <w:sz w:val="20"/>
              </w:rPr>
              <w:t xml:space="preserve">ГЭСНр (ФЕРр, ТЕРр), ГЭСН (ФЕР, ТЕР) 81-02-46-XXXX</w:t>
            </w:r>
          </w:p>
        </w:tc>
      </w:tr>
      <w:tr>
        <w:tc>
          <w:tcPr>
            <w:tcW w:w="623" w:type="dxa"/>
          </w:tcPr>
          <w:p>
            <w:pPr>
              <w:pStyle w:val="0"/>
              <w:jc w:val="center"/>
            </w:pPr>
            <w:r>
              <w:rPr>
                <w:sz w:val="20"/>
              </w:rPr>
              <w:t xml:space="preserve">1</w:t>
            </w:r>
          </w:p>
        </w:tc>
        <w:tc>
          <w:tcPr>
            <w:tcW w:w="4195" w:type="dxa"/>
          </w:tcPr>
          <w:p>
            <w:pPr>
              <w:pStyle w:val="0"/>
              <w:jc w:val="center"/>
            </w:pPr>
            <w:r>
              <w:rPr>
                <w:sz w:val="20"/>
              </w:rPr>
              <w:t xml:space="preserve">2</w:t>
            </w:r>
          </w:p>
        </w:tc>
        <w:tc>
          <w:tcPr>
            <w:tcW w:w="1474" w:type="dxa"/>
          </w:tcPr>
          <w:p>
            <w:pPr>
              <w:pStyle w:val="0"/>
              <w:jc w:val="center"/>
            </w:pPr>
            <w:r>
              <w:rPr>
                <w:sz w:val="20"/>
              </w:rPr>
              <w:t xml:space="preserve">3</w:t>
            </w:r>
          </w:p>
        </w:tc>
        <w:tc>
          <w:tcPr>
            <w:tcW w:w="1304" w:type="dxa"/>
          </w:tcPr>
          <w:p>
            <w:pPr>
              <w:pStyle w:val="0"/>
              <w:jc w:val="center"/>
            </w:pPr>
            <w:r>
              <w:rPr>
                <w:sz w:val="20"/>
              </w:rPr>
              <w:t xml:space="preserve">4</w:t>
            </w:r>
          </w:p>
        </w:tc>
        <w:tc>
          <w:tcPr>
            <w:tcW w:w="1472" w:type="dxa"/>
          </w:tcPr>
          <w:p>
            <w:pPr>
              <w:pStyle w:val="0"/>
              <w:jc w:val="center"/>
            </w:pPr>
            <w:r>
              <w:rPr>
                <w:sz w:val="20"/>
              </w:rPr>
              <w:t xml:space="preserve">5</w:t>
            </w:r>
          </w:p>
        </w:tc>
      </w:tr>
      <w:tr>
        <w:tc>
          <w:tcPr>
            <w:tcW w:w="623" w:type="dxa"/>
          </w:tcPr>
          <w:p>
            <w:pPr>
              <w:pStyle w:val="0"/>
              <w:jc w:val="center"/>
            </w:pPr>
            <w:r>
              <w:rPr>
                <w:sz w:val="20"/>
              </w:rPr>
              <w:t xml:space="preserve">1</w:t>
            </w:r>
          </w:p>
        </w:tc>
        <w:tc>
          <w:tcPr>
            <w:tcW w:w="4195" w:type="dxa"/>
          </w:tcPr>
          <w:p>
            <w:pPr>
              <w:pStyle w:val="0"/>
              <w:jc w:val="both"/>
            </w:pPr>
            <w:r>
              <w:rPr>
                <w:sz w:val="20"/>
              </w:rPr>
              <w:t xml:space="preserve">Производство работ осуществляется в помещениях эксплуатируемого объекта капитального строительства без остановки рабочего процесса, при этом:</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p>
            <w:pPr>
              <w:pStyle w:val="0"/>
              <w:jc w:val="center"/>
            </w:pPr>
            <w:r>
              <w:rPr>
                <w:sz w:val="20"/>
              </w:rPr>
              <w:t xml:space="preserve">1.1</w:t>
            </w:r>
          </w:p>
        </w:tc>
        <w:tc>
          <w:tcPr>
            <w:tcW w:w="4195" w:type="dxa"/>
          </w:tcPr>
          <w:p>
            <w:pPr>
              <w:pStyle w:val="0"/>
            </w:pPr>
            <w:r>
              <w:rPr>
                <w:sz w:val="20"/>
              </w:rPr>
              <w:t xml:space="preserve">в зоне производства работ отсутствуют загромождающие помещение предметы</w:t>
            </w:r>
          </w:p>
        </w:tc>
        <w:tc>
          <w:tcPr>
            <w:tcW w:w="1474" w:type="dxa"/>
          </w:tcPr>
          <w:p>
            <w:pPr>
              <w:pStyle w:val="0"/>
              <w:jc w:val="center"/>
            </w:pPr>
            <w:r>
              <w:rPr>
                <w:sz w:val="20"/>
              </w:rPr>
              <w:t xml:space="preserve">1,20</w:t>
            </w:r>
          </w:p>
        </w:tc>
        <w:tc>
          <w:tcPr>
            <w:tcW w:w="1304" w:type="dxa"/>
          </w:tcPr>
          <w:p>
            <w:pPr>
              <w:pStyle w:val="0"/>
              <w:jc w:val="center"/>
            </w:pPr>
            <w:r>
              <w:rPr>
                <w:sz w:val="20"/>
              </w:rPr>
              <w:t xml:space="preserve">1,20</w:t>
            </w:r>
          </w:p>
        </w:tc>
        <w:tc>
          <w:tcPr>
            <w:tcW w:w="1472" w:type="dxa"/>
          </w:tcPr>
          <w:p>
            <w:pPr>
              <w:pStyle w:val="0"/>
              <w:jc w:val="center"/>
            </w:pPr>
            <w:r>
              <w:rPr>
                <w:sz w:val="20"/>
              </w:rPr>
              <w:t xml:space="preserve">-</w:t>
            </w:r>
          </w:p>
        </w:tc>
      </w:tr>
      <w:tr>
        <w:tc>
          <w:tcPr>
            <w:tcW w:w="623" w:type="dxa"/>
          </w:tcPr>
          <w:p>
            <w:pPr>
              <w:pStyle w:val="0"/>
              <w:jc w:val="center"/>
            </w:pPr>
            <w:r>
              <w:rPr>
                <w:sz w:val="20"/>
              </w:rPr>
              <w:t xml:space="preserve">1.2</w:t>
            </w:r>
          </w:p>
        </w:tc>
        <w:tc>
          <w:tcPr>
            <w:tcW w:w="4195" w:type="dxa"/>
          </w:tcPr>
          <w:p>
            <w:pPr>
              <w:pStyle w:val="0"/>
              <w:jc w:val="both"/>
            </w:pPr>
            <w:r>
              <w:rPr>
                <w:sz w:val="20"/>
              </w:rPr>
              <w:t xml:space="preserve">в зоне производства работ имеется один из перечисленных ниже факторов:</w:t>
            </w:r>
          </w:p>
          <w:p>
            <w:pPr>
              <w:pStyle w:val="0"/>
              <w:ind w:left="283"/>
              <w:jc w:val="both"/>
            </w:pPr>
            <w:r>
              <w:rPr>
                <w:sz w:val="20"/>
              </w:rPr>
              <w:t xml:space="preserve">- движение транспорта по внутрицеховым путям;</w:t>
            </w:r>
          </w:p>
          <w:p>
            <w:pPr>
              <w:pStyle w:val="0"/>
              <w:ind w:left="283"/>
              <w:jc w:val="both"/>
            </w:pPr>
            <w:r>
              <w:rPr>
                <w:sz w:val="20"/>
              </w:rPr>
              <w:t xml:space="preserve">- действующее технологическое или лабораторное оборудование;</w:t>
            </w:r>
          </w:p>
          <w:p>
            <w:pPr>
              <w:pStyle w:val="0"/>
              <w:ind w:left="283"/>
              <w:jc w:val="both"/>
            </w:pPr>
            <w:r>
              <w:rPr>
                <w:sz w:val="20"/>
              </w:rPr>
              <w:t xml:space="preserve">- мебель и иные загромождающие помещения предметы</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1,15</w:t>
            </w:r>
          </w:p>
        </w:tc>
      </w:tr>
      <w:tr>
        <w:tc>
          <w:tcPr>
            <w:tcW w:w="623" w:type="dxa"/>
          </w:tcPr>
          <w:p>
            <w:pPr>
              <w:pStyle w:val="0"/>
              <w:jc w:val="center"/>
            </w:pPr>
            <w:r>
              <w:rPr>
                <w:sz w:val="20"/>
              </w:rPr>
              <w:t xml:space="preserve">2</w:t>
            </w:r>
          </w:p>
        </w:tc>
        <w:tc>
          <w:tcPr>
            <w:tcW w:w="4195" w:type="dxa"/>
          </w:tcPr>
          <w:p>
            <w:pPr>
              <w:pStyle w:val="0"/>
              <w:jc w:val="both"/>
            </w:pPr>
            <w:r>
              <w:rPr>
                <w:sz w:val="20"/>
              </w:rPr>
              <w:t xml:space="preserve">Производство работ осуществляется в помещениях объекта капитального строительства с остановкой рабочего процесса, при этом в зоне производства работ имеются действующее технологическое или лабораторное оборудование, мебель и иные загромождающие помещения предметы</w:t>
            </w:r>
          </w:p>
        </w:tc>
        <w:tc>
          <w:tcPr>
            <w:tcW w:w="1474" w:type="dxa"/>
          </w:tcPr>
          <w:p>
            <w:pPr>
              <w:pStyle w:val="0"/>
              <w:jc w:val="center"/>
            </w:pPr>
            <w:r>
              <w:rPr>
                <w:sz w:val="20"/>
              </w:rPr>
              <w:t xml:space="preserve">1,3</w:t>
            </w:r>
          </w:p>
        </w:tc>
        <w:tc>
          <w:tcPr>
            <w:tcW w:w="1304" w:type="dxa"/>
          </w:tcPr>
          <w:p>
            <w:pPr>
              <w:pStyle w:val="0"/>
              <w:jc w:val="center"/>
            </w:pPr>
            <w:r>
              <w:rPr>
                <w:sz w:val="20"/>
              </w:rPr>
              <w:t xml:space="preserve">1,3</w:t>
            </w:r>
          </w:p>
        </w:tc>
        <w:tc>
          <w:tcPr>
            <w:tcW w:w="1472" w:type="dxa"/>
          </w:tcPr>
          <w:p>
            <w:pPr>
              <w:pStyle w:val="0"/>
              <w:jc w:val="center"/>
            </w:pPr>
            <w:r>
              <w:rPr>
                <w:sz w:val="20"/>
              </w:rPr>
              <w:t xml:space="preserve">1,1</w:t>
            </w:r>
          </w:p>
        </w:tc>
      </w:tr>
      <w:tr>
        <w:tc>
          <w:tcPr>
            <w:tcW w:w="623" w:type="dxa"/>
          </w:tcPr>
          <w:bookmarkStart w:id="9729" w:name="P9729"/>
          <w:bookmarkEnd w:id="9729"/>
          <w:p>
            <w:pPr>
              <w:pStyle w:val="0"/>
              <w:jc w:val="center"/>
            </w:pPr>
            <w:r>
              <w:rPr>
                <w:sz w:val="20"/>
              </w:rPr>
              <w:t xml:space="preserve">3</w:t>
            </w:r>
          </w:p>
        </w:tc>
        <w:tc>
          <w:tcPr>
            <w:tcW w:w="4195" w:type="dxa"/>
          </w:tcPr>
          <w:p>
            <w:pPr>
              <w:pStyle w:val="0"/>
              <w:jc w:val="both"/>
            </w:pPr>
            <w:r>
              <w:rPr>
                <w:sz w:val="20"/>
              </w:rPr>
              <w:t xml:space="preserve">Производство работ осуществляется на территории предприятия с наличием в зоне производства работ одного или нескольких из перечисленных ниже факторов:</w:t>
            </w:r>
          </w:p>
          <w:p>
            <w:pPr>
              <w:pStyle w:val="0"/>
              <w:ind w:left="283"/>
              <w:jc w:val="both"/>
            </w:pPr>
            <w:r>
              <w:rPr>
                <w:sz w:val="20"/>
              </w:rPr>
              <w:t xml:space="preserve">- разветвленная сеть транспортных и инженерных коммуникаций;</w:t>
            </w:r>
          </w:p>
          <w:p>
            <w:pPr>
              <w:pStyle w:val="0"/>
              <w:ind w:left="283"/>
              <w:jc w:val="both"/>
            </w:pPr>
            <w:r>
              <w:rPr>
                <w:sz w:val="20"/>
              </w:rPr>
              <w:t xml:space="preserve">- стесненные условия для складирования материалов;</w:t>
            </w:r>
          </w:p>
          <w:p>
            <w:pPr>
              <w:pStyle w:val="0"/>
              <w:ind w:left="283"/>
              <w:jc w:val="both"/>
            </w:pPr>
            <w:r>
              <w:rPr>
                <w:sz w:val="20"/>
              </w:rPr>
              <w:t xml:space="preserve">- действующее технологическое оборудование;</w:t>
            </w:r>
          </w:p>
          <w:p>
            <w:pPr>
              <w:pStyle w:val="0"/>
              <w:ind w:left="283"/>
              <w:jc w:val="both"/>
            </w:pPr>
            <w:r>
              <w:rPr>
                <w:sz w:val="20"/>
              </w:rPr>
              <w:t xml:space="preserve">- движение технологического транспорта</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p>
            <w:pPr>
              <w:pStyle w:val="0"/>
              <w:jc w:val="center"/>
            </w:pPr>
            <w:r>
              <w:rPr>
                <w:sz w:val="20"/>
              </w:rPr>
              <w:t xml:space="preserve">4</w:t>
            </w:r>
          </w:p>
        </w:tc>
        <w:tc>
          <w:tcPr>
            <w:tcW w:w="4195" w:type="dxa"/>
          </w:tcPr>
          <w:p>
            <w:pPr>
              <w:pStyle w:val="0"/>
              <w:jc w:val="both"/>
            </w:pPr>
            <w:r>
              <w:rPr>
                <w:sz w:val="20"/>
              </w:rPr>
              <w:t xml:space="preserve">Производство работ осуществляется с вредными условиями труда, при этом:</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743" w:name="P9743"/>
          <w:bookmarkEnd w:id="9743"/>
          <w:p>
            <w:pPr>
              <w:pStyle w:val="0"/>
              <w:jc w:val="center"/>
            </w:pPr>
            <w:r>
              <w:rPr>
                <w:sz w:val="20"/>
              </w:rPr>
              <w:t xml:space="preserve">4.1</w:t>
            </w:r>
          </w:p>
        </w:tc>
        <w:tc>
          <w:tcPr>
            <w:tcW w:w="4195" w:type="dxa"/>
          </w:tcPr>
          <w:p>
            <w:pPr>
              <w:pStyle w:val="0"/>
              <w:jc w:val="both"/>
            </w:pPr>
            <w:r>
              <w:rPr>
                <w:sz w:val="20"/>
              </w:rPr>
              <w:t xml:space="preserve">на предприятии, где работникам основного производства установлен сокращенный рабочий день, а рабочие имеют рабочий день нормальной продолжительности;</w:t>
            </w:r>
          </w:p>
        </w:tc>
        <w:tc>
          <w:tcPr>
            <w:tcW w:w="1474" w:type="dxa"/>
          </w:tcPr>
          <w:p>
            <w:pPr>
              <w:pStyle w:val="0"/>
              <w:jc w:val="center"/>
            </w:pPr>
            <w:r>
              <w:rPr>
                <w:sz w:val="20"/>
              </w:rPr>
              <w:t xml:space="preserve">1,1</w:t>
            </w:r>
          </w:p>
        </w:tc>
        <w:tc>
          <w:tcPr>
            <w:tcW w:w="1304" w:type="dxa"/>
          </w:tcPr>
          <w:p>
            <w:pPr>
              <w:pStyle w:val="0"/>
              <w:jc w:val="center"/>
            </w:pPr>
            <w:r>
              <w:rPr>
                <w:sz w:val="20"/>
              </w:rPr>
              <w:t xml:space="preserve">1,1</w:t>
            </w:r>
          </w:p>
        </w:tc>
        <w:tc>
          <w:tcPr>
            <w:tcW w:w="1472" w:type="dxa"/>
          </w:tcPr>
          <w:p>
            <w:pPr>
              <w:pStyle w:val="0"/>
              <w:jc w:val="center"/>
            </w:pPr>
            <w:r>
              <w:rPr>
                <w:sz w:val="20"/>
              </w:rPr>
              <w:t xml:space="preserve">1,1</w:t>
            </w:r>
          </w:p>
        </w:tc>
      </w:tr>
      <w:tr>
        <w:tc>
          <w:tcPr>
            <w:tcW w:w="623" w:type="dxa"/>
          </w:tcPr>
          <w:p>
            <w:pPr>
              <w:pStyle w:val="0"/>
              <w:jc w:val="center"/>
            </w:pPr>
            <w:r>
              <w:rPr>
                <w:sz w:val="20"/>
              </w:rPr>
              <w:t xml:space="preserve">4.2</w:t>
            </w:r>
          </w:p>
        </w:tc>
        <w:tc>
          <w:tcPr>
            <w:tcW w:w="4195" w:type="dxa"/>
          </w:tcPr>
          <w:p>
            <w:pPr>
              <w:pStyle w:val="0"/>
              <w:jc w:val="both"/>
            </w:pPr>
            <w:r>
              <w:rPr>
                <w:sz w:val="20"/>
              </w:rPr>
              <w:t xml:space="preserve">на предприятии, где рабочие переведены на сокращенный рабочий день при 36-часовой рабочей неделе;</w:t>
            </w:r>
          </w:p>
        </w:tc>
        <w:tc>
          <w:tcPr>
            <w:tcW w:w="1474" w:type="dxa"/>
          </w:tcPr>
          <w:p>
            <w:pPr>
              <w:pStyle w:val="0"/>
              <w:jc w:val="center"/>
            </w:pPr>
            <w:r>
              <w:rPr>
                <w:sz w:val="20"/>
              </w:rPr>
              <w:t xml:space="preserve">1,3</w:t>
            </w:r>
          </w:p>
        </w:tc>
        <w:tc>
          <w:tcPr>
            <w:tcW w:w="1304" w:type="dxa"/>
          </w:tcPr>
          <w:p>
            <w:pPr>
              <w:pStyle w:val="0"/>
              <w:jc w:val="center"/>
            </w:pPr>
            <w:r>
              <w:rPr>
                <w:sz w:val="20"/>
              </w:rPr>
              <w:t xml:space="preserve">1,3</w:t>
            </w:r>
          </w:p>
        </w:tc>
        <w:tc>
          <w:tcPr>
            <w:tcW w:w="1472" w:type="dxa"/>
          </w:tcPr>
          <w:p>
            <w:pPr>
              <w:pStyle w:val="0"/>
              <w:jc w:val="center"/>
            </w:pPr>
            <w:r>
              <w:rPr>
                <w:sz w:val="20"/>
              </w:rPr>
              <w:t xml:space="preserve">1,3</w:t>
            </w:r>
          </w:p>
        </w:tc>
      </w:tr>
      <w:tr>
        <w:tc>
          <w:tcPr>
            <w:tcW w:w="623" w:type="dxa"/>
          </w:tcPr>
          <w:p>
            <w:pPr>
              <w:pStyle w:val="0"/>
              <w:jc w:val="center"/>
            </w:pPr>
            <w:r>
              <w:rPr>
                <w:sz w:val="20"/>
              </w:rPr>
              <w:t xml:space="preserve">4.3</w:t>
            </w:r>
          </w:p>
        </w:tc>
        <w:tc>
          <w:tcPr>
            <w:tcW w:w="4195" w:type="dxa"/>
          </w:tcPr>
          <w:p>
            <w:pPr>
              <w:pStyle w:val="0"/>
              <w:jc w:val="both"/>
            </w:pPr>
            <w:r>
              <w:rPr>
                <w:sz w:val="20"/>
              </w:rPr>
              <w:t xml:space="preserve">на предприятии, где рабочие переведены на сокращенный рабочий день при 30-часовой рабочей неделе;</w:t>
            </w:r>
          </w:p>
        </w:tc>
        <w:tc>
          <w:tcPr>
            <w:tcW w:w="1474" w:type="dxa"/>
          </w:tcPr>
          <w:p>
            <w:pPr>
              <w:pStyle w:val="0"/>
              <w:jc w:val="center"/>
            </w:pPr>
            <w:r>
              <w:rPr>
                <w:sz w:val="20"/>
              </w:rPr>
              <w:t xml:space="preserve">1,5</w:t>
            </w:r>
          </w:p>
        </w:tc>
        <w:tc>
          <w:tcPr>
            <w:tcW w:w="1304" w:type="dxa"/>
          </w:tcPr>
          <w:p>
            <w:pPr>
              <w:pStyle w:val="0"/>
              <w:jc w:val="center"/>
            </w:pPr>
            <w:r>
              <w:rPr>
                <w:sz w:val="20"/>
              </w:rPr>
              <w:t xml:space="preserve">1,5</w:t>
            </w:r>
          </w:p>
        </w:tc>
        <w:tc>
          <w:tcPr>
            <w:tcW w:w="1472" w:type="dxa"/>
          </w:tcPr>
          <w:p>
            <w:pPr>
              <w:pStyle w:val="0"/>
              <w:jc w:val="center"/>
            </w:pPr>
            <w:r>
              <w:rPr>
                <w:sz w:val="20"/>
              </w:rPr>
              <w:t xml:space="preserve">1,5</w:t>
            </w:r>
          </w:p>
        </w:tc>
      </w:tr>
      <w:tr>
        <w:tc>
          <w:tcPr>
            <w:tcW w:w="623" w:type="dxa"/>
          </w:tcPr>
          <w:p>
            <w:pPr>
              <w:pStyle w:val="0"/>
              <w:jc w:val="center"/>
            </w:pPr>
            <w:r>
              <w:rPr>
                <w:sz w:val="20"/>
              </w:rPr>
              <w:t xml:space="preserve">4.4</w:t>
            </w:r>
          </w:p>
        </w:tc>
        <w:tc>
          <w:tcPr>
            <w:tcW w:w="4195" w:type="dxa"/>
          </w:tcPr>
          <w:p>
            <w:pPr>
              <w:pStyle w:val="0"/>
              <w:jc w:val="both"/>
            </w:pPr>
            <w:r>
              <w:rPr>
                <w:sz w:val="20"/>
              </w:rPr>
              <w:t xml:space="preserve">на предприятии, где рабочие переведены на сокращенный рабочий день при 24-часовой рабочей неделе</w:t>
            </w:r>
          </w:p>
        </w:tc>
        <w:tc>
          <w:tcPr>
            <w:tcW w:w="1474" w:type="dxa"/>
          </w:tcPr>
          <w:p>
            <w:pPr>
              <w:pStyle w:val="0"/>
              <w:jc w:val="center"/>
            </w:pPr>
            <w:r>
              <w:rPr>
                <w:sz w:val="20"/>
              </w:rPr>
              <w:t xml:space="preserve">1,7</w:t>
            </w:r>
          </w:p>
        </w:tc>
        <w:tc>
          <w:tcPr>
            <w:tcW w:w="1304" w:type="dxa"/>
          </w:tcPr>
          <w:p>
            <w:pPr>
              <w:pStyle w:val="0"/>
              <w:jc w:val="center"/>
            </w:pPr>
            <w:r>
              <w:rPr>
                <w:sz w:val="20"/>
              </w:rPr>
              <w:t xml:space="preserve">1,7</w:t>
            </w:r>
          </w:p>
        </w:tc>
        <w:tc>
          <w:tcPr>
            <w:tcW w:w="1472" w:type="dxa"/>
          </w:tcPr>
          <w:p>
            <w:pPr>
              <w:pStyle w:val="0"/>
              <w:jc w:val="center"/>
            </w:pPr>
            <w:r>
              <w:rPr>
                <w:sz w:val="20"/>
              </w:rPr>
              <w:t xml:space="preserve">1,7</w:t>
            </w:r>
          </w:p>
        </w:tc>
      </w:tr>
      <w:tr>
        <w:tc>
          <w:tcPr>
            <w:tcW w:w="623" w:type="dxa"/>
          </w:tcPr>
          <w:p>
            <w:pPr>
              <w:pStyle w:val="0"/>
              <w:jc w:val="center"/>
            </w:pPr>
            <w:r>
              <w:rPr>
                <w:sz w:val="20"/>
              </w:rPr>
              <w:t xml:space="preserve">4.5</w:t>
            </w:r>
          </w:p>
        </w:tc>
        <w:tc>
          <w:tcPr>
            <w:tcW w:w="4195" w:type="dxa"/>
          </w:tcPr>
          <w:p>
            <w:pPr>
              <w:pStyle w:val="0"/>
            </w:pPr>
            <w:r>
              <w:rPr>
                <w:sz w:val="20"/>
              </w:rPr>
              <w:t xml:space="preserve">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3500 до 4000 м над уровнем моря, при 30-часовой рабочей неделе;</w:t>
            </w:r>
          </w:p>
        </w:tc>
        <w:tc>
          <w:tcPr>
            <w:tcW w:w="1474" w:type="dxa"/>
          </w:tcPr>
          <w:p>
            <w:pPr>
              <w:pStyle w:val="0"/>
              <w:jc w:val="center"/>
            </w:pPr>
            <w:r>
              <w:rPr>
                <w:sz w:val="20"/>
              </w:rPr>
              <w:t xml:space="preserve">1,66</w:t>
            </w:r>
          </w:p>
        </w:tc>
        <w:tc>
          <w:tcPr>
            <w:tcW w:w="1304" w:type="dxa"/>
          </w:tcPr>
          <w:p>
            <w:pPr>
              <w:pStyle w:val="0"/>
              <w:jc w:val="center"/>
            </w:pPr>
            <w:r>
              <w:rPr>
                <w:sz w:val="20"/>
              </w:rPr>
              <w:t xml:space="preserve">1,66</w:t>
            </w:r>
          </w:p>
        </w:tc>
        <w:tc>
          <w:tcPr>
            <w:tcW w:w="1472" w:type="dxa"/>
          </w:tcPr>
          <w:p>
            <w:pPr>
              <w:pStyle w:val="0"/>
              <w:jc w:val="center"/>
            </w:pPr>
            <w:r>
              <w:rPr>
                <w:sz w:val="20"/>
              </w:rPr>
              <w:t xml:space="preserve">1,66</w:t>
            </w:r>
          </w:p>
        </w:tc>
      </w:tr>
      <w:tr>
        <w:tc>
          <w:tcPr>
            <w:tcW w:w="623" w:type="dxa"/>
          </w:tcPr>
          <w:bookmarkStart w:id="9768" w:name="P9768"/>
          <w:bookmarkEnd w:id="9768"/>
          <w:p>
            <w:pPr>
              <w:pStyle w:val="0"/>
              <w:jc w:val="center"/>
            </w:pPr>
            <w:r>
              <w:rPr>
                <w:sz w:val="20"/>
              </w:rPr>
              <w:t xml:space="preserve">4.6</w:t>
            </w:r>
          </w:p>
        </w:tc>
        <w:tc>
          <w:tcPr>
            <w:tcW w:w="4195" w:type="dxa"/>
          </w:tcPr>
          <w:p>
            <w:pPr>
              <w:pStyle w:val="0"/>
              <w:jc w:val="both"/>
            </w:pPr>
            <w:r>
              <w:rPr>
                <w:sz w:val="20"/>
              </w:rPr>
              <w:t xml:space="preserve">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4000 до 4500 м над уровнем моря, при 30-часовой рабочей неделе</w:t>
            </w:r>
          </w:p>
        </w:tc>
        <w:tc>
          <w:tcPr>
            <w:tcW w:w="1474" w:type="dxa"/>
          </w:tcPr>
          <w:p>
            <w:pPr>
              <w:pStyle w:val="0"/>
              <w:jc w:val="center"/>
            </w:pPr>
            <w:r>
              <w:rPr>
                <w:sz w:val="20"/>
              </w:rPr>
              <w:t xml:space="preserve">1,74</w:t>
            </w:r>
          </w:p>
        </w:tc>
        <w:tc>
          <w:tcPr>
            <w:tcW w:w="1304" w:type="dxa"/>
          </w:tcPr>
          <w:p>
            <w:pPr>
              <w:pStyle w:val="0"/>
              <w:jc w:val="center"/>
            </w:pPr>
            <w:r>
              <w:rPr>
                <w:sz w:val="20"/>
              </w:rPr>
              <w:t xml:space="preserve">1,74</w:t>
            </w:r>
          </w:p>
        </w:tc>
        <w:tc>
          <w:tcPr>
            <w:tcW w:w="1472" w:type="dxa"/>
          </w:tcPr>
          <w:p>
            <w:pPr>
              <w:pStyle w:val="0"/>
              <w:jc w:val="center"/>
            </w:pPr>
            <w:r>
              <w:rPr>
                <w:sz w:val="20"/>
              </w:rPr>
              <w:t xml:space="preserve">1,74</w:t>
            </w:r>
          </w:p>
        </w:tc>
      </w:tr>
      <w:tr>
        <w:tc>
          <w:tcPr>
            <w:tcW w:w="623" w:type="dxa"/>
          </w:tcPr>
          <w:bookmarkStart w:id="9773" w:name="P9773"/>
          <w:bookmarkEnd w:id="9773"/>
          <w:p>
            <w:pPr>
              <w:pStyle w:val="0"/>
              <w:jc w:val="center"/>
            </w:pPr>
            <w:r>
              <w:rPr>
                <w:sz w:val="20"/>
              </w:rPr>
              <w:t xml:space="preserve">5</w:t>
            </w:r>
          </w:p>
        </w:tc>
        <w:tc>
          <w:tcPr>
            <w:tcW w:w="4195" w:type="dxa"/>
          </w:tcPr>
          <w:p>
            <w:pPr>
              <w:pStyle w:val="0"/>
              <w:jc w:val="both"/>
            </w:pPr>
            <w:r>
              <w:rPr>
                <w:sz w:val="20"/>
              </w:rPr>
              <w:t xml:space="preserve">Производство работ осуществляется в охранной зоне действующей воздушной линии электропередачи, вблизи объектов, находящихся под напряжением, внутри объектов капитального строительства,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474" w:type="dxa"/>
          </w:tcPr>
          <w:p>
            <w:pPr>
              <w:pStyle w:val="0"/>
              <w:jc w:val="center"/>
            </w:pPr>
            <w:r>
              <w:rPr>
                <w:sz w:val="20"/>
              </w:rPr>
              <w:t xml:space="preserve">1,20</w:t>
            </w:r>
          </w:p>
        </w:tc>
        <w:tc>
          <w:tcPr>
            <w:tcW w:w="1304" w:type="dxa"/>
          </w:tcPr>
          <w:p>
            <w:pPr>
              <w:pStyle w:val="0"/>
              <w:jc w:val="center"/>
            </w:pPr>
            <w:r>
              <w:rPr>
                <w:sz w:val="20"/>
              </w:rPr>
              <w:t xml:space="preserve">1,20</w:t>
            </w:r>
          </w:p>
        </w:tc>
        <w:tc>
          <w:tcPr>
            <w:tcW w:w="1472" w:type="dxa"/>
          </w:tcPr>
          <w:p>
            <w:pPr>
              <w:pStyle w:val="0"/>
              <w:jc w:val="center"/>
            </w:pPr>
            <w:r>
              <w:rPr>
                <w:sz w:val="20"/>
              </w:rPr>
              <w:t xml:space="preserve">1,20</w:t>
            </w:r>
          </w:p>
        </w:tc>
      </w:tr>
      <w:tr>
        <w:tc>
          <w:tcPr>
            <w:tcW w:w="623" w:type="dxa"/>
          </w:tcPr>
          <w:p>
            <w:pPr>
              <w:pStyle w:val="0"/>
              <w:jc w:val="center"/>
            </w:pPr>
            <w:r>
              <w:rPr>
                <w:sz w:val="20"/>
              </w:rPr>
              <w:t xml:space="preserve">6</w:t>
            </w:r>
          </w:p>
        </w:tc>
        <w:tc>
          <w:tcPr>
            <w:tcW w:w="4195" w:type="dxa"/>
          </w:tcPr>
          <w:p>
            <w:pPr>
              <w:pStyle w:val="0"/>
              <w:jc w:val="both"/>
            </w:pPr>
            <w:r>
              <w:rPr>
                <w:sz w:val="20"/>
              </w:rPr>
              <w:t xml:space="preserve">Производство работ осуществляется внутри работающих трансформаторных и распределительных подстанций, электропомещениях (щитовые, пультовые, подстанции, реакторные, РУ и пункты, кабельные шахты, тоннели и каналы, кабельные полуэтажи) с действующим электрооборудованием или кабельными линиями под напряжением</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1,35</w:t>
            </w:r>
          </w:p>
        </w:tc>
      </w:tr>
      <w:tr>
        <w:tc>
          <w:tcPr>
            <w:tcW w:w="623" w:type="dxa"/>
          </w:tcPr>
          <w:bookmarkStart w:id="9783" w:name="P9783"/>
          <w:bookmarkEnd w:id="9783"/>
          <w:p>
            <w:pPr>
              <w:pStyle w:val="0"/>
              <w:jc w:val="center"/>
            </w:pPr>
            <w:r>
              <w:rPr>
                <w:sz w:val="20"/>
              </w:rPr>
              <w:t xml:space="preserve">7</w:t>
            </w:r>
          </w:p>
        </w:tc>
        <w:tc>
          <w:tcPr>
            <w:tcW w:w="4195" w:type="dxa"/>
          </w:tcPr>
          <w:p>
            <w:pPr>
              <w:pStyle w:val="0"/>
              <w:jc w:val="both"/>
            </w:pPr>
            <w:r>
              <w:rPr>
                <w:sz w:val="20"/>
              </w:rPr>
              <w:t xml:space="preserve">Производство работ осуществляется в закрытых сооружениях или помещениях (за исключением шахт, рудников, метрополитенов, тоннелей и подземных сооружений специального назначения), верхняя отметка перекрытия которых находится ниже 3 м от поверхности земли</w:t>
            </w:r>
          </w:p>
        </w:tc>
        <w:tc>
          <w:tcPr>
            <w:tcW w:w="1474" w:type="dxa"/>
          </w:tcPr>
          <w:p>
            <w:pPr>
              <w:pStyle w:val="0"/>
              <w:jc w:val="center"/>
            </w:pPr>
            <w:r>
              <w:rPr>
                <w:sz w:val="20"/>
              </w:rPr>
              <w:t xml:space="preserve">1,10</w:t>
            </w:r>
          </w:p>
        </w:tc>
        <w:tc>
          <w:tcPr>
            <w:tcW w:w="1304" w:type="dxa"/>
          </w:tcPr>
          <w:p>
            <w:pPr>
              <w:pStyle w:val="0"/>
              <w:jc w:val="center"/>
            </w:pPr>
            <w:r>
              <w:rPr>
                <w:sz w:val="20"/>
              </w:rPr>
              <w:t xml:space="preserve">1,10</w:t>
            </w:r>
          </w:p>
        </w:tc>
        <w:tc>
          <w:tcPr>
            <w:tcW w:w="1472" w:type="dxa"/>
          </w:tcPr>
          <w:p>
            <w:pPr>
              <w:pStyle w:val="0"/>
              <w:jc w:val="center"/>
            </w:pPr>
            <w:r>
              <w:rPr>
                <w:sz w:val="20"/>
              </w:rPr>
              <w:t xml:space="preserve">1,10</w:t>
            </w:r>
          </w:p>
        </w:tc>
      </w:tr>
      <w:tr>
        <w:tc>
          <w:tcPr>
            <w:tcW w:w="623" w:type="dxa"/>
          </w:tcPr>
          <w:bookmarkStart w:id="9788" w:name="P9788"/>
          <w:bookmarkEnd w:id="9788"/>
          <w:p>
            <w:pPr>
              <w:pStyle w:val="0"/>
              <w:jc w:val="center"/>
            </w:pPr>
            <w:r>
              <w:rPr>
                <w:sz w:val="20"/>
              </w:rPr>
              <w:t xml:space="preserve">8</w:t>
            </w:r>
          </w:p>
        </w:tc>
        <w:tc>
          <w:tcPr>
            <w:tcW w:w="4195" w:type="dxa"/>
          </w:tcPr>
          <w:p>
            <w:pPr>
              <w:pStyle w:val="0"/>
              <w:jc w:val="both"/>
            </w:pPr>
            <w:r>
              <w:rPr>
                <w:sz w:val="20"/>
              </w:rPr>
              <w:t xml:space="preserve">Производство работ осуществляется в помещениях и иных ограниченных пространствах высотой до 1,8 м</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1,35</w:t>
            </w:r>
          </w:p>
        </w:tc>
      </w:tr>
      <w:tr>
        <w:tc>
          <w:tcPr>
            <w:tcW w:w="623" w:type="dxa"/>
          </w:tcPr>
          <w:bookmarkStart w:id="9793" w:name="P9793"/>
          <w:bookmarkEnd w:id="9793"/>
          <w:p>
            <w:pPr>
              <w:pStyle w:val="0"/>
              <w:jc w:val="center"/>
            </w:pPr>
            <w:r>
              <w:rPr>
                <w:sz w:val="20"/>
              </w:rPr>
              <w:t xml:space="preserve">9</w:t>
            </w:r>
          </w:p>
        </w:tc>
        <w:tc>
          <w:tcPr>
            <w:tcW w:w="4195" w:type="dxa"/>
          </w:tcPr>
          <w:p>
            <w:pPr>
              <w:pStyle w:val="0"/>
              <w:jc w:val="both"/>
            </w:pPr>
            <w:r>
              <w:rPr>
                <w:sz w:val="20"/>
              </w:rPr>
              <w:t xml:space="preserve">Производство работ осуществляется в стесненных условиях населенных пунктов</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p>
            <w:pPr>
              <w:pStyle w:val="0"/>
              <w:jc w:val="center"/>
            </w:pPr>
            <w:r>
              <w:rPr>
                <w:sz w:val="20"/>
              </w:rPr>
              <w:t xml:space="preserve">10</w:t>
            </w:r>
          </w:p>
        </w:tc>
        <w:tc>
          <w:tcPr>
            <w:tcW w:w="4195" w:type="dxa"/>
          </w:tcPr>
          <w:p>
            <w:pPr>
              <w:pStyle w:val="0"/>
              <w:jc w:val="both"/>
            </w:pPr>
            <w:r>
              <w:rPr>
                <w:sz w:val="20"/>
              </w:rPr>
              <w:t xml:space="preserve">Производство работ осуществляется в горной местности:</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803" w:name="P9803"/>
          <w:bookmarkEnd w:id="9803"/>
          <w:p>
            <w:pPr>
              <w:pStyle w:val="0"/>
              <w:jc w:val="center"/>
            </w:pPr>
            <w:r>
              <w:rPr>
                <w:sz w:val="20"/>
              </w:rPr>
              <w:t xml:space="preserve">10.1</w:t>
            </w:r>
          </w:p>
        </w:tc>
        <w:tc>
          <w:tcPr>
            <w:tcW w:w="4195" w:type="dxa"/>
          </w:tcPr>
          <w:p>
            <w:pPr>
              <w:pStyle w:val="0"/>
              <w:jc w:val="both"/>
            </w:pPr>
            <w:r>
              <w:rPr>
                <w:sz w:val="20"/>
              </w:rPr>
              <w:t xml:space="preserve">на высоте свыше 1500 до 2500 м над уровнем моря;</w:t>
            </w:r>
          </w:p>
        </w:tc>
        <w:tc>
          <w:tcPr>
            <w:tcW w:w="1474" w:type="dxa"/>
          </w:tcPr>
          <w:p>
            <w:pPr>
              <w:pStyle w:val="0"/>
              <w:jc w:val="center"/>
            </w:pPr>
            <w:r>
              <w:rPr>
                <w:sz w:val="20"/>
              </w:rPr>
              <w:t xml:space="preserve">1,25</w:t>
            </w:r>
          </w:p>
        </w:tc>
        <w:tc>
          <w:tcPr>
            <w:tcW w:w="1304" w:type="dxa"/>
          </w:tcPr>
          <w:p>
            <w:pPr>
              <w:pStyle w:val="0"/>
              <w:jc w:val="center"/>
            </w:pPr>
            <w:r>
              <w:rPr>
                <w:sz w:val="20"/>
              </w:rPr>
              <w:t xml:space="preserve">1,25</w:t>
            </w:r>
          </w:p>
        </w:tc>
        <w:tc>
          <w:tcPr>
            <w:tcW w:w="1472" w:type="dxa"/>
          </w:tcPr>
          <w:p>
            <w:pPr>
              <w:pStyle w:val="0"/>
              <w:jc w:val="center"/>
            </w:pPr>
            <w:r>
              <w:rPr>
                <w:sz w:val="20"/>
              </w:rPr>
              <w:t xml:space="preserve">1,25</w:t>
            </w:r>
          </w:p>
        </w:tc>
      </w:tr>
      <w:tr>
        <w:tc>
          <w:tcPr>
            <w:tcW w:w="623" w:type="dxa"/>
          </w:tcPr>
          <w:bookmarkStart w:id="9808" w:name="P9808"/>
          <w:bookmarkEnd w:id="9808"/>
          <w:p>
            <w:pPr>
              <w:pStyle w:val="0"/>
              <w:jc w:val="center"/>
            </w:pPr>
            <w:r>
              <w:rPr>
                <w:sz w:val="20"/>
              </w:rPr>
              <w:t xml:space="preserve">10.2</w:t>
            </w:r>
          </w:p>
        </w:tc>
        <w:tc>
          <w:tcPr>
            <w:tcW w:w="4195" w:type="dxa"/>
          </w:tcPr>
          <w:p>
            <w:pPr>
              <w:pStyle w:val="0"/>
              <w:jc w:val="both"/>
            </w:pPr>
            <w:r>
              <w:rPr>
                <w:sz w:val="20"/>
              </w:rPr>
              <w:t xml:space="preserve">на высоте свыше 2500 до 3000 м над уровнем моря;</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1,35</w:t>
            </w:r>
          </w:p>
        </w:tc>
      </w:tr>
      <w:tr>
        <w:tc>
          <w:tcPr>
            <w:tcW w:w="623" w:type="dxa"/>
          </w:tcPr>
          <w:bookmarkStart w:id="9813" w:name="P9813"/>
          <w:bookmarkEnd w:id="9813"/>
          <w:p>
            <w:pPr>
              <w:pStyle w:val="0"/>
              <w:jc w:val="center"/>
            </w:pPr>
            <w:r>
              <w:rPr>
                <w:sz w:val="20"/>
              </w:rPr>
              <w:t xml:space="preserve">10.3</w:t>
            </w:r>
          </w:p>
        </w:tc>
        <w:tc>
          <w:tcPr>
            <w:tcW w:w="4195" w:type="dxa"/>
          </w:tcPr>
          <w:p>
            <w:pPr>
              <w:pStyle w:val="0"/>
              <w:jc w:val="both"/>
            </w:pPr>
            <w:r>
              <w:rPr>
                <w:sz w:val="20"/>
              </w:rPr>
              <w:t xml:space="preserve">на высоте свыше 3000 м над уровнем моря</w:t>
            </w:r>
          </w:p>
        </w:tc>
        <w:tc>
          <w:tcPr>
            <w:tcW w:w="1474" w:type="dxa"/>
          </w:tcPr>
          <w:p>
            <w:pPr>
              <w:pStyle w:val="0"/>
              <w:jc w:val="center"/>
            </w:pPr>
            <w:r>
              <w:rPr>
                <w:sz w:val="20"/>
              </w:rPr>
              <w:t xml:space="preserve">1,50</w:t>
            </w:r>
          </w:p>
        </w:tc>
        <w:tc>
          <w:tcPr>
            <w:tcW w:w="1304" w:type="dxa"/>
          </w:tcPr>
          <w:p>
            <w:pPr>
              <w:pStyle w:val="0"/>
              <w:jc w:val="center"/>
            </w:pPr>
            <w:r>
              <w:rPr>
                <w:sz w:val="20"/>
              </w:rPr>
              <w:t xml:space="preserve">1,50</w:t>
            </w:r>
          </w:p>
        </w:tc>
        <w:tc>
          <w:tcPr>
            <w:tcW w:w="1472" w:type="dxa"/>
          </w:tcPr>
          <w:p>
            <w:pPr>
              <w:pStyle w:val="0"/>
              <w:jc w:val="center"/>
            </w:pPr>
            <w:r>
              <w:rPr>
                <w:sz w:val="20"/>
              </w:rPr>
              <w:t xml:space="preserve">1,50</w:t>
            </w:r>
          </w:p>
        </w:tc>
      </w:tr>
      <w:tr>
        <w:tc>
          <w:tcPr>
            <w:tcW w:w="623" w:type="dxa"/>
          </w:tcPr>
          <w:bookmarkStart w:id="9818" w:name="P9818"/>
          <w:bookmarkEnd w:id="9818"/>
          <w:p>
            <w:pPr>
              <w:pStyle w:val="0"/>
            </w:pPr>
            <w:r>
              <w:rPr>
                <w:sz w:val="20"/>
              </w:rPr>
              <w:t xml:space="preserve">11</w:t>
            </w:r>
          </w:p>
        </w:tc>
        <w:tc>
          <w:tcPr>
            <w:tcW w:w="4195" w:type="dxa"/>
          </w:tcPr>
          <w:p>
            <w:pPr>
              <w:pStyle w:val="0"/>
              <w:jc w:val="both"/>
            </w:pPr>
            <w:r>
              <w:rPr>
                <w:sz w:val="20"/>
              </w:rPr>
              <w:t xml:space="preserve">Производство работ осуществляется на склонах гор с сохранением природного ландшафта</w:t>
            </w:r>
          </w:p>
        </w:tc>
        <w:tc>
          <w:tcPr>
            <w:tcW w:w="1474" w:type="dxa"/>
          </w:tcPr>
          <w:p>
            <w:pPr>
              <w:pStyle w:val="0"/>
              <w:jc w:val="center"/>
            </w:pPr>
            <w:r>
              <w:rPr>
                <w:sz w:val="20"/>
              </w:rPr>
              <w:t xml:space="preserve">1,20</w:t>
            </w:r>
          </w:p>
        </w:tc>
        <w:tc>
          <w:tcPr>
            <w:tcW w:w="1304" w:type="dxa"/>
          </w:tcPr>
          <w:p>
            <w:pPr>
              <w:pStyle w:val="0"/>
              <w:jc w:val="center"/>
            </w:pPr>
            <w:r>
              <w:rPr>
                <w:sz w:val="20"/>
              </w:rPr>
              <w:t xml:space="preserve">1,20</w:t>
            </w:r>
          </w:p>
        </w:tc>
        <w:tc>
          <w:tcPr>
            <w:tcW w:w="1472" w:type="dxa"/>
          </w:tcPr>
          <w:p>
            <w:pPr>
              <w:pStyle w:val="0"/>
              <w:jc w:val="center"/>
            </w:pPr>
            <w:r>
              <w:rPr>
                <w:sz w:val="20"/>
              </w:rPr>
              <w:t xml:space="preserve">1,20</w:t>
            </w:r>
          </w:p>
        </w:tc>
      </w:tr>
      <w:tr>
        <w:tc>
          <w:tcPr>
            <w:tcW w:w="623" w:type="dxa"/>
          </w:tcPr>
          <w:p>
            <w:pPr>
              <w:pStyle w:val="0"/>
            </w:pPr>
            <w:r>
              <w:rPr>
                <w:sz w:val="20"/>
              </w:rPr>
              <w:t xml:space="preserve">12</w:t>
            </w:r>
          </w:p>
        </w:tc>
        <w:tc>
          <w:tcPr>
            <w:tcW w:w="4195" w:type="dxa"/>
          </w:tcPr>
          <w:p>
            <w:pPr>
              <w:pStyle w:val="0"/>
              <w:jc w:val="both"/>
            </w:pPr>
            <w:r>
              <w:rPr>
                <w:sz w:val="20"/>
              </w:rPr>
              <w:t xml:space="preserve">Производство работ при реконструкции шахт, рудников, метрополитенов, тоннелей и других подземных сооружений специального назначения</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828" w:name="P9828"/>
          <w:bookmarkEnd w:id="9828"/>
          <w:p>
            <w:pPr>
              <w:pStyle w:val="0"/>
            </w:pPr>
            <w:r>
              <w:rPr>
                <w:sz w:val="20"/>
              </w:rPr>
              <w:t xml:space="preserve">12.1</w:t>
            </w:r>
          </w:p>
        </w:tc>
        <w:tc>
          <w:tcPr>
            <w:tcW w:w="4195" w:type="dxa"/>
          </w:tcPr>
          <w:p>
            <w:pPr>
              <w:pStyle w:val="0"/>
              <w:jc w:val="both"/>
            </w:pPr>
            <w:r>
              <w:rPr>
                <w:sz w:val="20"/>
              </w:rPr>
              <w:t xml:space="preserve">для работ, выполняемых на поверхности</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bookmarkStart w:id="9833" w:name="P9833"/>
          <w:bookmarkEnd w:id="9833"/>
          <w:p>
            <w:pPr>
              <w:pStyle w:val="0"/>
            </w:pPr>
            <w:r>
              <w:rPr>
                <w:sz w:val="20"/>
              </w:rPr>
              <w:t xml:space="preserve">12.2</w:t>
            </w:r>
          </w:p>
        </w:tc>
        <w:tc>
          <w:tcPr>
            <w:tcW w:w="4195" w:type="dxa"/>
          </w:tcPr>
          <w:p>
            <w:pPr>
              <w:pStyle w:val="0"/>
              <w:jc w:val="both"/>
            </w:pPr>
            <w:r>
              <w:rPr>
                <w:sz w:val="20"/>
              </w:rPr>
              <w:t xml:space="preserve">при открытом способе производства работ (включая путевые работы на поверхности)</w:t>
            </w:r>
          </w:p>
        </w:tc>
        <w:tc>
          <w:tcPr>
            <w:tcW w:w="1474" w:type="dxa"/>
          </w:tcPr>
          <w:p>
            <w:pPr>
              <w:pStyle w:val="0"/>
              <w:jc w:val="center"/>
            </w:pPr>
            <w:r>
              <w:rPr>
                <w:sz w:val="20"/>
              </w:rPr>
              <w:t xml:space="preserve">1,25</w:t>
            </w:r>
          </w:p>
        </w:tc>
        <w:tc>
          <w:tcPr>
            <w:tcW w:w="1304" w:type="dxa"/>
          </w:tcPr>
          <w:p>
            <w:pPr>
              <w:pStyle w:val="0"/>
              <w:jc w:val="center"/>
            </w:pPr>
            <w:r>
              <w:rPr>
                <w:sz w:val="20"/>
              </w:rPr>
              <w:t xml:space="preserve">1,25</w:t>
            </w:r>
          </w:p>
        </w:tc>
        <w:tc>
          <w:tcPr>
            <w:tcW w:w="1472" w:type="dxa"/>
          </w:tcPr>
          <w:p>
            <w:pPr>
              <w:pStyle w:val="0"/>
              <w:jc w:val="center"/>
            </w:pPr>
            <w:r>
              <w:rPr>
                <w:sz w:val="20"/>
              </w:rPr>
              <w:t xml:space="preserve">1,25</w:t>
            </w:r>
          </w:p>
        </w:tc>
      </w:tr>
      <w:tr>
        <w:tc>
          <w:tcPr>
            <w:tcW w:w="623" w:type="dxa"/>
          </w:tcPr>
          <w:bookmarkStart w:id="9838" w:name="P9838"/>
          <w:bookmarkEnd w:id="9838"/>
          <w:p>
            <w:pPr>
              <w:pStyle w:val="0"/>
            </w:pPr>
            <w:r>
              <w:rPr>
                <w:sz w:val="20"/>
              </w:rPr>
              <w:t xml:space="preserve">12.3</w:t>
            </w:r>
          </w:p>
        </w:tc>
        <w:tc>
          <w:tcPr>
            <w:tcW w:w="4195" w:type="dxa"/>
          </w:tcPr>
          <w:p>
            <w:pPr>
              <w:pStyle w:val="0"/>
              <w:jc w:val="both"/>
            </w:pPr>
            <w:r>
              <w:rPr>
                <w:sz w:val="20"/>
              </w:rPr>
              <w:t xml:space="preserve">для работ, выполняемых в подземных условиях</w:t>
            </w:r>
          </w:p>
        </w:tc>
        <w:tc>
          <w:tcPr>
            <w:tcW w:w="1474" w:type="dxa"/>
          </w:tcPr>
          <w:p>
            <w:pPr>
              <w:pStyle w:val="0"/>
              <w:jc w:val="center"/>
            </w:pPr>
            <w:r>
              <w:rPr>
                <w:sz w:val="20"/>
              </w:rPr>
              <w:t xml:space="preserve">1,68</w:t>
            </w:r>
          </w:p>
        </w:tc>
        <w:tc>
          <w:tcPr>
            <w:tcW w:w="1304" w:type="dxa"/>
          </w:tcPr>
          <w:p>
            <w:pPr>
              <w:pStyle w:val="0"/>
              <w:jc w:val="center"/>
            </w:pPr>
            <w:r>
              <w:rPr>
                <w:sz w:val="20"/>
              </w:rPr>
              <w:t xml:space="preserve">1,68</w:t>
            </w:r>
          </w:p>
        </w:tc>
        <w:tc>
          <w:tcPr>
            <w:tcW w:w="1472" w:type="dxa"/>
          </w:tcPr>
          <w:p>
            <w:pPr>
              <w:pStyle w:val="0"/>
              <w:jc w:val="center"/>
            </w:pPr>
            <w:r>
              <w:rPr>
                <w:sz w:val="20"/>
              </w:rPr>
              <w:t xml:space="preserve">1,48</w:t>
            </w:r>
          </w:p>
        </w:tc>
      </w:tr>
      <w:tr>
        <w:tc>
          <w:tcPr>
            <w:tcW w:w="623" w:type="dxa"/>
          </w:tcPr>
          <w:p>
            <w:pPr>
              <w:pStyle w:val="0"/>
            </w:pPr>
            <w:r>
              <w:rPr>
                <w:sz w:val="20"/>
              </w:rPr>
              <w:t xml:space="preserve">13</w:t>
            </w:r>
          </w:p>
        </w:tc>
        <w:tc>
          <w:tcPr>
            <w:tcW w:w="4195" w:type="dxa"/>
          </w:tcPr>
          <w:p>
            <w:pPr>
              <w:pStyle w:val="0"/>
              <w:jc w:val="both"/>
            </w:pPr>
            <w:r>
              <w:rPr>
                <w:sz w:val="20"/>
              </w:rPr>
              <w:t xml:space="preserve">Производство работ осуществляется в эксплуатируемых тоннелях метрополитенов в ночное время "в окно":</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848" w:name="P9848"/>
          <w:bookmarkEnd w:id="9848"/>
          <w:p>
            <w:pPr>
              <w:pStyle w:val="0"/>
            </w:pPr>
            <w:r>
              <w:rPr>
                <w:sz w:val="20"/>
              </w:rPr>
              <w:t xml:space="preserve">13.1</w:t>
            </w:r>
          </w:p>
        </w:tc>
        <w:tc>
          <w:tcPr>
            <w:tcW w:w="4195" w:type="dxa"/>
          </w:tcPr>
          <w:p>
            <w:pPr>
              <w:pStyle w:val="0"/>
              <w:jc w:val="both"/>
            </w:pPr>
            <w:r>
              <w:rPr>
                <w:sz w:val="20"/>
              </w:rPr>
              <w:t xml:space="preserve">при выполнении рабочими в течение рабочей смены только работ, связанных с "окном";</w:t>
            </w:r>
          </w:p>
        </w:tc>
        <w:tc>
          <w:tcPr>
            <w:tcW w:w="1474" w:type="dxa"/>
          </w:tcPr>
          <w:p>
            <w:pPr>
              <w:pStyle w:val="0"/>
              <w:jc w:val="center"/>
            </w:pPr>
            <w:r>
              <w:rPr>
                <w:sz w:val="20"/>
              </w:rPr>
              <w:t xml:space="preserve">3,00</w:t>
            </w:r>
          </w:p>
        </w:tc>
        <w:tc>
          <w:tcPr>
            <w:tcW w:w="1304" w:type="dxa"/>
          </w:tcPr>
          <w:p>
            <w:pPr>
              <w:pStyle w:val="0"/>
              <w:jc w:val="center"/>
            </w:pPr>
            <w:r>
              <w:rPr>
                <w:sz w:val="20"/>
              </w:rPr>
              <w:t xml:space="preserve">3,00</w:t>
            </w:r>
          </w:p>
        </w:tc>
        <w:tc>
          <w:tcPr>
            <w:tcW w:w="1472" w:type="dxa"/>
          </w:tcPr>
          <w:p>
            <w:pPr>
              <w:pStyle w:val="0"/>
              <w:jc w:val="center"/>
            </w:pPr>
            <w:r>
              <w:rPr>
                <w:sz w:val="20"/>
              </w:rPr>
              <w:t xml:space="preserve">2,80</w:t>
            </w:r>
          </w:p>
        </w:tc>
      </w:tr>
      <w:tr>
        <w:tc>
          <w:tcPr>
            <w:tcW w:w="623" w:type="dxa"/>
          </w:tcPr>
          <w:bookmarkStart w:id="9853" w:name="P9853"/>
          <w:bookmarkEnd w:id="9853"/>
          <w:p>
            <w:pPr>
              <w:pStyle w:val="0"/>
            </w:pPr>
            <w:r>
              <w:rPr>
                <w:sz w:val="20"/>
              </w:rPr>
              <w:t xml:space="preserve">13.2</w:t>
            </w:r>
          </w:p>
        </w:tc>
        <w:tc>
          <w:tcPr>
            <w:tcW w:w="4195" w:type="dxa"/>
          </w:tcPr>
          <w:p>
            <w:pPr>
              <w:pStyle w:val="0"/>
              <w:jc w:val="both"/>
            </w:pPr>
            <w:r>
              <w:rPr>
                <w:sz w:val="20"/>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w="1474" w:type="dxa"/>
          </w:tcPr>
          <w:p>
            <w:pPr>
              <w:pStyle w:val="0"/>
              <w:jc w:val="center"/>
            </w:pPr>
            <w:r>
              <w:rPr>
                <w:sz w:val="20"/>
              </w:rPr>
              <w:t xml:space="preserve">2,00</w:t>
            </w:r>
          </w:p>
        </w:tc>
        <w:tc>
          <w:tcPr>
            <w:tcW w:w="1304" w:type="dxa"/>
          </w:tcPr>
          <w:p>
            <w:pPr>
              <w:pStyle w:val="0"/>
              <w:jc w:val="center"/>
            </w:pPr>
            <w:r>
              <w:rPr>
                <w:sz w:val="20"/>
              </w:rPr>
              <w:t xml:space="preserve">2,00</w:t>
            </w:r>
          </w:p>
        </w:tc>
        <w:tc>
          <w:tcPr>
            <w:tcW w:w="1472" w:type="dxa"/>
          </w:tcPr>
          <w:p>
            <w:pPr>
              <w:pStyle w:val="0"/>
              <w:jc w:val="center"/>
            </w:pPr>
            <w:r>
              <w:rPr>
                <w:sz w:val="20"/>
              </w:rPr>
              <w:t xml:space="preserve">1,80</w:t>
            </w:r>
          </w:p>
        </w:tc>
      </w:tr>
      <w:tr>
        <w:tc>
          <w:tcPr>
            <w:tcW w:w="623" w:type="dxa"/>
          </w:tcPr>
          <w:bookmarkStart w:id="9858" w:name="P9858"/>
          <w:bookmarkEnd w:id="9858"/>
          <w:p>
            <w:pPr>
              <w:pStyle w:val="0"/>
              <w:jc w:val="center"/>
            </w:pPr>
            <w:r>
              <w:rPr>
                <w:sz w:val="20"/>
              </w:rPr>
              <w:t xml:space="preserve">14</w:t>
            </w:r>
          </w:p>
        </w:tc>
        <w:tc>
          <w:tcPr>
            <w:tcW w:w="4195" w:type="dxa"/>
          </w:tcPr>
          <w:p>
            <w:pPr>
              <w:pStyle w:val="0"/>
              <w:jc w:val="both"/>
            </w:pPr>
            <w:r>
              <w:rPr>
                <w:sz w:val="20"/>
              </w:rPr>
              <w:t xml:space="preserve">Производство работ на предприятиях, где в силу режима секретности и (или) внутриобъектного режима применяются специальный допуск, специальный пропуск и другие ограничения для рабочих</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bl>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2.1. Коэффициенты, приведенные в </w:t>
      </w:r>
      <w:hyperlink w:history="0" w:anchor="P9693" w:tooltip="Реконструкция объектов капитального строительства">
        <w:r>
          <w:rPr>
            <w:sz w:val="20"/>
            <w:color w:val="0000ff"/>
          </w:rPr>
          <w:t xml:space="preserve">таблице 2</w:t>
        </w:r>
      </w:hyperlink>
      <w:r>
        <w:rPr>
          <w:sz w:val="20"/>
        </w:rPr>
        <w:t xml:space="preserve"> (за исключением указанных в </w:t>
      </w:r>
      <w:hyperlink w:history="0" w:anchor="P9743" w:tooltip="4.1">
        <w:r>
          <w:rPr>
            <w:sz w:val="20"/>
            <w:color w:val="0000ff"/>
          </w:rPr>
          <w:t xml:space="preserve">пунктах 4.1</w:t>
        </w:r>
      </w:hyperlink>
      <w:r>
        <w:rPr>
          <w:sz w:val="20"/>
        </w:rPr>
        <w:t xml:space="preserve"> - </w:t>
      </w:r>
      <w:hyperlink w:history="0" w:anchor="P9768" w:tooltip="4.6">
        <w:r>
          <w:rPr>
            <w:sz w:val="20"/>
            <w:color w:val="0000ff"/>
          </w:rPr>
          <w:t xml:space="preserve">4.6</w:t>
        </w:r>
      </w:hyperlink>
      <w:r>
        <w:rPr>
          <w:sz w:val="20"/>
        </w:rPr>
        <w:t xml:space="preserve">, </w:t>
      </w:r>
      <w:hyperlink w:history="0" w:anchor="P9828" w:tooltip="12.1">
        <w:r>
          <w:rPr>
            <w:sz w:val="20"/>
            <w:color w:val="0000ff"/>
          </w:rPr>
          <w:t xml:space="preserve">12.1</w:t>
        </w:r>
      </w:hyperlink>
      <w:r>
        <w:rPr>
          <w:sz w:val="20"/>
        </w:rPr>
        <w:t xml:space="preserve">, </w:t>
      </w:r>
      <w:hyperlink w:history="0" w:anchor="P9833" w:tooltip="12.2">
        <w:r>
          <w:rPr>
            <w:sz w:val="20"/>
            <w:color w:val="0000ff"/>
          </w:rPr>
          <w:t xml:space="preserve">12.2</w:t>
        </w:r>
      </w:hyperlink>
      <w:r>
        <w:rPr>
          <w:sz w:val="20"/>
        </w:rPr>
        <w:t xml:space="preserve">, </w:t>
      </w:r>
      <w:hyperlink w:history="0" w:anchor="P9838" w:tooltip="12.3">
        <w:r>
          <w:rPr>
            <w:sz w:val="20"/>
            <w:color w:val="0000ff"/>
          </w:rPr>
          <w:t xml:space="preserve">12.3</w:t>
        </w:r>
      </w:hyperlink>
      <w:r>
        <w:rPr>
          <w:sz w:val="20"/>
        </w:rPr>
        <w:t xml:space="preserve">, </w:t>
      </w:r>
      <w:hyperlink w:history="0" w:anchor="P9848" w:tooltip="13.1">
        <w:r>
          <w:rPr>
            <w:sz w:val="20"/>
            <w:color w:val="0000ff"/>
          </w:rPr>
          <w:t xml:space="preserve">13.1</w:t>
        </w:r>
      </w:hyperlink>
      <w:r>
        <w:rPr>
          <w:sz w:val="20"/>
        </w:rPr>
        <w:t xml:space="preserve"> и </w:t>
      </w:r>
      <w:hyperlink w:history="0" w:anchor="P9853" w:tooltip="13.2">
        <w:r>
          <w:rPr>
            <w:sz w:val="20"/>
            <w:color w:val="0000ff"/>
          </w:rPr>
          <w:t xml:space="preserve">13.2</w:t>
        </w:r>
      </w:hyperlink>
      <w:r>
        <w:rPr>
          <w:sz w:val="20"/>
        </w:rPr>
        <w:t xml:space="preserve">) применяются:</w:t>
      </w:r>
    </w:p>
    <w:p>
      <w:pPr>
        <w:pStyle w:val="0"/>
        <w:spacing w:before="200" w:line-rule="auto"/>
        <w:ind w:firstLine="540"/>
        <w:jc w:val="both"/>
      </w:pPr>
      <w:r>
        <w:rPr>
          <w:sz w:val="20"/>
        </w:rPr>
        <w:t xml:space="preserve">а) при определении сметной стоимости строительства базисно-индексным методом - к показателям оплаты труда рабочих, затратам труда рабочих, стоимости эксплуатации машин и механизмов, в том числе оплате труда и затратам труда машинистов;</w:t>
      </w:r>
    </w:p>
    <w:p>
      <w:pPr>
        <w:pStyle w:val="0"/>
        <w:spacing w:before="200" w:line-rule="auto"/>
        <w:ind w:firstLine="540"/>
        <w:jc w:val="both"/>
      </w:pPr>
      <w:r>
        <w:rPr>
          <w:sz w:val="20"/>
        </w:rPr>
        <w:t xml:space="preserve">б) при определении сметной стоимости строительства ресурсно-индексным и ресурсным методами - к затратам труда рабочих, времени эксплуатации машин и механизмов и затратам труда машинистов.</w:t>
      </w:r>
    </w:p>
    <w:p>
      <w:pPr>
        <w:pStyle w:val="0"/>
        <w:spacing w:before="200" w:line-rule="auto"/>
        <w:ind w:firstLine="540"/>
        <w:jc w:val="both"/>
      </w:pPr>
      <w:r>
        <w:rPr>
          <w:sz w:val="20"/>
        </w:rPr>
        <w:t xml:space="preserve">Коэффициенты, указанные в </w:t>
      </w:r>
      <w:hyperlink w:history="0" w:anchor="P9743" w:tooltip="4.1">
        <w:r>
          <w:rPr>
            <w:sz w:val="20"/>
            <w:color w:val="0000ff"/>
          </w:rPr>
          <w:t xml:space="preserve">пунктах 4.1</w:t>
        </w:r>
      </w:hyperlink>
      <w:r>
        <w:rPr>
          <w:sz w:val="20"/>
        </w:rPr>
        <w:t xml:space="preserve"> - </w:t>
      </w:r>
      <w:hyperlink w:history="0" w:anchor="P9768" w:tooltip="4.6">
        <w:r>
          <w:rPr>
            <w:sz w:val="20"/>
            <w:color w:val="0000ff"/>
          </w:rPr>
          <w:t xml:space="preserve">4.6</w:t>
        </w:r>
      </w:hyperlink>
      <w:r>
        <w:rPr>
          <w:sz w:val="20"/>
        </w:rPr>
        <w:t xml:space="preserve">, </w:t>
      </w:r>
      <w:hyperlink w:history="0" w:anchor="P9828" w:tooltip="12.1">
        <w:r>
          <w:rPr>
            <w:sz w:val="20"/>
            <w:color w:val="0000ff"/>
          </w:rPr>
          <w:t xml:space="preserve">12.1</w:t>
        </w:r>
      </w:hyperlink>
      <w:r>
        <w:rPr>
          <w:sz w:val="20"/>
        </w:rPr>
        <w:t xml:space="preserve">, </w:t>
      </w:r>
      <w:hyperlink w:history="0" w:anchor="P9833" w:tooltip="12.2">
        <w:r>
          <w:rPr>
            <w:sz w:val="20"/>
            <w:color w:val="0000ff"/>
          </w:rPr>
          <w:t xml:space="preserve">12.2</w:t>
        </w:r>
      </w:hyperlink>
      <w:r>
        <w:rPr>
          <w:sz w:val="20"/>
        </w:rPr>
        <w:t xml:space="preserve">, </w:t>
      </w:r>
      <w:hyperlink w:history="0" w:anchor="P9838" w:tooltip="12.3">
        <w:r>
          <w:rPr>
            <w:sz w:val="20"/>
            <w:color w:val="0000ff"/>
          </w:rPr>
          <w:t xml:space="preserve">12.3</w:t>
        </w:r>
      </w:hyperlink>
      <w:r>
        <w:rPr>
          <w:sz w:val="20"/>
        </w:rPr>
        <w:t xml:space="preserve">, </w:t>
      </w:r>
      <w:hyperlink w:history="0" w:anchor="P9848" w:tooltip="13.1">
        <w:r>
          <w:rPr>
            <w:sz w:val="20"/>
            <w:color w:val="0000ff"/>
          </w:rPr>
          <w:t xml:space="preserve">13.1</w:t>
        </w:r>
      </w:hyperlink>
      <w:r>
        <w:rPr>
          <w:sz w:val="20"/>
        </w:rPr>
        <w:t xml:space="preserve"> и </w:t>
      </w:r>
      <w:hyperlink w:history="0" w:anchor="P9853" w:tooltip="13.2">
        <w:r>
          <w:rPr>
            <w:sz w:val="20"/>
            <w:color w:val="0000ff"/>
          </w:rPr>
          <w:t xml:space="preserve">13.2</w:t>
        </w:r>
      </w:hyperlink>
      <w:r>
        <w:rPr>
          <w:sz w:val="20"/>
        </w:rPr>
        <w:t xml:space="preserve">, применяются к показателям оплаты труда рабочих и машинистов.</w:t>
      </w:r>
    </w:p>
    <w:p>
      <w:pPr>
        <w:pStyle w:val="0"/>
        <w:spacing w:before="200" w:line-rule="auto"/>
        <w:ind w:firstLine="540"/>
        <w:jc w:val="both"/>
      </w:pPr>
      <w:r>
        <w:rPr>
          <w:sz w:val="20"/>
        </w:rPr>
        <w:t xml:space="preserve">2.2. Коэффициенты, указанные в </w:t>
      </w:r>
      <w:hyperlink w:history="0" w:anchor="P9729" w:tooltip="3">
        <w:r>
          <w:rPr>
            <w:sz w:val="20"/>
            <w:color w:val="0000ff"/>
          </w:rPr>
          <w:t xml:space="preserve">пунктах 3</w:t>
        </w:r>
      </w:hyperlink>
      <w:r>
        <w:rPr>
          <w:sz w:val="20"/>
        </w:rPr>
        <w:t xml:space="preserve"> и </w:t>
      </w:r>
      <w:hyperlink w:history="0" w:anchor="P9793" w:tooltip="9">
        <w:r>
          <w:rPr>
            <w:sz w:val="20"/>
            <w:color w:val="0000ff"/>
          </w:rPr>
          <w:t xml:space="preserve">9</w:t>
        </w:r>
      </w:hyperlink>
      <w:r>
        <w:rPr>
          <w:sz w:val="20"/>
        </w:rPr>
        <w:t xml:space="preserve">, не распространяются на работы, выполняемые в помещениях объектов капитального строительства.</w:t>
      </w:r>
    </w:p>
    <w:p>
      <w:pPr>
        <w:pStyle w:val="0"/>
        <w:spacing w:before="200" w:line-rule="auto"/>
        <w:ind w:firstLine="540"/>
        <w:jc w:val="both"/>
      </w:pPr>
      <w:r>
        <w:rPr>
          <w:sz w:val="20"/>
        </w:rPr>
        <w:t xml:space="preserve">2.3. Одновременное применение нескольких коэффициентов не допускается. Исключением являются коэффициенты, указанные в </w:t>
      </w:r>
      <w:hyperlink w:history="0" w:anchor="P9743" w:tooltip="4.1">
        <w:r>
          <w:rPr>
            <w:sz w:val="20"/>
            <w:color w:val="0000ff"/>
          </w:rPr>
          <w:t xml:space="preserve">пунктах 4.1</w:t>
        </w:r>
      </w:hyperlink>
      <w:r>
        <w:rPr>
          <w:sz w:val="20"/>
        </w:rPr>
        <w:t xml:space="preserve"> - </w:t>
      </w:r>
      <w:hyperlink w:history="0" w:anchor="P9768" w:tooltip="4.6">
        <w:r>
          <w:rPr>
            <w:sz w:val="20"/>
            <w:color w:val="0000ff"/>
          </w:rPr>
          <w:t xml:space="preserve">4.6</w:t>
        </w:r>
      </w:hyperlink>
      <w:r>
        <w:rPr>
          <w:sz w:val="20"/>
        </w:rPr>
        <w:t xml:space="preserve">, </w:t>
      </w:r>
      <w:hyperlink w:history="0" w:anchor="P9773" w:tooltip="5">
        <w:r>
          <w:rPr>
            <w:sz w:val="20"/>
            <w:color w:val="0000ff"/>
          </w:rPr>
          <w:t xml:space="preserve">5</w:t>
        </w:r>
      </w:hyperlink>
      <w:r>
        <w:rPr>
          <w:sz w:val="20"/>
        </w:rPr>
        <w:t xml:space="preserve">, </w:t>
      </w:r>
      <w:hyperlink w:history="0" w:anchor="P9783" w:tooltip="7">
        <w:r>
          <w:rPr>
            <w:sz w:val="20"/>
            <w:color w:val="0000ff"/>
          </w:rPr>
          <w:t xml:space="preserve">7</w:t>
        </w:r>
      </w:hyperlink>
      <w:r>
        <w:rPr>
          <w:sz w:val="20"/>
        </w:rPr>
        <w:t xml:space="preserve">, </w:t>
      </w:r>
      <w:hyperlink w:history="0" w:anchor="P9788" w:tooltip="8">
        <w:r>
          <w:rPr>
            <w:sz w:val="20"/>
            <w:color w:val="0000ff"/>
          </w:rPr>
          <w:t xml:space="preserve">8</w:t>
        </w:r>
      </w:hyperlink>
      <w:r>
        <w:rPr>
          <w:sz w:val="20"/>
        </w:rPr>
        <w:t xml:space="preserve">, </w:t>
      </w:r>
      <w:hyperlink w:history="0" w:anchor="P9803" w:tooltip="10.1">
        <w:r>
          <w:rPr>
            <w:sz w:val="20"/>
            <w:color w:val="0000ff"/>
          </w:rPr>
          <w:t xml:space="preserve">10.1</w:t>
        </w:r>
      </w:hyperlink>
      <w:r>
        <w:rPr>
          <w:sz w:val="20"/>
        </w:rPr>
        <w:t xml:space="preserve">, </w:t>
      </w:r>
      <w:hyperlink w:history="0" w:anchor="P9808" w:tooltip="10.2">
        <w:r>
          <w:rPr>
            <w:sz w:val="20"/>
            <w:color w:val="0000ff"/>
          </w:rPr>
          <w:t xml:space="preserve">10.2</w:t>
        </w:r>
      </w:hyperlink>
      <w:r>
        <w:rPr>
          <w:sz w:val="20"/>
        </w:rPr>
        <w:t xml:space="preserve">, </w:t>
      </w:r>
      <w:hyperlink w:history="0" w:anchor="P9813" w:tooltip="10.3">
        <w:r>
          <w:rPr>
            <w:sz w:val="20"/>
            <w:color w:val="0000ff"/>
          </w:rPr>
          <w:t xml:space="preserve">10.3</w:t>
        </w:r>
      </w:hyperlink>
      <w:r>
        <w:rPr>
          <w:sz w:val="20"/>
        </w:rPr>
        <w:t xml:space="preserve">, </w:t>
      </w:r>
      <w:hyperlink w:history="0" w:anchor="P9818" w:tooltip="11">
        <w:r>
          <w:rPr>
            <w:sz w:val="20"/>
            <w:color w:val="0000ff"/>
          </w:rPr>
          <w:t xml:space="preserve">11</w:t>
        </w:r>
      </w:hyperlink>
      <w:r>
        <w:rPr>
          <w:sz w:val="20"/>
        </w:rPr>
        <w:t xml:space="preserve"> и </w:t>
      </w:r>
      <w:hyperlink w:history="0" w:anchor="P9858" w:tooltip="14">
        <w:r>
          <w:rPr>
            <w:sz w:val="20"/>
            <w:color w:val="0000ff"/>
          </w:rPr>
          <w:t xml:space="preserve">14</w:t>
        </w:r>
      </w:hyperlink>
      <w:r>
        <w:rPr>
          <w:sz w:val="20"/>
        </w:rPr>
        <w:t xml:space="preserve">, каждый из которых может применяться с другим коэффициентом, приведенным в </w:t>
      </w:r>
      <w:hyperlink w:history="0" w:anchor="P9693" w:tooltip="Реконструкция объектов капитального строительства">
        <w:r>
          <w:rPr>
            <w:sz w:val="20"/>
            <w:color w:val="0000ff"/>
          </w:rPr>
          <w:t xml:space="preserve">таблице 2</w:t>
        </w:r>
      </w:hyperlink>
      <w:r>
        <w:rPr>
          <w:sz w:val="20"/>
        </w:rPr>
        <w:t xml:space="preserve">. При одновременном применении коэффициенты, относящиеся к одним и тем же составляющим сметных норм (единичных расценок), перемножаются.</w:t>
      </w:r>
    </w:p>
    <w:p>
      <w:pPr>
        <w:pStyle w:val="0"/>
        <w:jc w:val="both"/>
      </w:pPr>
      <w:r>
        <w:rPr>
          <w:sz w:val="20"/>
        </w:rPr>
      </w:r>
    </w:p>
    <w:p>
      <w:pPr>
        <w:pStyle w:val="0"/>
        <w:outlineLvl w:val="2"/>
        <w:jc w:val="right"/>
      </w:pPr>
      <w:r>
        <w:rPr>
          <w:sz w:val="20"/>
        </w:rPr>
        <w:t xml:space="preserve">Таблица 3</w:t>
      </w:r>
    </w:p>
    <w:p>
      <w:pPr>
        <w:pStyle w:val="0"/>
        <w:jc w:val="both"/>
      </w:pPr>
      <w:r>
        <w:rPr>
          <w:sz w:val="20"/>
        </w:rPr>
      </w:r>
    </w:p>
    <w:bookmarkStart w:id="9874" w:name="P9874"/>
    <w:bookmarkEnd w:id="9874"/>
    <w:p>
      <w:pPr>
        <w:pStyle w:val="2"/>
        <w:jc w:val="center"/>
      </w:pPr>
      <w:r>
        <w:rPr>
          <w:sz w:val="20"/>
        </w:rPr>
        <w:t xml:space="preserve">Капитальный ремонт объектов капитального строительства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3"/>
        <w:gridCol w:w="4195"/>
        <w:gridCol w:w="1474"/>
        <w:gridCol w:w="1304"/>
        <w:gridCol w:w="1472"/>
      </w:tblGrid>
      <w:tr>
        <w:tc>
          <w:tcPr>
            <w:tcW w:w="623" w:type="dxa"/>
            <w:vMerge w:val="restart"/>
          </w:tcPr>
          <w:p>
            <w:pPr>
              <w:pStyle w:val="0"/>
              <w:jc w:val="center"/>
            </w:pPr>
            <w:r>
              <w:rPr>
                <w:sz w:val="20"/>
              </w:rPr>
              <w:t xml:space="preserve">N пп.</w:t>
            </w:r>
          </w:p>
        </w:tc>
        <w:tc>
          <w:tcPr>
            <w:tcW w:w="4195" w:type="dxa"/>
            <w:vMerge w:val="restart"/>
          </w:tcPr>
          <w:p>
            <w:pPr>
              <w:pStyle w:val="0"/>
              <w:jc w:val="center"/>
            </w:pPr>
            <w:r>
              <w:rPr>
                <w:sz w:val="20"/>
              </w:rPr>
              <w:t xml:space="preserve">Условия производства работ</w:t>
            </w:r>
          </w:p>
        </w:tc>
        <w:tc>
          <w:tcPr>
            <w:gridSpan w:val="3"/>
            <w:tcW w:w="4250" w:type="dxa"/>
          </w:tcPr>
          <w:p>
            <w:pPr>
              <w:pStyle w:val="0"/>
              <w:jc w:val="center"/>
            </w:pPr>
            <w:r>
              <w:rPr>
                <w:sz w:val="20"/>
              </w:rPr>
              <w:t xml:space="preserve">Коэффициенты</w:t>
            </w:r>
          </w:p>
        </w:tc>
      </w:tr>
      <w:tr>
        <w:tc>
          <w:tcPr>
            <w:vMerge w:val="continue"/>
          </w:tcPr>
          <w:p/>
        </w:tc>
        <w:tc>
          <w:tcPr>
            <w:vMerge w:val="continue"/>
          </w:tcPr>
          <w:p/>
        </w:tc>
        <w:tc>
          <w:tcPr>
            <w:tcW w:w="1474" w:type="dxa"/>
          </w:tcPr>
          <w:p>
            <w:pPr>
              <w:pStyle w:val="0"/>
              <w:jc w:val="center"/>
            </w:pPr>
            <w:r>
              <w:rPr>
                <w:sz w:val="20"/>
              </w:rPr>
              <w:t xml:space="preserve">ГЭСН (ФЕР, ТЕР) (кроме ГЭСН (ФЕР, ТЕР) 81-02-46-XXXX)</w:t>
            </w:r>
          </w:p>
        </w:tc>
        <w:tc>
          <w:tcPr>
            <w:tcW w:w="1304" w:type="dxa"/>
          </w:tcPr>
          <w:p>
            <w:pPr>
              <w:pStyle w:val="0"/>
              <w:jc w:val="center"/>
            </w:pPr>
            <w:r>
              <w:rPr>
                <w:sz w:val="20"/>
              </w:rPr>
              <w:t xml:space="preserve">ГЭСНм (ФЕРм, ТЕРм)</w:t>
            </w:r>
          </w:p>
        </w:tc>
        <w:tc>
          <w:tcPr>
            <w:tcW w:w="1472" w:type="dxa"/>
          </w:tcPr>
          <w:p>
            <w:pPr>
              <w:pStyle w:val="0"/>
              <w:jc w:val="center"/>
            </w:pPr>
            <w:r>
              <w:rPr>
                <w:sz w:val="20"/>
              </w:rPr>
              <w:t xml:space="preserve">ГЭСНр (ФЕРр, ТЕРр), ГЭСН (ФЕР, ТЕР) 81-02-46-XXXX</w:t>
            </w:r>
          </w:p>
        </w:tc>
      </w:tr>
      <w:tr>
        <w:tc>
          <w:tcPr>
            <w:tcW w:w="623" w:type="dxa"/>
          </w:tcPr>
          <w:p>
            <w:pPr>
              <w:pStyle w:val="0"/>
              <w:jc w:val="center"/>
            </w:pPr>
            <w:r>
              <w:rPr>
                <w:sz w:val="20"/>
              </w:rPr>
              <w:t xml:space="preserve">1</w:t>
            </w:r>
          </w:p>
        </w:tc>
        <w:tc>
          <w:tcPr>
            <w:tcW w:w="4195" w:type="dxa"/>
          </w:tcPr>
          <w:p>
            <w:pPr>
              <w:pStyle w:val="0"/>
              <w:jc w:val="center"/>
            </w:pPr>
            <w:r>
              <w:rPr>
                <w:sz w:val="20"/>
              </w:rPr>
              <w:t xml:space="preserve">2</w:t>
            </w:r>
          </w:p>
        </w:tc>
        <w:tc>
          <w:tcPr>
            <w:tcW w:w="1474" w:type="dxa"/>
          </w:tcPr>
          <w:p>
            <w:pPr>
              <w:pStyle w:val="0"/>
              <w:jc w:val="center"/>
            </w:pPr>
            <w:r>
              <w:rPr>
                <w:sz w:val="20"/>
              </w:rPr>
              <w:t xml:space="preserve">3</w:t>
            </w:r>
          </w:p>
        </w:tc>
        <w:tc>
          <w:tcPr>
            <w:tcW w:w="1304" w:type="dxa"/>
          </w:tcPr>
          <w:p>
            <w:pPr>
              <w:pStyle w:val="0"/>
              <w:jc w:val="center"/>
            </w:pPr>
            <w:r>
              <w:rPr>
                <w:sz w:val="20"/>
              </w:rPr>
              <w:t xml:space="preserve">4</w:t>
            </w:r>
          </w:p>
        </w:tc>
        <w:tc>
          <w:tcPr>
            <w:tcW w:w="1472" w:type="dxa"/>
          </w:tcPr>
          <w:p>
            <w:pPr>
              <w:pStyle w:val="0"/>
              <w:jc w:val="center"/>
            </w:pPr>
            <w:r>
              <w:rPr>
                <w:sz w:val="20"/>
              </w:rPr>
              <w:t xml:space="preserve">5</w:t>
            </w:r>
          </w:p>
        </w:tc>
      </w:tr>
      <w:tr>
        <w:tc>
          <w:tcPr>
            <w:tcW w:w="623" w:type="dxa"/>
          </w:tcPr>
          <w:p>
            <w:pPr>
              <w:pStyle w:val="0"/>
              <w:jc w:val="center"/>
            </w:pPr>
            <w:r>
              <w:rPr>
                <w:sz w:val="20"/>
              </w:rPr>
              <w:t xml:space="preserve">1</w:t>
            </w:r>
          </w:p>
        </w:tc>
        <w:tc>
          <w:tcPr>
            <w:tcW w:w="4195" w:type="dxa"/>
          </w:tcPr>
          <w:p>
            <w:pPr>
              <w:pStyle w:val="0"/>
              <w:jc w:val="both"/>
            </w:pPr>
            <w:r>
              <w:rPr>
                <w:sz w:val="20"/>
              </w:rPr>
              <w:t xml:space="preserve">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при этом:</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p>
            <w:pPr>
              <w:pStyle w:val="0"/>
            </w:pPr>
            <w:r>
              <w:rPr>
                <w:sz w:val="20"/>
              </w:rPr>
              <w:t xml:space="preserve">1.1</w:t>
            </w:r>
          </w:p>
        </w:tc>
        <w:tc>
          <w:tcPr>
            <w:tcW w:w="4195" w:type="dxa"/>
          </w:tcPr>
          <w:p>
            <w:pPr>
              <w:pStyle w:val="0"/>
              <w:jc w:val="both"/>
            </w:pPr>
            <w:r>
              <w:rPr>
                <w:sz w:val="20"/>
              </w:rPr>
              <w:t xml:space="preserve">в зоне производства ремонтно-строительных работ отсутствуют действующее технологическое или лабораторное оборудование, мебель и иные загромождающие помещения предметы;</w:t>
            </w:r>
          </w:p>
        </w:tc>
        <w:tc>
          <w:tcPr>
            <w:tcW w:w="1474" w:type="dxa"/>
          </w:tcPr>
          <w:p>
            <w:pPr>
              <w:pStyle w:val="0"/>
              <w:jc w:val="center"/>
            </w:pPr>
            <w:r>
              <w:rPr>
                <w:sz w:val="20"/>
              </w:rPr>
              <w:t xml:space="preserve">1,20</w:t>
            </w:r>
          </w:p>
        </w:tc>
        <w:tc>
          <w:tcPr>
            <w:tcW w:w="1304" w:type="dxa"/>
          </w:tcPr>
          <w:p>
            <w:pPr>
              <w:pStyle w:val="0"/>
              <w:jc w:val="center"/>
            </w:pPr>
            <w:r>
              <w:rPr>
                <w:sz w:val="20"/>
              </w:rPr>
              <w:t xml:space="preserve">1,20</w:t>
            </w:r>
          </w:p>
        </w:tc>
        <w:tc>
          <w:tcPr>
            <w:tcW w:w="1472" w:type="dxa"/>
          </w:tcPr>
          <w:p>
            <w:pPr>
              <w:pStyle w:val="0"/>
              <w:jc w:val="center"/>
            </w:pPr>
            <w:r>
              <w:rPr>
                <w:sz w:val="20"/>
              </w:rPr>
              <w:t xml:space="preserve">-</w:t>
            </w:r>
          </w:p>
        </w:tc>
      </w:tr>
      <w:tr>
        <w:tc>
          <w:tcPr>
            <w:tcW w:w="623" w:type="dxa"/>
          </w:tcPr>
          <w:p>
            <w:pPr>
              <w:pStyle w:val="0"/>
              <w:jc w:val="center"/>
            </w:pPr>
            <w:r>
              <w:rPr>
                <w:sz w:val="20"/>
              </w:rPr>
              <w:t xml:space="preserve">1.2</w:t>
            </w:r>
          </w:p>
        </w:tc>
        <w:tc>
          <w:tcPr>
            <w:tcW w:w="4195" w:type="dxa"/>
          </w:tcPr>
          <w:p>
            <w:pPr>
              <w:pStyle w:val="0"/>
              <w:jc w:val="both"/>
            </w:pPr>
            <w:r>
              <w:rPr>
                <w:sz w:val="20"/>
              </w:rPr>
              <w:t xml:space="preserve">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1,15</w:t>
            </w:r>
          </w:p>
        </w:tc>
      </w:tr>
      <w:tr>
        <w:tc>
          <w:tcPr>
            <w:tcW w:w="623" w:type="dxa"/>
          </w:tcPr>
          <w:p>
            <w:pPr>
              <w:pStyle w:val="0"/>
              <w:jc w:val="center"/>
            </w:pPr>
            <w:r>
              <w:rPr>
                <w:sz w:val="20"/>
              </w:rPr>
              <w:t xml:space="preserve">2</w:t>
            </w:r>
          </w:p>
        </w:tc>
        <w:tc>
          <w:tcPr>
            <w:tcW w:w="4195" w:type="dxa"/>
          </w:tcPr>
          <w:p>
            <w:pPr>
              <w:pStyle w:val="0"/>
              <w:jc w:val="both"/>
            </w:pPr>
            <w:r>
              <w:rPr>
                <w:sz w:val="20"/>
              </w:rPr>
              <w:t xml:space="preserve">Производство ремонтно-строительных работ осуществляется в помещениях объекта капитального строительства с остановкой рабочего процесса,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w:t>
            </w:r>
          </w:p>
        </w:tc>
        <w:tc>
          <w:tcPr>
            <w:tcW w:w="1474" w:type="dxa"/>
          </w:tcPr>
          <w:p>
            <w:pPr>
              <w:pStyle w:val="0"/>
              <w:jc w:val="center"/>
            </w:pPr>
            <w:r>
              <w:rPr>
                <w:sz w:val="20"/>
              </w:rPr>
              <w:t xml:space="preserve">1,3</w:t>
            </w:r>
          </w:p>
        </w:tc>
        <w:tc>
          <w:tcPr>
            <w:tcW w:w="1304" w:type="dxa"/>
          </w:tcPr>
          <w:p>
            <w:pPr>
              <w:pStyle w:val="0"/>
              <w:jc w:val="center"/>
            </w:pPr>
            <w:r>
              <w:rPr>
                <w:sz w:val="20"/>
              </w:rPr>
              <w:t xml:space="preserve">1,3</w:t>
            </w:r>
          </w:p>
        </w:tc>
        <w:tc>
          <w:tcPr>
            <w:tcW w:w="1472" w:type="dxa"/>
          </w:tcPr>
          <w:p>
            <w:pPr>
              <w:pStyle w:val="0"/>
              <w:jc w:val="center"/>
            </w:pPr>
            <w:r>
              <w:rPr>
                <w:sz w:val="20"/>
              </w:rPr>
              <w:t xml:space="preserve">1,1</w:t>
            </w:r>
          </w:p>
        </w:tc>
      </w:tr>
      <w:tr>
        <w:tc>
          <w:tcPr>
            <w:tcW w:w="623" w:type="dxa"/>
          </w:tcPr>
          <w:bookmarkStart w:id="9907" w:name="P9907"/>
          <w:bookmarkEnd w:id="9907"/>
          <w:p>
            <w:pPr>
              <w:pStyle w:val="0"/>
              <w:jc w:val="center"/>
            </w:pPr>
            <w:r>
              <w:rPr>
                <w:sz w:val="20"/>
              </w:rPr>
              <w:t xml:space="preserve">3</w:t>
            </w:r>
          </w:p>
        </w:tc>
        <w:tc>
          <w:tcPr>
            <w:tcW w:w="4195" w:type="dxa"/>
          </w:tcPr>
          <w:p>
            <w:pPr>
              <w:pStyle w:val="0"/>
              <w:jc w:val="both"/>
            </w:pPr>
            <w:r>
              <w:rPr>
                <w:sz w:val="20"/>
              </w:rPr>
              <w:t xml:space="preserve">Производство ремонтно-строительных работ осуществляется на территории действующего предприятия с наличием в зоне производства работ одного или нескольких из перечисленных ниже факторов:</w:t>
            </w:r>
          </w:p>
          <w:p>
            <w:pPr>
              <w:pStyle w:val="0"/>
              <w:ind w:left="283"/>
              <w:jc w:val="both"/>
            </w:pPr>
            <w:r>
              <w:rPr>
                <w:sz w:val="20"/>
              </w:rPr>
              <w:t xml:space="preserve">- разветвленной сети транспортных и инженерных коммуникаций;</w:t>
            </w:r>
          </w:p>
          <w:p>
            <w:pPr>
              <w:pStyle w:val="0"/>
              <w:ind w:left="283"/>
              <w:jc w:val="both"/>
            </w:pPr>
            <w:r>
              <w:rPr>
                <w:sz w:val="20"/>
              </w:rPr>
              <w:t xml:space="preserve">- стесненных условий для складирования материалов;</w:t>
            </w:r>
          </w:p>
          <w:p>
            <w:pPr>
              <w:pStyle w:val="0"/>
              <w:ind w:left="283"/>
              <w:jc w:val="both"/>
            </w:pPr>
            <w:r>
              <w:rPr>
                <w:sz w:val="20"/>
              </w:rPr>
              <w:t xml:space="preserve">- действующего технологического оборудования</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p>
            <w:pPr>
              <w:pStyle w:val="0"/>
              <w:jc w:val="center"/>
            </w:pPr>
            <w:r>
              <w:rPr>
                <w:sz w:val="20"/>
              </w:rPr>
              <w:t xml:space="preserve">4</w:t>
            </w:r>
          </w:p>
        </w:tc>
        <w:tc>
          <w:tcPr>
            <w:tcW w:w="4195" w:type="dxa"/>
          </w:tcPr>
          <w:p>
            <w:pPr>
              <w:pStyle w:val="0"/>
              <w:jc w:val="both"/>
            </w:pPr>
            <w:r>
              <w:rPr>
                <w:sz w:val="20"/>
              </w:rPr>
              <w:t xml:space="preserve">Производство ремонтно-строительных работ осуществляется с вредными условиями труда, при этом:</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920" w:name="P9920"/>
          <w:bookmarkEnd w:id="9920"/>
          <w:p>
            <w:pPr>
              <w:pStyle w:val="0"/>
              <w:jc w:val="center"/>
            </w:pPr>
            <w:r>
              <w:rPr>
                <w:sz w:val="20"/>
              </w:rPr>
              <w:t xml:space="preserve">4.1</w:t>
            </w:r>
          </w:p>
        </w:tc>
        <w:tc>
          <w:tcPr>
            <w:tcW w:w="4195" w:type="dxa"/>
          </w:tcPr>
          <w:p>
            <w:pPr>
              <w:pStyle w:val="0"/>
              <w:jc w:val="both"/>
            </w:pPr>
            <w:r>
              <w:rPr>
                <w:sz w:val="20"/>
              </w:rPr>
              <w:t xml:space="preserve">на предприятии, где работникам основного производства установлен сокращенный рабочий день, а рабочие имеют рабочий день нормальной продолжительности;</w:t>
            </w:r>
          </w:p>
        </w:tc>
        <w:tc>
          <w:tcPr>
            <w:tcW w:w="1474" w:type="dxa"/>
          </w:tcPr>
          <w:p>
            <w:pPr>
              <w:pStyle w:val="0"/>
              <w:jc w:val="center"/>
            </w:pPr>
            <w:r>
              <w:rPr>
                <w:sz w:val="20"/>
              </w:rPr>
              <w:t xml:space="preserve">1,1</w:t>
            </w:r>
          </w:p>
        </w:tc>
        <w:tc>
          <w:tcPr>
            <w:tcW w:w="1304" w:type="dxa"/>
          </w:tcPr>
          <w:p>
            <w:pPr>
              <w:pStyle w:val="0"/>
              <w:jc w:val="center"/>
            </w:pPr>
            <w:r>
              <w:rPr>
                <w:sz w:val="20"/>
              </w:rPr>
              <w:t xml:space="preserve">1,1</w:t>
            </w:r>
          </w:p>
        </w:tc>
        <w:tc>
          <w:tcPr>
            <w:tcW w:w="1472" w:type="dxa"/>
          </w:tcPr>
          <w:p>
            <w:pPr>
              <w:pStyle w:val="0"/>
              <w:jc w:val="center"/>
            </w:pPr>
            <w:r>
              <w:rPr>
                <w:sz w:val="20"/>
              </w:rPr>
              <w:t xml:space="preserve">1,1</w:t>
            </w:r>
          </w:p>
        </w:tc>
      </w:tr>
      <w:tr>
        <w:tc>
          <w:tcPr>
            <w:tcW w:w="623" w:type="dxa"/>
          </w:tcPr>
          <w:p>
            <w:pPr>
              <w:pStyle w:val="0"/>
              <w:jc w:val="center"/>
            </w:pPr>
            <w:r>
              <w:rPr>
                <w:sz w:val="20"/>
              </w:rPr>
              <w:t xml:space="preserve">4.2</w:t>
            </w:r>
          </w:p>
        </w:tc>
        <w:tc>
          <w:tcPr>
            <w:tcW w:w="4195" w:type="dxa"/>
          </w:tcPr>
          <w:p>
            <w:pPr>
              <w:pStyle w:val="0"/>
              <w:jc w:val="both"/>
            </w:pPr>
            <w:r>
              <w:rPr>
                <w:sz w:val="20"/>
              </w:rPr>
              <w:t xml:space="preserve">на предприятии, где рабочие переведены на сокращенный рабочий день при 36-часовой рабочей неделе;</w:t>
            </w:r>
          </w:p>
        </w:tc>
        <w:tc>
          <w:tcPr>
            <w:tcW w:w="1474" w:type="dxa"/>
          </w:tcPr>
          <w:p>
            <w:pPr>
              <w:pStyle w:val="0"/>
              <w:jc w:val="center"/>
            </w:pPr>
            <w:r>
              <w:rPr>
                <w:sz w:val="20"/>
              </w:rPr>
              <w:t xml:space="preserve">1,3</w:t>
            </w:r>
          </w:p>
        </w:tc>
        <w:tc>
          <w:tcPr>
            <w:tcW w:w="1304" w:type="dxa"/>
          </w:tcPr>
          <w:p>
            <w:pPr>
              <w:pStyle w:val="0"/>
              <w:jc w:val="center"/>
            </w:pPr>
            <w:r>
              <w:rPr>
                <w:sz w:val="20"/>
              </w:rPr>
              <w:t xml:space="preserve">1,3</w:t>
            </w:r>
          </w:p>
        </w:tc>
        <w:tc>
          <w:tcPr>
            <w:tcW w:w="1472" w:type="dxa"/>
          </w:tcPr>
          <w:p>
            <w:pPr>
              <w:pStyle w:val="0"/>
              <w:jc w:val="center"/>
            </w:pPr>
            <w:r>
              <w:rPr>
                <w:sz w:val="20"/>
              </w:rPr>
              <w:t xml:space="preserve">1,3</w:t>
            </w:r>
          </w:p>
        </w:tc>
      </w:tr>
      <w:tr>
        <w:tc>
          <w:tcPr>
            <w:tcW w:w="623" w:type="dxa"/>
          </w:tcPr>
          <w:p>
            <w:pPr>
              <w:pStyle w:val="0"/>
              <w:jc w:val="center"/>
            </w:pPr>
            <w:r>
              <w:rPr>
                <w:sz w:val="20"/>
              </w:rPr>
              <w:t xml:space="preserve">4.3</w:t>
            </w:r>
          </w:p>
        </w:tc>
        <w:tc>
          <w:tcPr>
            <w:tcW w:w="4195" w:type="dxa"/>
          </w:tcPr>
          <w:p>
            <w:pPr>
              <w:pStyle w:val="0"/>
              <w:jc w:val="both"/>
            </w:pPr>
            <w:r>
              <w:rPr>
                <w:sz w:val="20"/>
              </w:rPr>
              <w:t xml:space="preserve">на предприятии, где рабочие переведены на сокращенный рабочий день при 30-часовой рабочей неделе;</w:t>
            </w:r>
          </w:p>
        </w:tc>
        <w:tc>
          <w:tcPr>
            <w:tcW w:w="1474" w:type="dxa"/>
          </w:tcPr>
          <w:p>
            <w:pPr>
              <w:pStyle w:val="0"/>
              <w:jc w:val="center"/>
            </w:pPr>
            <w:r>
              <w:rPr>
                <w:sz w:val="20"/>
              </w:rPr>
              <w:t xml:space="preserve">1,58</w:t>
            </w:r>
          </w:p>
        </w:tc>
        <w:tc>
          <w:tcPr>
            <w:tcW w:w="1304" w:type="dxa"/>
          </w:tcPr>
          <w:p>
            <w:pPr>
              <w:pStyle w:val="0"/>
              <w:jc w:val="center"/>
            </w:pPr>
            <w:r>
              <w:rPr>
                <w:sz w:val="20"/>
              </w:rPr>
              <w:t xml:space="preserve">1,58</w:t>
            </w:r>
          </w:p>
        </w:tc>
        <w:tc>
          <w:tcPr>
            <w:tcW w:w="1472" w:type="dxa"/>
          </w:tcPr>
          <w:p>
            <w:pPr>
              <w:pStyle w:val="0"/>
              <w:jc w:val="center"/>
            </w:pPr>
            <w:r>
              <w:rPr>
                <w:sz w:val="20"/>
              </w:rPr>
              <w:t xml:space="preserve">1,58</w:t>
            </w:r>
          </w:p>
        </w:tc>
      </w:tr>
      <w:tr>
        <w:tc>
          <w:tcPr>
            <w:tcW w:w="623" w:type="dxa"/>
          </w:tcPr>
          <w:p>
            <w:pPr>
              <w:pStyle w:val="0"/>
              <w:jc w:val="center"/>
            </w:pPr>
            <w:r>
              <w:rPr>
                <w:sz w:val="20"/>
              </w:rPr>
              <w:t xml:space="preserve">4.4</w:t>
            </w:r>
          </w:p>
        </w:tc>
        <w:tc>
          <w:tcPr>
            <w:tcW w:w="4195" w:type="dxa"/>
          </w:tcPr>
          <w:p>
            <w:pPr>
              <w:pStyle w:val="0"/>
              <w:jc w:val="both"/>
            </w:pPr>
            <w:r>
              <w:rPr>
                <w:sz w:val="20"/>
              </w:rPr>
              <w:t xml:space="preserve">на предприятии, где рабочие переведены на сокращенный рабочий день при 24-часовой рабочей неделе</w:t>
            </w:r>
          </w:p>
        </w:tc>
        <w:tc>
          <w:tcPr>
            <w:tcW w:w="1474" w:type="dxa"/>
          </w:tcPr>
          <w:p>
            <w:pPr>
              <w:pStyle w:val="0"/>
              <w:jc w:val="center"/>
            </w:pPr>
            <w:r>
              <w:rPr>
                <w:sz w:val="20"/>
              </w:rPr>
              <w:t xml:space="preserve">1,8</w:t>
            </w:r>
          </w:p>
        </w:tc>
        <w:tc>
          <w:tcPr>
            <w:tcW w:w="1304" w:type="dxa"/>
          </w:tcPr>
          <w:p>
            <w:pPr>
              <w:pStyle w:val="0"/>
              <w:jc w:val="center"/>
            </w:pPr>
            <w:r>
              <w:rPr>
                <w:sz w:val="20"/>
              </w:rPr>
              <w:t xml:space="preserve">1,8</w:t>
            </w:r>
          </w:p>
        </w:tc>
        <w:tc>
          <w:tcPr>
            <w:tcW w:w="1472" w:type="dxa"/>
          </w:tcPr>
          <w:p>
            <w:pPr>
              <w:pStyle w:val="0"/>
              <w:jc w:val="center"/>
            </w:pPr>
            <w:r>
              <w:rPr>
                <w:sz w:val="20"/>
              </w:rPr>
              <w:t xml:space="preserve">1,8</w:t>
            </w:r>
          </w:p>
        </w:tc>
      </w:tr>
      <w:tr>
        <w:tc>
          <w:tcPr>
            <w:tcW w:w="623" w:type="dxa"/>
          </w:tcPr>
          <w:p>
            <w:pPr>
              <w:pStyle w:val="0"/>
              <w:jc w:val="center"/>
            </w:pPr>
            <w:r>
              <w:rPr>
                <w:sz w:val="20"/>
              </w:rPr>
              <w:t xml:space="preserve">4.5</w:t>
            </w:r>
          </w:p>
        </w:tc>
        <w:tc>
          <w:tcPr>
            <w:tcW w:w="4195" w:type="dxa"/>
          </w:tcPr>
          <w:p>
            <w:pPr>
              <w:pStyle w:val="0"/>
            </w:pPr>
            <w:r>
              <w:rPr>
                <w:sz w:val="20"/>
              </w:rPr>
              <w:t xml:space="preserve">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3500 до 4000 м над уровнем моря, при 30-часовой рабочей неделе;</w:t>
            </w:r>
          </w:p>
        </w:tc>
        <w:tc>
          <w:tcPr>
            <w:tcW w:w="1474" w:type="dxa"/>
          </w:tcPr>
          <w:p>
            <w:pPr>
              <w:pStyle w:val="0"/>
              <w:jc w:val="center"/>
            </w:pPr>
            <w:r>
              <w:rPr>
                <w:sz w:val="20"/>
              </w:rPr>
              <w:t xml:space="preserve">1,66</w:t>
            </w:r>
          </w:p>
        </w:tc>
        <w:tc>
          <w:tcPr>
            <w:tcW w:w="1304" w:type="dxa"/>
          </w:tcPr>
          <w:p>
            <w:pPr>
              <w:pStyle w:val="0"/>
              <w:jc w:val="center"/>
            </w:pPr>
            <w:r>
              <w:rPr>
                <w:sz w:val="20"/>
              </w:rPr>
              <w:t xml:space="preserve">1,66</w:t>
            </w:r>
          </w:p>
        </w:tc>
        <w:tc>
          <w:tcPr>
            <w:tcW w:w="1472" w:type="dxa"/>
          </w:tcPr>
          <w:p>
            <w:pPr>
              <w:pStyle w:val="0"/>
              <w:jc w:val="center"/>
            </w:pPr>
            <w:r>
              <w:rPr>
                <w:sz w:val="20"/>
              </w:rPr>
              <w:t xml:space="preserve">1,66</w:t>
            </w:r>
          </w:p>
        </w:tc>
      </w:tr>
      <w:tr>
        <w:tc>
          <w:tcPr>
            <w:tcW w:w="623" w:type="dxa"/>
          </w:tcPr>
          <w:bookmarkStart w:id="9945" w:name="P9945"/>
          <w:bookmarkEnd w:id="9945"/>
          <w:p>
            <w:pPr>
              <w:pStyle w:val="0"/>
              <w:jc w:val="center"/>
            </w:pPr>
            <w:r>
              <w:rPr>
                <w:sz w:val="20"/>
              </w:rPr>
              <w:t xml:space="preserve">4.6</w:t>
            </w:r>
          </w:p>
        </w:tc>
        <w:tc>
          <w:tcPr>
            <w:tcW w:w="4195" w:type="dxa"/>
          </w:tcPr>
          <w:p>
            <w:pPr>
              <w:pStyle w:val="0"/>
              <w:jc w:val="both"/>
            </w:pPr>
            <w:r>
              <w:rPr>
                <w:sz w:val="20"/>
              </w:rPr>
              <w:t xml:space="preserve">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4000 до 4500 м над уровнем моря, при 30-часовой рабочей неделе</w:t>
            </w:r>
          </w:p>
        </w:tc>
        <w:tc>
          <w:tcPr>
            <w:tcW w:w="1474" w:type="dxa"/>
          </w:tcPr>
          <w:p>
            <w:pPr>
              <w:pStyle w:val="0"/>
              <w:jc w:val="center"/>
            </w:pPr>
            <w:r>
              <w:rPr>
                <w:sz w:val="20"/>
              </w:rPr>
              <w:t xml:space="preserve">1,74</w:t>
            </w:r>
          </w:p>
        </w:tc>
        <w:tc>
          <w:tcPr>
            <w:tcW w:w="1304" w:type="dxa"/>
          </w:tcPr>
          <w:p>
            <w:pPr>
              <w:pStyle w:val="0"/>
              <w:jc w:val="center"/>
            </w:pPr>
            <w:r>
              <w:rPr>
                <w:sz w:val="20"/>
              </w:rPr>
              <w:t xml:space="preserve">1,74</w:t>
            </w:r>
          </w:p>
        </w:tc>
        <w:tc>
          <w:tcPr>
            <w:tcW w:w="1472" w:type="dxa"/>
          </w:tcPr>
          <w:p>
            <w:pPr>
              <w:pStyle w:val="0"/>
              <w:jc w:val="center"/>
            </w:pPr>
            <w:r>
              <w:rPr>
                <w:sz w:val="20"/>
              </w:rPr>
              <w:t xml:space="preserve">1,74</w:t>
            </w:r>
          </w:p>
        </w:tc>
      </w:tr>
      <w:tr>
        <w:tc>
          <w:tcPr>
            <w:tcW w:w="623" w:type="dxa"/>
          </w:tcPr>
          <w:bookmarkStart w:id="9950" w:name="P9950"/>
          <w:bookmarkEnd w:id="9950"/>
          <w:p>
            <w:pPr>
              <w:pStyle w:val="0"/>
              <w:jc w:val="center"/>
            </w:pPr>
            <w:r>
              <w:rPr>
                <w:sz w:val="20"/>
              </w:rPr>
              <w:t xml:space="preserve">5</w:t>
            </w:r>
          </w:p>
        </w:tc>
        <w:tc>
          <w:tcPr>
            <w:tcW w:w="4195" w:type="dxa"/>
          </w:tcPr>
          <w:p>
            <w:pPr>
              <w:pStyle w:val="0"/>
              <w:jc w:val="both"/>
            </w:pPr>
            <w:r>
              <w:rPr>
                <w:sz w:val="20"/>
              </w:rPr>
              <w:t xml:space="preserve">Производство работ осуществляется в охранной зоне действующей воздушной линии электропередачи, вблизи объектов, находящихся под напряжением, внутри объектов капитального строительства,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474" w:type="dxa"/>
          </w:tcPr>
          <w:p>
            <w:pPr>
              <w:pStyle w:val="0"/>
              <w:jc w:val="center"/>
            </w:pPr>
            <w:r>
              <w:rPr>
                <w:sz w:val="20"/>
              </w:rPr>
              <w:t xml:space="preserve">1,20</w:t>
            </w:r>
          </w:p>
        </w:tc>
        <w:tc>
          <w:tcPr>
            <w:tcW w:w="1304" w:type="dxa"/>
          </w:tcPr>
          <w:p>
            <w:pPr>
              <w:pStyle w:val="0"/>
              <w:jc w:val="center"/>
            </w:pPr>
            <w:r>
              <w:rPr>
                <w:sz w:val="20"/>
              </w:rPr>
              <w:t xml:space="preserve">1,20</w:t>
            </w:r>
          </w:p>
        </w:tc>
        <w:tc>
          <w:tcPr>
            <w:tcW w:w="1472" w:type="dxa"/>
          </w:tcPr>
          <w:p>
            <w:pPr>
              <w:pStyle w:val="0"/>
              <w:jc w:val="center"/>
            </w:pPr>
            <w:r>
              <w:rPr>
                <w:sz w:val="20"/>
              </w:rPr>
              <w:t xml:space="preserve">1,20</w:t>
            </w:r>
          </w:p>
        </w:tc>
      </w:tr>
      <w:tr>
        <w:tc>
          <w:tcPr>
            <w:tcW w:w="623" w:type="dxa"/>
          </w:tcPr>
          <w:p>
            <w:pPr>
              <w:pStyle w:val="0"/>
              <w:jc w:val="center"/>
            </w:pPr>
            <w:r>
              <w:rPr>
                <w:sz w:val="20"/>
              </w:rPr>
              <w:t xml:space="preserve">6</w:t>
            </w:r>
          </w:p>
        </w:tc>
        <w:tc>
          <w:tcPr>
            <w:tcW w:w="4195" w:type="dxa"/>
          </w:tcPr>
          <w:p>
            <w:pPr>
              <w:pStyle w:val="0"/>
            </w:pPr>
            <w:r>
              <w:rPr>
                <w:sz w:val="20"/>
              </w:rPr>
              <w:t xml:space="preserve">Производство ремонтно-строительных работ осуществляется внутри работающих трансформаторных и распределительных подстанций, в электропомещениях (щитовые, пультовые, подстанции, реакторные, РУ и пункты, кабельные шахты, тоннели и каналы, кабельные полуэтажи) с действующим электрооборудованием или кабельными линиями под напряжением</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1,35</w:t>
            </w:r>
          </w:p>
        </w:tc>
      </w:tr>
      <w:tr>
        <w:tc>
          <w:tcPr>
            <w:tcW w:w="623" w:type="dxa"/>
          </w:tcPr>
          <w:bookmarkStart w:id="9960" w:name="P9960"/>
          <w:bookmarkEnd w:id="9960"/>
          <w:p>
            <w:pPr>
              <w:pStyle w:val="0"/>
              <w:jc w:val="center"/>
            </w:pPr>
            <w:r>
              <w:rPr>
                <w:sz w:val="20"/>
              </w:rPr>
              <w:t xml:space="preserve">7</w:t>
            </w:r>
          </w:p>
        </w:tc>
        <w:tc>
          <w:tcPr>
            <w:tcW w:w="4195" w:type="dxa"/>
          </w:tcPr>
          <w:p>
            <w:pPr>
              <w:pStyle w:val="0"/>
              <w:jc w:val="both"/>
            </w:pPr>
            <w:r>
              <w:rPr>
                <w:sz w:val="20"/>
              </w:rPr>
              <w:t xml:space="preserve">Производство ремонтно-строительных работ осуществляется в закрытых сооружениях или помещениях (за исключением подземных сооружений специального назначения), верхняя отметка перекрытия которых находится ниже 3 м от поверхности земли</w:t>
            </w:r>
          </w:p>
        </w:tc>
        <w:tc>
          <w:tcPr>
            <w:tcW w:w="1474" w:type="dxa"/>
          </w:tcPr>
          <w:p>
            <w:pPr>
              <w:pStyle w:val="0"/>
              <w:jc w:val="center"/>
            </w:pPr>
            <w:r>
              <w:rPr>
                <w:sz w:val="20"/>
              </w:rPr>
              <w:t xml:space="preserve">1,10</w:t>
            </w:r>
          </w:p>
        </w:tc>
        <w:tc>
          <w:tcPr>
            <w:tcW w:w="1304" w:type="dxa"/>
          </w:tcPr>
          <w:p>
            <w:pPr>
              <w:pStyle w:val="0"/>
              <w:jc w:val="center"/>
            </w:pPr>
            <w:r>
              <w:rPr>
                <w:sz w:val="20"/>
              </w:rPr>
              <w:t xml:space="preserve">1,10</w:t>
            </w:r>
          </w:p>
        </w:tc>
        <w:tc>
          <w:tcPr>
            <w:tcW w:w="1472" w:type="dxa"/>
          </w:tcPr>
          <w:p>
            <w:pPr>
              <w:pStyle w:val="0"/>
              <w:jc w:val="center"/>
            </w:pPr>
            <w:r>
              <w:rPr>
                <w:sz w:val="20"/>
              </w:rPr>
              <w:t xml:space="preserve">1,10</w:t>
            </w:r>
          </w:p>
        </w:tc>
      </w:tr>
      <w:tr>
        <w:tc>
          <w:tcPr>
            <w:tcW w:w="623" w:type="dxa"/>
          </w:tcPr>
          <w:bookmarkStart w:id="9965" w:name="P9965"/>
          <w:bookmarkEnd w:id="9965"/>
          <w:p>
            <w:pPr>
              <w:pStyle w:val="0"/>
              <w:jc w:val="center"/>
            </w:pPr>
            <w:r>
              <w:rPr>
                <w:sz w:val="20"/>
              </w:rPr>
              <w:t xml:space="preserve">8</w:t>
            </w:r>
          </w:p>
        </w:tc>
        <w:tc>
          <w:tcPr>
            <w:tcW w:w="4195" w:type="dxa"/>
          </w:tcPr>
          <w:p>
            <w:pPr>
              <w:pStyle w:val="0"/>
              <w:jc w:val="both"/>
            </w:pPr>
            <w:r>
              <w:rPr>
                <w:sz w:val="20"/>
              </w:rPr>
              <w:t xml:space="preserve">Производство ремонтно-строительных работ осуществляется в помещениях и иных ограниченных пространствах высотой до 1,8 м</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1,35</w:t>
            </w:r>
          </w:p>
        </w:tc>
      </w:tr>
      <w:tr>
        <w:tc>
          <w:tcPr>
            <w:tcW w:w="623" w:type="dxa"/>
          </w:tcPr>
          <w:p>
            <w:pPr>
              <w:pStyle w:val="0"/>
              <w:jc w:val="center"/>
            </w:pPr>
            <w:r>
              <w:rPr>
                <w:sz w:val="20"/>
              </w:rPr>
              <w:t xml:space="preserve">9</w:t>
            </w:r>
          </w:p>
        </w:tc>
        <w:tc>
          <w:tcPr>
            <w:tcW w:w="4195" w:type="dxa"/>
          </w:tcPr>
          <w:p>
            <w:pPr>
              <w:pStyle w:val="0"/>
              <w:jc w:val="both"/>
            </w:pPr>
            <w:r>
              <w:rPr>
                <w:sz w:val="20"/>
              </w:rPr>
              <w:t xml:space="preserve">Производство ремонтно-строительных работ осуществляется в жилых помещениях без расселения</w:t>
            </w:r>
          </w:p>
        </w:tc>
        <w:tc>
          <w:tcPr>
            <w:tcW w:w="1474" w:type="dxa"/>
          </w:tcPr>
          <w:p>
            <w:pPr>
              <w:pStyle w:val="0"/>
              <w:jc w:val="center"/>
            </w:pPr>
            <w:r>
              <w:rPr>
                <w:sz w:val="20"/>
              </w:rPr>
              <w:t xml:space="preserve">1,5</w:t>
            </w:r>
          </w:p>
        </w:tc>
        <w:tc>
          <w:tcPr>
            <w:tcW w:w="1304" w:type="dxa"/>
          </w:tcPr>
          <w:p>
            <w:pPr>
              <w:pStyle w:val="0"/>
              <w:jc w:val="center"/>
            </w:pPr>
            <w:r>
              <w:rPr>
                <w:sz w:val="20"/>
              </w:rPr>
              <w:t xml:space="preserve">1,5</w:t>
            </w:r>
          </w:p>
        </w:tc>
        <w:tc>
          <w:tcPr>
            <w:tcW w:w="1472" w:type="dxa"/>
          </w:tcPr>
          <w:p>
            <w:pPr>
              <w:pStyle w:val="0"/>
              <w:jc w:val="center"/>
            </w:pPr>
            <w:r>
              <w:rPr>
                <w:sz w:val="20"/>
              </w:rPr>
              <w:t xml:space="preserve">1,5</w:t>
            </w:r>
          </w:p>
        </w:tc>
      </w:tr>
      <w:tr>
        <w:tc>
          <w:tcPr>
            <w:tcW w:w="623" w:type="dxa"/>
          </w:tcPr>
          <w:bookmarkStart w:id="9975" w:name="P9975"/>
          <w:bookmarkEnd w:id="9975"/>
          <w:p>
            <w:pPr>
              <w:pStyle w:val="0"/>
              <w:jc w:val="center"/>
            </w:pPr>
            <w:r>
              <w:rPr>
                <w:sz w:val="20"/>
              </w:rPr>
              <w:t xml:space="preserve">10</w:t>
            </w:r>
          </w:p>
        </w:tc>
        <w:tc>
          <w:tcPr>
            <w:tcW w:w="4195" w:type="dxa"/>
          </w:tcPr>
          <w:p>
            <w:pPr>
              <w:pStyle w:val="0"/>
              <w:jc w:val="both"/>
            </w:pPr>
            <w:r>
              <w:rPr>
                <w:sz w:val="20"/>
              </w:rPr>
              <w:t xml:space="preserve">Производство ремонтно-строительных работ осуществляется в стесненных условиях населенных пунктов:</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9980" w:name="P9980"/>
          <w:bookmarkEnd w:id="9980"/>
          <w:p>
            <w:pPr>
              <w:pStyle w:val="0"/>
              <w:jc w:val="center"/>
            </w:pPr>
            <w:r>
              <w:rPr>
                <w:sz w:val="20"/>
              </w:rPr>
              <w:t xml:space="preserve">10.1</w:t>
            </w:r>
          </w:p>
        </w:tc>
        <w:tc>
          <w:tcPr>
            <w:tcW w:w="4195" w:type="dxa"/>
          </w:tcPr>
          <w:p>
            <w:pPr>
              <w:pStyle w:val="0"/>
              <w:jc w:val="both"/>
            </w:pPr>
            <w:r>
              <w:rPr>
                <w:sz w:val="20"/>
              </w:rPr>
              <w:t xml:space="preserve">отдельных конструктивных решений объектов капитального строительства (кроме указанных </w:t>
            </w:r>
            <w:hyperlink w:history="0" w:anchor="P9985" w:tooltip="10.2">
              <w:r>
                <w:rPr>
                  <w:sz w:val="20"/>
                  <w:color w:val="0000ff"/>
                </w:rPr>
                <w:t xml:space="preserve">в п. п. 10.2</w:t>
              </w:r>
            </w:hyperlink>
            <w:r>
              <w:rPr>
                <w:sz w:val="20"/>
              </w:rPr>
              <w:t xml:space="preserve"> и </w:t>
            </w:r>
            <w:hyperlink w:history="0" w:anchor="P9990" w:tooltip="10.3">
              <w:r>
                <w:rPr>
                  <w:sz w:val="20"/>
                  <w:color w:val="0000ff"/>
                </w:rPr>
                <w:t xml:space="preserve">10.3</w:t>
              </w:r>
            </w:hyperlink>
            <w:r>
              <w:rPr>
                <w:sz w:val="20"/>
              </w:rPr>
              <w:t xml:space="preserve">), объектов капитального строительства в целом;</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bookmarkStart w:id="9985" w:name="P9985"/>
          <w:bookmarkEnd w:id="9985"/>
          <w:p>
            <w:pPr>
              <w:pStyle w:val="0"/>
              <w:jc w:val="center"/>
            </w:pPr>
            <w:r>
              <w:rPr>
                <w:sz w:val="20"/>
              </w:rPr>
              <w:t xml:space="preserve">10.2</w:t>
            </w:r>
          </w:p>
        </w:tc>
        <w:tc>
          <w:tcPr>
            <w:tcW w:w="4195" w:type="dxa"/>
          </w:tcPr>
          <w:p>
            <w:pPr>
              <w:pStyle w:val="0"/>
              <w:jc w:val="both"/>
            </w:pPr>
            <w:r>
              <w:rPr>
                <w:sz w:val="20"/>
              </w:rPr>
              <w:t xml:space="preserve">кровель средней сложности и сложных;</w:t>
            </w:r>
          </w:p>
        </w:tc>
        <w:tc>
          <w:tcPr>
            <w:tcW w:w="1474" w:type="dxa"/>
          </w:tcPr>
          <w:p>
            <w:pPr>
              <w:pStyle w:val="0"/>
              <w:jc w:val="center"/>
            </w:pPr>
            <w:r>
              <w:rPr>
                <w:sz w:val="20"/>
              </w:rPr>
              <w:t xml:space="preserve">1,25</w:t>
            </w:r>
          </w:p>
        </w:tc>
        <w:tc>
          <w:tcPr>
            <w:tcW w:w="1304" w:type="dxa"/>
          </w:tcPr>
          <w:p>
            <w:pPr>
              <w:pStyle w:val="0"/>
              <w:jc w:val="center"/>
            </w:pPr>
            <w:r>
              <w:rPr>
                <w:sz w:val="20"/>
              </w:rPr>
              <w:t xml:space="preserve">-</w:t>
            </w:r>
          </w:p>
        </w:tc>
        <w:tc>
          <w:tcPr>
            <w:tcW w:w="1472" w:type="dxa"/>
          </w:tcPr>
          <w:p>
            <w:pPr>
              <w:pStyle w:val="0"/>
              <w:jc w:val="center"/>
            </w:pPr>
            <w:r>
              <w:rPr>
                <w:sz w:val="20"/>
              </w:rPr>
              <w:t xml:space="preserve">1,25</w:t>
            </w:r>
          </w:p>
        </w:tc>
      </w:tr>
      <w:tr>
        <w:tc>
          <w:tcPr>
            <w:tcW w:w="623" w:type="dxa"/>
          </w:tcPr>
          <w:bookmarkStart w:id="9990" w:name="P9990"/>
          <w:bookmarkEnd w:id="9990"/>
          <w:p>
            <w:pPr>
              <w:pStyle w:val="0"/>
              <w:jc w:val="center"/>
            </w:pPr>
            <w:r>
              <w:rPr>
                <w:sz w:val="20"/>
              </w:rPr>
              <w:t xml:space="preserve">10.3</w:t>
            </w:r>
          </w:p>
        </w:tc>
        <w:tc>
          <w:tcPr>
            <w:tcW w:w="4195" w:type="dxa"/>
          </w:tcPr>
          <w:p>
            <w:pPr>
              <w:pStyle w:val="0"/>
              <w:jc w:val="both"/>
            </w:pPr>
            <w:r>
              <w:rPr>
                <w:sz w:val="20"/>
              </w:rPr>
              <w:t xml:space="preserve">территорий общего пользования</w:t>
            </w:r>
          </w:p>
        </w:tc>
        <w:tc>
          <w:tcPr>
            <w:tcW w:w="1474" w:type="dxa"/>
          </w:tcPr>
          <w:p>
            <w:pPr>
              <w:pStyle w:val="0"/>
              <w:jc w:val="center"/>
            </w:pPr>
            <w:r>
              <w:rPr>
                <w:sz w:val="20"/>
              </w:rPr>
              <w:t xml:space="preserve">1,10</w:t>
            </w:r>
          </w:p>
        </w:tc>
        <w:tc>
          <w:tcPr>
            <w:tcW w:w="1304" w:type="dxa"/>
          </w:tcPr>
          <w:p>
            <w:pPr>
              <w:pStyle w:val="0"/>
              <w:jc w:val="center"/>
            </w:pPr>
            <w:r>
              <w:rPr>
                <w:sz w:val="20"/>
              </w:rPr>
              <w:t xml:space="preserve">1,10</w:t>
            </w:r>
          </w:p>
        </w:tc>
        <w:tc>
          <w:tcPr>
            <w:tcW w:w="1472" w:type="dxa"/>
          </w:tcPr>
          <w:p>
            <w:pPr>
              <w:pStyle w:val="0"/>
              <w:jc w:val="center"/>
            </w:pPr>
            <w:r>
              <w:rPr>
                <w:sz w:val="20"/>
              </w:rPr>
              <w:t xml:space="preserve">1,10</w:t>
            </w:r>
          </w:p>
        </w:tc>
      </w:tr>
      <w:tr>
        <w:tc>
          <w:tcPr>
            <w:tcW w:w="623" w:type="dxa"/>
          </w:tcPr>
          <w:bookmarkStart w:id="9995" w:name="P9995"/>
          <w:bookmarkEnd w:id="9995"/>
          <w:p>
            <w:pPr>
              <w:pStyle w:val="0"/>
              <w:jc w:val="center"/>
            </w:pPr>
            <w:r>
              <w:rPr>
                <w:sz w:val="20"/>
              </w:rPr>
              <w:t xml:space="preserve">11</w:t>
            </w:r>
          </w:p>
        </w:tc>
        <w:tc>
          <w:tcPr>
            <w:tcW w:w="4195" w:type="dxa"/>
          </w:tcPr>
          <w:p>
            <w:pPr>
              <w:pStyle w:val="0"/>
              <w:jc w:val="both"/>
            </w:pPr>
            <w:r>
              <w:rPr>
                <w:sz w:val="20"/>
              </w:rPr>
              <w:t xml:space="preserve">Производство ремонтно-строительных работ осуществляется в горной местности:</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p>
            <w:pPr>
              <w:pStyle w:val="0"/>
              <w:jc w:val="center"/>
            </w:pPr>
            <w:r>
              <w:rPr>
                <w:sz w:val="20"/>
              </w:rPr>
              <w:t xml:space="preserve">11.1</w:t>
            </w:r>
          </w:p>
        </w:tc>
        <w:tc>
          <w:tcPr>
            <w:tcW w:w="4195" w:type="dxa"/>
          </w:tcPr>
          <w:p>
            <w:pPr>
              <w:pStyle w:val="0"/>
              <w:jc w:val="both"/>
            </w:pPr>
            <w:r>
              <w:rPr>
                <w:sz w:val="20"/>
              </w:rPr>
              <w:t xml:space="preserve">на высоте свыше 1500 до 2500 м над уровнем моря;</w:t>
            </w:r>
          </w:p>
        </w:tc>
        <w:tc>
          <w:tcPr>
            <w:tcW w:w="1474" w:type="dxa"/>
          </w:tcPr>
          <w:p>
            <w:pPr>
              <w:pStyle w:val="0"/>
              <w:jc w:val="center"/>
            </w:pPr>
            <w:r>
              <w:rPr>
                <w:sz w:val="20"/>
              </w:rPr>
              <w:t xml:space="preserve">1,25</w:t>
            </w:r>
          </w:p>
        </w:tc>
        <w:tc>
          <w:tcPr>
            <w:tcW w:w="1304" w:type="dxa"/>
          </w:tcPr>
          <w:p>
            <w:pPr>
              <w:pStyle w:val="0"/>
              <w:jc w:val="center"/>
            </w:pPr>
            <w:r>
              <w:rPr>
                <w:sz w:val="20"/>
              </w:rPr>
              <w:t xml:space="preserve">1,25</w:t>
            </w:r>
          </w:p>
        </w:tc>
        <w:tc>
          <w:tcPr>
            <w:tcW w:w="1472" w:type="dxa"/>
          </w:tcPr>
          <w:p>
            <w:pPr>
              <w:pStyle w:val="0"/>
              <w:jc w:val="center"/>
            </w:pPr>
            <w:r>
              <w:rPr>
                <w:sz w:val="20"/>
              </w:rPr>
              <w:t xml:space="preserve">1,25</w:t>
            </w:r>
          </w:p>
        </w:tc>
      </w:tr>
      <w:tr>
        <w:tc>
          <w:tcPr>
            <w:tcW w:w="623" w:type="dxa"/>
          </w:tcPr>
          <w:p>
            <w:pPr>
              <w:pStyle w:val="0"/>
              <w:jc w:val="center"/>
            </w:pPr>
            <w:r>
              <w:rPr>
                <w:sz w:val="20"/>
              </w:rPr>
              <w:t xml:space="preserve">11.2</w:t>
            </w:r>
          </w:p>
        </w:tc>
        <w:tc>
          <w:tcPr>
            <w:tcW w:w="4195" w:type="dxa"/>
          </w:tcPr>
          <w:p>
            <w:pPr>
              <w:pStyle w:val="0"/>
              <w:jc w:val="both"/>
            </w:pPr>
            <w:r>
              <w:rPr>
                <w:sz w:val="20"/>
              </w:rPr>
              <w:t xml:space="preserve">на высоте свыше 2500 до 3000 м над уровнем моря;</w:t>
            </w:r>
          </w:p>
        </w:tc>
        <w:tc>
          <w:tcPr>
            <w:tcW w:w="1474" w:type="dxa"/>
          </w:tcPr>
          <w:p>
            <w:pPr>
              <w:pStyle w:val="0"/>
              <w:jc w:val="center"/>
            </w:pPr>
            <w:r>
              <w:rPr>
                <w:sz w:val="20"/>
              </w:rPr>
              <w:t xml:space="preserve">1,35</w:t>
            </w:r>
          </w:p>
        </w:tc>
        <w:tc>
          <w:tcPr>
            <w:tcW w:w="1304" w:type="dxa"/>
          </w:tcPr>
          <w:p>
            <w:pPr>
              <w:pStyle w:val="0"/>
              <w:jc w:val="center"/>
            </w:pPr>
            <w:r>
              <w:rPr>
                <w:sz w:val="20"/>
              </w:rPr>
              <w:t xml:space="preserve">1,35</w:t>
            </w:r>
          </w:p>
        </w:tc>
        <w:tc>
          <w:tcPr>
            <w:tcW w:w="1472" w:type="dxa"/>
          </w:tcPr>
          <w:p>
            <w:pPr>
              <w:pStyle w:val="0"/>
              <w:jc w:val="center"/>
            </w:pPr>
            <w:r>
              <w:rPr>
                <w:sz w:val="20"/>
              </w:rPr>
              <w:t xml:space="preserve">1,35</w:t>
            </w:r>
          </w:p>
        </w:tc>
      </w:tr>
      <w:tr>
        <w:tc>
          <w:tcPr>
            <w:tcW w:w="623" w:type="dxa"/>
          </w:tcPr>
          <w:p>
            <w:pPr>
              <w:pStyle w:val="0"/>
              <w:jc w:val="center"/>
            </w:pPr>
            <w:r>
              <w:rPr>
                <w:sz w:val="20"/>
              </w:rPr>
              <w:t xml:space="preserve">11.3</w:t>
            </w:r>
          </w:p>
        </w:tc>
        <w:tc>
          <w:tcPr>
            <w:tcW w:w="4195" w:type="dxa"/>
          </w:tcPr>
          <w:p>
            <w:pPr>
              <w:pStyle w:val="0"/>
              <w:jc w:val="both"/>
            </w:pPr>
            <w:r>
              <w:rPr>
                <w:sz w:val="20"/>
              </w:rPr>
              <w:t xml:space="preserve">на высоте свыше 3000 м над уровнем моря</w:t>
            </w:r>
          </w:p>
        </w:tc>
        <w:tc>
          <w:tcPr>
            <w:tcW w:w="1474" w:type="dxa"/>
          </w:tcPr>
          <w:p>
            <w:pPr>
              <w:pStyle w:val="0"/>
              <w:jc w:val="center"/>
            </w:pPr>
            <w:r>
              <w:rPr>
                <w:sz w:val="20"/>
              </w:rPr>
              <w:t xml:space="preserve">1,50</w:t>
            </w:r>
          </w:p>
        </w:tc>
        <w:tc>
          <w:tcPr>
            <w:tcW w:w="1304" w:type="dxa"/>
          </w:tcPr>
          <w:p>
            <w:pPr>
              <w:pStyle w:val="0"/>
              <w:jc w:val="center"/>
            </w:pPr>
            <w:r>
              <w:rPr>
                <w:sz w:val="20"/>
              </w:rPr>
              <w:t xml:space="preserve">1,50</w:t>
            </w:r>
          </w:p>
        </w:tc>
        <w:tc>
          <w:tcPr>
            <w:tcW w:w="1472" w:type="dxa"/>
          </w:tcPr>
          <w:p>
            <w:pPr>
              <w:pStyle w:val="0"/>
              <w:jc w:val="center"/>
            </w:pPr>
            <w:r>
              <w:rPr>
                <w:sz w:val="20"/>
              </w:rPr>
              <w:t xml:space="preserve">1,50</w:t>
            </w:r>
          </w:p>
        </w:tc>
      </w:tr>
      <w:tr>
        <w:tc>
          <w:tcPr>
            <w:tcW w:w="623" w:type="dxa"/>
          </w:tcPr>
          <w:bookmarkStart w:id="10015" w:name="P10015"/>
          <w:bookmarkEnd w:id="10015"/>
          <w:p>
            <w:pPr>
              <w:pStyle w:val="0"/>
              <w:jc w:val="center"/>
            </w:pPr>
            <w:r>
              <w:rPr>
                <w:sz w:val="20"/>
              </w:rPr>
              <w:t xml:space="preserve">12</w:t>
            </w:r>
          </w:p>
        </w:tc>
        <w:tc>
          <w:tcPr>
            <w:tcW w:w="4195" w:type="dxa"/>
          </w:tcPr>
          <w:p>
            <w:pPr>
              <w:pStyle w:val="0"/>
              <w:jc w:val="both"/>
            </w:pPr>
            <w:r>
              <w:rPr>
                <w:sz w:val="20"/>
              </w:rPr>
              <w:t xml:space="preserve">Производство ремонтно-строительных работ осуществляется на склонах гор с сохранением природного ландшафта</w:t>
            </w:r>
          </w:p>
        </w:tc>
        <w:tc>
          <w:tcPr>
            <w:tcW w:w="1474" w:type="dxa"/>
          </w:tcPr>
          <w:p>
            <w:pPr>
              <w:pStyle w:val="0"/>
              <w:jc w:val="center"/>
            </w:pPr>
            <w:r>
              <w:rPr>
                <w:sz w:val="20"/>
              </w:rPr>
              <w:t xml:space="preserve">1,20</w:t>
            </w:r>
          </w:p>
        </w:tc>
        <w:tc>
          <w:tcPr>
            <w:tcW w:w="1304" w:type="dxa"/>
          </w:tcPr>
          <w:p>
            <w:pPr>
              <w:pStyle w:val="0"/>
              <w:jc w:val="center"/>
            </w:pPr>
            <w:r>
              <w:rPr>
                <w:sz w:val="20"/>
              </w:rPr>
              <w:t xml:space="preserve">1,20</w:t>
            </w:r>
          </w:p>
        </w:tc>
        <w:tc>
          <w:tcPr>
            <w:tcW w:w="1472" w:type="dxa"/>
          </w:tcPr>
          <w:p>
            <w:pPr>
              <w:pStyle w:val="0"/>
              <w:jc w:val="center"/>
            </w:pPr>
            <w:r>
              <w:rPr>
                <w:sz w:val="20"/>
              </w:rPr>
              <w:t xml:space="preserve">1,20</w:t>
            </w:r>
          </w:p>
        </w:tc>
      </w:tr>
      <w:tr>
        <w:tc>
          <w:tcPr>
            <w:tcW w:w="623" w:type="dxa"/>
          </w:tcPr>
          <w:p>
            <w:pPr>
              <w:pStyle w:val="0"/>
              <w:jc w:val="center"/>
            </w:pPr>
            <w:r>
              <w:rPr>
                <w:sz w:val="20"/>
              </w:rPr>
              <w:t xml:space="preserve">13</w:t>
            </w:r>
          </w:p>
        </w:tc>
        <w:tc>
          <w:tcPr>
            <w:tcW w:w="4195" w:type="dxa"/>
          </w:tcPr>
          <w:p>
            <w:pPr>
              <w:pStyle w:val="0"/>
              <w:jc w:val="both"/>
            </w:pPr>
            <w:r>
              <w:rPr>
                <w:sz w:val="20"/>
              </w:rPr>
              <w:t xml:space="preserve">Производство работ при капитальном ремонте шахт, рудников, метрополитенов, тоннелей и других подземных сооружений специального назначения</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10025" w:name="P10025"/>
          <w:bookmarkEnd w:id="10025"/>
          <w:p>
            <w:pPr>
              <w:pStyle w:val="0"/>
            </w:pPr>
            <w:r>
              <w:rPr>
                <w:sz w:val="20"/>
              </w:rPr>
              <w:t xml:space="preserve">13.1</w:t>
            </w:r>
          </w:p>
        </w:tc>
        <w:tc>
          <w:tcPr>
            <w:tcW w:w="4195" w:type="dxa"/>
          </w:tcPr>
          <w:p>
            <w:pPr>
              <w:pStyle w:val="0"/>
              <w:jc w:val="both"/>
            </w:pPr>
            <w:r>
              <w:rPr>
                <w:sz w:val="20"/>
              </w:rPr>
              <w:t xml:space="preserve">для работ, выполняемых на поверхности</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r>
        <w:tc>
          <w:tcPr>
            <w:tcW w:w="623" w:type="dxa"/>
          </w:tcPr>
          <w:bookmarkStart w:id="10030" w:name="P10030"/>
          <w:bookmarkEnd w:id="10030"/>
          <w:p>
            <w:pPr>
              <w:pStyle w:val="0"/>
            </w:pPr>
            <w:r>
              <w:rPr>
                <w:sz w:val="20"/>
              </w:rPr>
              <w:t xml:space="preserve">13.2</w:t>
            </w:r>
          </w:p>
        </w:tc>
        <w:tc>
          <w:tcPr>
            <w:tcW w:w="4195" w:type="dxa"/>
          </w:tcPr>
          <w:p>
            <w:pPr>
              <w:pStyle w:val="0"/>
              <w:jc w:val="both"/>
            </w:pPr>
            <w:r>
              <w:rPr>
                <w:sz w:val="20"/>
              </w:rPr>
              <w:t xml:space="preserve">при открытом способе производства работ (включая путевые работы на поверхности)</w:t>
            </w:r>
          </w:p>
        </w:tc>
        <w:tc>
          <w:tcPr>
            <w:tcW w:w="1474" w:type="dxa"/>
          </w:tcPr>
          <w:p>
            <w:pPr>
              <w:pStyle w:val="0"/>
              <w:jc w:val="center"/>
            </w:pPr>
            <w:r>
              <w:rPr>
                <w:sz w:val="20"/>
              </w:rPr>
              <w:t xml:space="preserve">1,25</w:t>
            </w:r>
          </w:p>
        </w:tc>
        <w:tc>
          <w:tcPr>
            <w:tcW w:w="1304" w:type="dxa"/>
          </w:tcPr>
          <w:p>
            <w:pPr>
              <w:pStyle w:val="0"/>
              <w:jc w:val="center"/>
            </w:pPr>
            <w:r>
              <w:rPr>
                <w:sz w:val="20"/>
              </w:rPr>
              <w:t xml:space="preserve">1,25</w:t>
            </w:r>
          </w:p>
        </w:tc>
        <w:tc>
          <w:tcPr>
            <w:tcW w:w="1472" w:type="dxa"/>
          </w:tcPr>
          <w:p>
            <w:pPr>
              <w:pStyle w:val="0"/>
              <w:jc w:val="center"/>
            </w:pPr>
            <w:r>
              <w:rPr>
                <w:sz w:val="20"/>
              </w:rPr>
              <w:t xml:space="preserve">1,25</w:t>
            </w:r>
          </w:p>
        </w:tc>
      </w:tr>
      <w:tr>
        <w:tc>
          <w:tcPr>
            <w:tcW w:w="623" w:type="dxa"/>
          </w:tcPr>
          <w:bookmarkStart w:id="10035" w:name="P10035"/>
          <w:bookmarkEnd w:id="10035"/>
          <w:p>
            <w:pPr>
              <w:pStyle w:val="0"/>
            </w:pPr>
            <w:r>
              <w:rPr>
                <w:sz w:val="20"/>
              </w:rPr>
              <w:t xml:space="preserve">13.3</w:t>
            </w:r>
          </w:p>
        </w:tc>
        <w:tc>
          <w:tcPr>
            <w:tcW w:w="4195" w:type="dxa"/>
          </w:tcPr>
          <w:p>
            <w:pPr>
              <w:pStyle w:val="0"/>
              <w:jc w:val="both"/>
            </w:pPr>
            <w:r>
              <w:rPr>
                <w:sz w:val="20"/>
              </w:rPr>
              <w:t xml:space="preserve">для работ, выполняемых в подземных условиях</w:t>
            </w:r>
          </w:p>
        </w:tc>
        <w:tc>
          <w:tcPr>
            <w:tcW w:w="1474" w:type="dxa"/>
          </w:tcPr>
          <w:p>
            <w:pPr>
              <w:pStyle w:val="0"/>
              <w:jc w:val="center"/>
            </w:pPr>
            <w:r>
              <w:rPr>
                <w:sz w:val="20"/>
              </w:rPr>
              <w:t xml:space="preserve">1,68</w:t>
            </w:r>
          </w:p>
        </w:tc>
        <w:tc>
          <w:tcPr>
            <w:tcW w:w="1304" w:type="dxa"/>
          </w:tcPr>
          <w:p>
            <w:pPr>
              <w:pStyle w:val="0"/>
              <w:jc w:val="center"/>
            </w:pPr>
            <w:r>
              <w:rPr>
                <w:sz w:val="20"/>
              </w:rPr>
              <w:t xml:space="preserve">1,68</w:t>
            </w:r>
          </w:p>
        </w:tc>
        <w:tc>
          <w:tcPr>
            <w:tcW w:w="1472" w:type="dxa"/>
          </w:tcPr>
          <w:p>
            <w:pPr>
              <w:pStyle w:val="0"/>
              <w:jc w:val="center"/>
            </w:pPr>
            <w:r>
              <w:rPr>
                <w:sz w:val="20"/>
              </w:rPr>
              <w:t xml:space="preserve">1,48</w:t>
            </w:r>
          </w:p>
        </w:tc>
      </w:tr>
      <w:tr>
        <w:tc>
          <w:tcPr>
            <w:tcW w:w="623" w:type="dxa"/>
          </w:tcPr>
          <w:p>
            <w:pPr>
              <w:pStyle w:val="0"/>
            </w:pPr>
            <w:r>
              <w:rPr>
                <w:sz w:val="20"/>
              </w:rPr>
              <w:t xml:space="preserve">14</w:t>
            </w:r>
          </w:p>
        </w:tc>
        <w:tc>
          <w:tcPr>
            <w:tcW w:w="4195" w:type="dxa"/>
          </w:tcPr>
          <w:p>
            <w:pPr>
              <w:pStyle w:val="0"/>
              <w:jc w:val="both"/>
            </w:pPr>
            <w:r>
              <w:rPr>
                <w:sz w:val="20"/>
              </w:rPr>
              <w:t xml:space="preserve">Производство работ осуществляется в эксплуатируемых тоннелях метрополитенов в ночное время "в окно":</w:t>
            </w:r>
          </w:p>
        </w:tc>
        <w:tc>
          <w:tcPr>
            <w:tcW w:w="1474" w:type="dxa"/>
          </w:tcPr>
          <w:p>
            <w:pPr>
              <w:pStyle w:val="0"/>
            </w:pPr>
            <w:r>
              <w:rPr>
                <w:sz w:val="20"/>
              </w:rPr>
            </w:r>
          </w:p>
        </w:tc>
        <w:tc>
          <w:tcPr>
            <w:tcW w:w="1304" w:type="dxa"/>
          </w:tcPr>
          <w:p>
            <w:pPr>
              <w:pStyle w:val="0"/>
            </w:pPr>
            <w:r>
              <w:rPr>
                <w:sz w:val="20"/>
              </w:rPr>
            </w:r>
          </w:p>
        </w:tc>
        <w:tc>
          <w:tcPr>
            <w:tcW w:w="1472" w:type="dxa"/>
          </w:tcPr>
          <w:p>
            <w:pPr>
              <w:pStyle w:val="0"/>
            </w:pPr>
            <w:r>
              <w:rPr>
                <w:sz w:val="20"/>
              </w:rPr>
            </w:r>
          </w:p>
        </w:tc>
      </w:tr>
      <w:tr>
        <w:tc>
          <w:tcPr>
            <w:tcW w:w="623" w:type="dxa"/>
          </w:tcPr>
          <w:bookmarkStart w:id="10045" w:name="P10045"/>
          <w:bookmarkEnd w:id="10045"/>
          <w:p>
            <w:pPr>
              <w:pStyle w:val="0"/>
            </w:pPr>
            <w:r>
              <w:rPr>
                <w:sz w:val="20"/>
              </w:rPr>
              <w:t xml:space="preserve">14.1</w:t>
            </w:r>
          </w:p>
        </w:tc>
        <w:tc>
          <w:tcPr>
            <w:tcW w:w="4195" w:type="dxa"/>
          </w:tcPr>
          <w:p>
            <w:pPr>
              <w:pStyle w:val="0"/>
              <w:jc w:val="both"/>
            </w:pPr>
            <w:r>
              <w:rPr>
                <w:sz w:val="20"/>
              </w:rPr>
              <w:t xml:space="preserve">при выполнении рабочими в течение рабочей смены только работ, связанных с "окном";</w:t>
            </w:r>
          </w:p>
        </w:tc>
        <w:tc>
          <w:tcPr>
            <w:tcW w:w="1474" w:type="dxa"/>
          </w:tcPr>
          <w:p>
            <w:pPr>
              <w:pStyle w:val="0"/>
              <w:jc w:val="center"/>
            </w:pPr>
            <w:r>
              <w:rPr>
                <w:sz w:val="20"/>
              </w:rPr>
              <w:t xml:space="preserve">3,00</w:t>
            </w:r>
          </w:p>
        </w:tc>
        <w:tc>
          <w:tcPr>
            <w:tcW w:w="1304" w:type="dxa"/>
          </w:tcPr>
          <w:p>
            <w:pPr>
              <w:pStyle w:val="0"/>
              <w:jc w:val="center"/>
            </w:pPr>
            <w:r>
              <w:rPr>
                <w:sz w:val="20"/>
              </w:rPr>
              <w:t xml:space="preserve">3,00</w:t>
            </w:r>
          </w:p>
        </w:tc>
        <w:tc>
          <w:tcPr>
            <w:tcW w:w="1472" w:type="dxa"/>
          </w:tcPr>
          <w:p>
            <w:pPr>
              <w:pStyle w:val="0"/>
              <w:jc w:val="center"/>
            </w:pPr>
            <w:r>
              <w:rPr>
                <w:sz w:val="20"/>
              </w:rPr>
              <w:t xml:space="preserve">2,80</w:t>
            </w:r>
          </w:p>
        </w:tc>
      </w:tr>
      <w:tr>
        <w:tc>
          <w:tcPr>
            <w:tcW w:w="623" w:type="dxa"/>
          </w:tcPr>
          <w:bookmarkStart w:id="10050" w:name="P10050"/>
          <w:bookmarkEnd w:id="10050"/>
          <w:p>
            <w:pPr>
              <w:pStyle w:val="0"/>
            </w:pPr>
            <w:r>
              <w:rPr>
                <w:sz w:val="20"/>
              </w:rPr>
              <w:t xml:space="preserve">14.2</w:t>
            </w:r>
          </w:p>
        </w:tc>
        <w:tc>
          <w:tcPr>
            <w:tcW w:w="4195" w:type="dxa"/>
          </w:tcPr>
          <w:p>
            <w:pPr>
              <w:pStyle w:val="0"/>
              <w:jc w:val="both"/>
            </w:pPr>
            <w:r>
              <w:rPr>
                <w:sz w:val="20"/>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w="1474" w:type="dxa"/>
          </w:tcPr>
          <w:p>
            <w:pPr>
              <w:pStyle w:val="0"/>
              <w:jc w:val="center"/>
            </w:pPr>
            <w:r>
              <w:rPr>
                <w:sz w:val="20"/>
              </w:rPr>
              <w:t xml:space="preserve">2,00</w:t>
            </w:r>
          </w:p>
        </w:tc>
        <w:tc>
          <w:tcPr>
            <w:tcW w:w="1304" w:type="dxa"/>
          </w:tcPr>
          <w:p>
            <w:pPr>
              <w:pStyle w:val="0"/>
              <w:jc w:val="center"/>
            </w:pPr>
            <w:r>
              <w:rPr>
                <w:sz w:val="20"/>
              </w:rPr>
              <w:t xml:space="preserve">2,00</w:t>
            </w:r>
          </w:p>
        </w:tc>
        <w:tc>
          <w:tcPr>
            <w:tcW w:w="1472" w:type="dxa"/>
          </w:tcPr>
          <w:p>
            <w:pPr>
              <w:pStyle w:val="0"/>
              <w:jc w:val="center"/>
            </w:pPr>
            <w:r>
              <w:rPr>
                <w:sz w:val="20"/>
              </w:rPr>
              <w:t xml:space="preserve">1,80</w:t>
            </w:r>
          </w:p>
        </w:tc>
      </w:tr>
      <w:tr>
        <w:tc>
          <w:tcPr>
            <w:tcW w:w="623" w:type="dxa"/>
          </w:tcPr>
          <w:bookmarkStart w:id="10055" w:name="P10055"/>
          <w:bookmarkEnd w:id="10055"/>
          <w:p>
            <w:pPr>
              <w:pStyle w:val="0"/>
            </w:pPr>
            <w:r>
              <w:rPr>
                <w:sz w:val="20"/>
              </w:rPr>
              <w:t xml:space="preserve">15</w:t>
            </w:r>
          </w:p>
        </w:tc>
        <w:tc>
          <w:tcPr>
            <w:tcW w:w="4195" w:type="dxa"/>
          </w:tcPr>
          <w:p>
            <w:pPr>
              <w:pStyle w:val="0"/>
              <w:jc w:val="both"/>
            </w:pPr>
            <w:r>
              <w:rPr>
                <w:sz w:val="20"/>
              </w:rPr>
              <w:t xml:space="preserve">Производство работ на предприятиях, где в силу режима секретности и (или) внутриобъектного режима применяются специальный допуск, специальный пропуск и другие ограничения для рабочих</w:t>
            </w:r>
          </w:p>
        </w:tc>
        <w:tc>
          <w:tcPr>
            <w:tcW w:w="1474" w:type="dxa"/>
          </w:tcPr>
          <w:p>
            <w:pPr>
              <w:pStyle w:val="0"/>
              <w:jc w:val="center"/>
            </w:pPr>
            <w:r>
              <w:rPr>
                <w:sz w:val="20"/>
              </w:rPr>
              <w:t xml:space="preserve">1,15</w:t>
            </w:r>
          </w:p>
        </w:tc>
        <w:tc>
          <w:tcPr>
            <w:tcW w:w="1304" w:type="dxa"/>
          </w:tcPr>
          <w:p>
            <w:pPr>
              <w:pStyle w:val="0"/>
              <w:jc w:val="center"/>
            </w:pPr>
            <w:r>
              <w:rPr>
                <w:sz w:val="20"/>
              </w:rPr>
              <w:t xml:space="preserve">1,15</w:t>
            </w:r>
          </w:p>
        </w:tc>
        <w:tc>
          <w:tcPr>
            <w:tcW w:w="1472" w:type="dxa"/>
          </w:tcPr>
          <w:p>
            <w:pPr>
              <w:pStyle w:val="0"/>
              <w:jc w:val="center"/>
            </w:pPr>
            <w:r>
              <w:rPr>
                <w:sz w:val="20"/>
              </w:rPr>
              <w:t xml:space="preserve">1,15</w:t>
            </w:r>
          </w:p>
        </w:tc>
      </w:tr>
    </w:tbl>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3.1. Коэффициенты, приведенные в </w:t>
      </w:r>
      <w:hyperlink w:history="0" w:anchor="P9874" w:tooltip="Капитальный ремонт объектов капитального строительства">
        <w:r>
          <w:rPr>
            <w:sz w:val="20"/>
            <w:color w:val="0000ff"/>
          </w:rPr>
          <w:t xml:space="preserve">таблице 3</w:t>
        </w:r>
      </w:hyperlink>
      <w:r>
        <w:rPr>
          <w:sz w:val="20"/>
        </w:rPr>
        <w:t xml:space="preserve"> (за исключением указанных в </w:t>
      </w:r>
      <w:hyperlink w:history="0" w:anchor="P9920" w:tooltip="4.1">
        <w:r>
          <w:rPr>
            <w:sz w:val="20"/>
            <w:color w:val="0000ff"/>
          </w:rPr>
          <w:t xml:space="preserve">пунктах 4.1</w:t>
        </w:r>
      </w:hyperlink>
      <w:r>
        <w:rPr>
          <w:sz w:val="20"/>
        </w:rPr>
        <w:t xml:space="preserve"> - </w:t>
      </w:r>
      <w:hyperlink w:history="0" w:anchor="P9945" w:tooltip="4.6">
        <w:r>
          <w:rPr>
            <w:sz w:val="20"/>
            <w:color w:val="0000ff"/>
          </w:rPr>
          <w:t xml:space="preserve">4.6</w:t>
        </w:r>
      </w:hyperlink>
      <w:r>
        <w:rPr>
          <w:sz w:val="20"/>
        </w:rPr>
        <w:t xml:space="preserve">, </w:t>
      </w:r>
      <w:hyperlink w:history="0" w:anchor="P10025" w:tooltip="13.1">
        <w:r>
          <w:rPr>
            <w:sz w:val="20"/>
            <w:color w:val="0000ff"/>
          </w:rPr>
          <w:t xml:space="preserve">13.1</w:t>
        </w:r>
      </w:hyperlink>
      <w:r>
        <w:rPr>
          <w:sz w:val="20"/>
        </w:rPr>
        <w:t xml:space="preserve">, </w:t>
      </w:r>
      <w:hyperlink w:history="0" w:anchor="P10030" w:tooltip="13.2">
        <w:r>
          <w:rPr>
            <w:sz w:val="20"/>
            <w:color w:val="0000ff"/>
          </w:rPr>
          <w:t xml:space="preserve">13.2</w:t>
        </w:r>
      </w:hyperlink>
      <w:r>
        <w:rPr>
          <w:sz w:val="20"/>
        </w:rPr>
        <w:t xml:space="preserve">, </w:t>
      </w:r>
      <w:hyperlink w:history="0" w:anchor="P10035" w:tooltip="13.3">
        <w:r>
          <w:rPr>
            <w:sz w:val="20"/>
            <w:color w:val="0000ff"/>
          </w:rPr>
          <w:t xml:space="preserve">13.3</w:t>
        </w:r>
      </w:hyperlink>
      <w:r>
        <w:rPr>
          <w:sz w:val="20"/>
        </w:rPr>
        <w:t xml:space="preserve">, </w:t>
      </w:r>
      <w:hyperlink w:history="0" w:anchor="P10045" w:tooltip="14.1">
        <w:r>
          <w:rPr>
            <w:sz w:val="20"/>
            <w:color w:val="0000ff"/>
          </w:rPr>
          <w:t xml:space="preserve">14.1</w:t>
        </w:r>
      </w:hyperlink>
      <w:r>
        <w:rPr>
          <w:sz w:val="20"/>
        </w:rPr>
        <w:t xml:space="preserve"> и </w:t>
      </w:r>
      <w:hyperlink w:history="0" w:anchor="P10050" w:tooltip="14.2">
        <w:r>
          <w:rPr>
            <w:sz w:val="20"/>
            <w:color w:val="0000ff"/>
          </w:rPr>
          <w:t xml:space="preserve">14.2</w:t>
        </w:r>
      </w:hyperlink>
      <w:r>
        <w:rPr>
          <w:sz w:val="20"/>
        </w:rPr>
        <w:t xml:space="preserve">) применяются:</w:t>
      </w:r>
    </w:p>
    <w:p>
      <w:pPr>
        <w:pStyle w:val="0"/>
        <w:spacing w:before="200" w:line-rule="auto"/>
        <w:ind w:firstLine="540"/>
        <w:jc w:val="both"/>
      </w:pPr>
      <w:r>
        <w:rPr>
          <w:sz w:val="20"/>
        </w:rPr>
        <w:t xml:space="preserve">а) при определении сметной стоимости строительства базисно-индексным методом - к показателям оплаты труда рабочих, затратам труда рабочих, стоимости эксплуатации машин и механизмов, в том числе оплате труда и затратам труда машинистов;</w:t>
      </w:r>
    </w:p>
    <w:p>
      <w:pPr>
        <w:pStyle w:val="0"/>
        <w:spacing w:before="200" w:line-rule="auto"/>
        <w:ind w:firstLine="540"/>
        <w:jc w:val="both"/>
      </w:pPr>
      <w:r>
        <w:rPr>
          <w:sz w:val="20"/>
        </w:rPr>
        <w:t xml:space="preserve">б) при определении сметной стоимости строительства ресурсно-индексным и ресурсным методами - к затратам труда рабочих, времени эксплуатации машин и механизмов и затратам труда машинистов.</w:t>
      </w:r>
    </w:p>
    <w:p>
      <w:pPr>
        <w:pStyle w:val="0"/>
        <w:spacing w:before="200" w:line-rule="auto"/>
        <w:ind w:firstLine="540"/>
        <w:jc w:val="both"/>
      </w:pPr>
      <w:r>
        <w:rPr>
          <w:sz w:val="20"/>
        </w:rPr>
        <w:t xml:space="preserve">Коэффициенты, указанные в </w:t>
      </w:r>
      <w:hyperlink w:history="0" w:anchor="P9920" w:tooltip="4.1">
        <w:r>
          <w:rPr>
            <w:sz w:val="20"/>
            <w:color w:val="0000ff"/>
          </w:rPr>
          <w:t xml:space="preserve">пунктах 4.1</w:t>
        </w:r>
      </w:hyperlink>
      <w:r>
        <w:rPr>
          <w:sz w:val="20"/>
        </w:rPr>
        <w:t xml:space="preserve"> - </w:t>
      </w:r>
      <w:hyperlink w:history="0" w:anchor="P9945" w:tooltip="4.6">
        <w:r>
          <w:rPr>
            <w:sz w:val="20"/>
            <w:color w:val="0000ff"/>
          </w:rPr>
          <w:t xml:space="preserve">4.6</w:t>
        </w:r>
      </w:hyperlink>
      <w:r>
        <w:rPr>
          <w:sz w:val="20"/>
        </w:rPr>
        <w:t xml:space="preserve">, </w:t>
      </w:r>
      <w:hyperlink w:history="0" w:anchor="P10025" w:tooltip="13.1">
        <w:r>
          <w:rPr>
            <w:sz w:val="20"/>
            <w:color w:val="0000ff"/>
          </w:rPr>
          <w:t xml:space="preserve">13.1</w:t>
        </w:r>
      </w:hyperlink>
      <w:r>
        <w:rPr>
          <w:sz w:val="20"/>
        </w:rPr>
        <w:t xml:space="preserve">, </w:t>
      </w:r>
      <w:hyperlink w:history="0" w:anchor="P10030" w:tooltip="13.2">
        <w:r>
          <w:rPr>
            <w:sz w:val="20"/>
            <w:color w:val="0000ff"/>
          </w:rPr>
          <w:t xml:space="preserve">13.2</w:t>
        </w:r>
      </w:hyperlink>
      <w:r>
        <w:rPr>
          <w:sz w:val="20"/>
        </w:rPr>
        <w:t xml:space="preserve">, </w:t>
      </w:r>
      <w:hyperlink w:history="0" w:anchor="P10035" w:tooltip="13.3">
        <w:r>
          <w:rPr>
            <w:sz w:val="20"/>
            <w:color w:val="0000ff"/>
          </w:rPr>
          <w:t xml:space="preserve">13.3</w:t>
        </w:r>
      </w:hyperlink>
      <w:r>
        <w:rPr>
          <w:sz w:val="20"/>
        </w:rPr>
        <w:t xml:space="preserve">, </w:t>
      </w:r>
      <w:hyperlink w:history="0" w:anchor="P10045" w:tooltip="14.1">
        <w:r>
          <w:rPr>
            <w:sz w:val="20"/>
            <w:color w:val="0000ff"/>
          </w:rPr>
          <w:t xml:space="preserve">14.1</w:t>
        </w:r>
      </w:hyperlink>
      <w:r>
        <w:rPr>
          <w:sz w:val="20"/>
        </w:rPr>
        <w:t xml:space="preserve"> и </w:t>
      </w:r>
      <w:hyperlink w:history="0" w:anchor="P10050" w:tooltip="14.2">
        <w:r>
          <w:rPr>
            <w:sz w:val="20"/>
            <w:color w:val="0000ff"/>
          </w:rPr>
          <w:t xml:space="preserve">14.2</w:t>
        </w:r>
      </w:hyperlink>
      <w:r>
        <w:rPr>
          <w:sz w:val="20"/>
        </w:rPr>
        <w:t xml:space="preserve">, применяются к показателям оплаты труда рабочих и машинистов.</w:t>
      </w:r>
    </w:p>
    <w:p>
      <w:pPr>
        <w:pStyle w:val="0"/>
        <w:spacing w:before="200" w:line-rule="auto"/>
        <w:ind w:firstLine="540"/>
        <w:jc w:val="both"/>
      </w:pPr>
      <w:r>
        <w:rPr>
          <w:sz w:val="20"/>
        </w:rPr>
        <w:t xml:space="preserve">3.2. Коэффициенты, указанные в </w:t>
      </w:r>
      <w:hyperlink w:history="0" w:anchor="P9907" w:tooltip="3">
        <w:r>
          <w:rPr>
            <w:sz w:val="20"/>
            <w:color w:val="0000ff"/>
          </w:rPr>
          <w:t xml:space="preserve">пунктах 3</w:t>
        </w:r>
      </w:hyperlink>
      <w:r>
        <w:rPr>
          <w:sz w:val="20"/>
        </w:rPr>
        <w:t xml:space="preserve"> и </w:t>
      </w:r>
      <w:hyperlink w:history="0" w:anchor="P9980" w:tooltip="10.1">
        <w:r>
          <w:rPr>
            <w:sz w:val="20"/>
            <w:color w:val="0000ff"/>
          </w:rPr>
          <w:t xml:space="preserve">10.1</w:t>
        </w:r>
      </w:hyperlink>
      <w:r>
        <w:rPr>
          <w:sz w:val="20"/>
        </w:rPr>
        <w:t xml:space="preserve"> - </w:t>
      </w:r>
      <w:hyperlink w:history="0" w:anchor="P9990" w:tooltip="10.3">
        <w:r>
          <w:rPr>
            <w:sz w:val="20"/>
            <w:color w:val="0000ff"/>
          </w:rPr>
          <w:t xml:space="preserve">10.3</w:t>
        </w:r>
      </w:hyperlink>
      <w:r>
        <w:rPr>
          <w:sz w:val="20"/>
        </w:rPr>
        <w:t xml:space="preserve">, не распространяются на работы, выполняемые в помещениях объектов капитального строительства.</w:t>
      </w:r>
    </w:p>
    <w:p>
      <w:pPr>
        <w:pStyle w:val="0"/>
        <w:spacing w:before="200" w:line-rule="auto"/>
        <w:ind w:firstLine="540"/>
        <w:jc w:val="both"/>
      </w:pPr>
      <w:r>
        <w:rPr>
          <w:sz w:val="20"/>
        </w:rPr>
        <w:t xml:space="preserve">3.3. Одновременное применение нескольких коэффициентов не допускается. Исключением являются коэффициенты, указанные в </w:t>
      </w:r>
      <w:hyperlink w:history="0" w:anchor="P9920" w:tooltip="4.1">
        <w:r>
          <w:rPr>
            <w:sz w:val="20"/>
            <w:color w:val="0000ff"/>
          </w:rPr>
          <w:t xml:space="preserve">пунктах 4.1</w:t>
        </w:r>
      </w:hyperlink>
      <w:r>
        <w:rPr>
          <w:sz w:val="20"/>
        </w:rPr>
        <w:t xml:space="preserve"> - </w:t>
      </w:r>
      <w:hyperlink w:history="0" w:anchor="P9945" w:tooltip="4.6">
        <w:r>
          <w:rPr>
            <w:sz w:val="20"/>
            <w:color w:val="0000ff"/>
          </w:rPr>
          <w:t xml:space="preserve">4.6</w:t>
        </w:r>
      </w:hyperlink>
      <w:r>
        <w:rPr>
          <w:sz w:val="20"/>
        </w:rPr>
        <w:t xml:space="preserve">, </w:t>
      </w:r>
      <w:hyperlink w:history="0" w:anchor="P9950" w:tooltip="5">
        <w:r>
          <w:rPr>
            <w:sz w:val="20"/>
            <w:color w:val="0000ff"/>
          </w:rPr>
          <w:t xml:space="preserve">5</w:t>
        </w:r>
      </w:hyperlink>
      <w:r>
        <w:rPr>
          <w:sz w:val="20"/>
        </w:rPr>
        <w:t xml:space="preserve">, </w:t>
      </w:r>
      <w:hyperlink w:history="0" w:anchor="P9960" w:tooltip="7">
        <w:r>
          <w:rPr>
            <w:sz w:val="20"/>
            <w:color w:val="0000ff"/>
          </w:rPr>
          <w:t xml:space="preserve">7</w:t>
        </w:r>
      </w:hyperlink>
      <w:r>
        <w:rPr>
          <w:sz w:val="20"/>
        </w:rPr>
        <w:t xml:space="preserve">, </w:t>
      </w:r>
      <w:hyperlink w:history="0" w:anchor="P9965" w:tooltip="8">
        <w:r>
          <w:rPr>
            <w:sz w:val="20"/>
            <w:color w:val="0000ff"/>
          </w:rPr>
          <w:t xml:space="preserve">8</w:t>
        </w:r>
      </w:hyperlink>
      <w:r>
        <w:rPr>
          <w:sz w:val="20"/>
        </w:rPr>
        <w:t xml:space="preserve">, </w:t>
      </w:r>
      <w:hyperlink w:history="0" w:anchor="P9975" w:tooltip="10">
        <w:r>
          <w:rPr>
            <w:sz w:val="20"/>
            <w:color w:val="0000ff"/>
          </w:rPr>
          <w:t xml:space="preserve">10</w:t>
        </w:r>
      </w:hyperlink>
      <w:r>
        <w:rPr>
          <w:sz w:val="20"/>
        </w:rPr>
        <w:t xml:space="preserve">, </w:t>
      </w:r>
      <w:hyperlink w:history="0" w:anchor="P9995" w:tooltip="11">
        <w:r>
          <w:rPr>
            <w:sz w:val="20"/>
            <w:color w:val="0000ff"/>
          </w:rPr>
          <w:t xml:space="preserve">11</w:t>
        </w:r>
      </w:hyperlink>
      <w:r>
        <w:rPr>
          <w:sz w:val="20"/>
        </w:rPr>
        <w:t xml:space="preserve">, </w:t>
      </w:r>
      <w:hyperlink w:history="0" w:anchor="P10015" w:tooltip="12">
        <w:r>
          <w:rPr>
            <w:sz w:val="20"/>
            <w:color w:val="0000ff"/>
          </w:rPr>
          <w:t xml:space="preserve">12</w:t>
        </w:r>
      </w:hyperlink>
      <w:r>
        <w:rPr>
          <w:sz w:val="20"/>
        </w:rPr>
        <w:t xml:space="preserve"> и </w:t>
      </w:r>
      <w:hyperlink w:history="0" w:anchor="P10055" w:tooltip="15">
        <w:r>
          <w:rPr>
            <w:sz w:val="20"/>
            <w:color w:val="0000ff"/>
          </w:rPr>
          <w:t xml:space="preserve">15</w:t>
        </w:r>
      </w:hyperlink>
      <w:r>
        <w:rPr>
          <w:sz w:val="20"/>
        </w:rPr>
        <w:t xml:space="preserve">, каждый из которых может применяться с другим коэффициентом, приведенным в </w:t>
      </w:r>
      <w:hyperlink w:history="0" w:anchor="P9874" w:tooltip="Капитальный ремонт объектов капитального строительства">
        <w:r>
          <w:rPr>
            <w:sz w:val="20"/>
            <w:color w:val="0000ff"/>
          </w:rPr>
          <w:t xml:space="preserve">таблице 3</w:t>
        </w:r>
      </w:hyperlink>
      <w:r>
        <w:rPr>
          <w:sz w:val="20"/>
        </w:rPr>
        <w:t xml:space="preserve">. При одновременном применении коэффициенты, относящиеся к одним и тем же составляющим сметных норм (единичных расценок), перемножаются.</w:t>
      </w:r>
    </w:p>
    <w:p>
      <w:pPr>
        <w:pStyle w:val="0"/>
        <w:jc w:val="both"/>
      </w:pPr>
      <w:r>
        <w:rPr>
          <w:sz w:val="20"/>
        </w:rPr>
      </w:r>
    </w:p>
    <w:p>
      <w:pPr>
        <w:pStyle w:val="0"/>
        <w:outlineLvl w:val="2"/>
        <w:jc w:val="right"/>
      </w:pPr>
      <w:r>
        <w:rPr>
          <w:sz w:val="20"/>
        </w:rPr>
        <w:t xml:space="preserve">Таблица 4</w:t>
      </w:r>
    </w:p>
    <w:p>
      <w:pPr>
        <w:pStyle w:val="0"/>
        <w:jc w:val="both"/>
      </w:pPr>
      <w:r>
        <w:rPr>
          <w:sz w:val="20"/>
        </w:rPr>
      </w:r>
    </w:p>
    <w:bookmarkStart w:id="10071" w:name="P10071"/>
    <w:bookmarkEnd w:id="10071"/>
    <w:p>
      <w:pPr>
        <w:pStyle w:val="2"/>
        <w:jc w:val="center"/>
      </w:pPr>
      <w:r>
        <w:rPr>
          <w:sz w:val="20"/>
        </w:rPr>
        <w:t xml:space="preserve">Пусконаладочные работы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6066"/>
        <w:gridCol w:w="1927"/>
      </w:tblGrid>
      <w:tr>
        <w:tc>
          <w:tcPr>
            <w:tcW w:w="1077" w:type="dxa"/>
          </w:tcPr>
          <w:p>
            <w:pPr>
              <w:pStyle w:val="0"/>
              <w:jc w:val="center"/>
            </w:pPr>
            <w:r>
              <w:rPr>
                <w:sz w:val="20"/>
              </w:rPr>
              <w:t xml:space="preserve">N пп.</w:t>
            </w:r>
          </w:p>
        </w:tc>
        <w:tc>
          <w:tcPr>
            <w:tcW w:w="6066" w:type="dxa"/>
          </w:tcPr>
          <w:p>
            <w:pPr>
              <w:pStyle w:val="0"/>
              <w:jc w:val="center"/>
            </w:pPr>
            <w:r>
              <w:rPr>
                <w:sz w:val="20"/>
              </w:rPr>
              <w:t xml:space="preserve">Условия производства работ</w:t>
            </w:r>
          </w:p>
        </w:tc>
        <w:tc>
          <w:tcPr>
            <w:tcW w:w="1927" w:type="dxa"/>
          </w:tcPr>
          <w:p>
            <w:pPr>
              <w:pStyle w:val="0"/>
              <w:jc w:val="center"/>
            </w:pPr>
            <w:r>
              <w:rPr>
                <w:sz w:val="20"/>
              </w:rPr>
              <w:t xml:space="preserve">Коэффициенты к ГЭСНп (ФЕРп, ТЕРп)</w:t>
            </w:r>
          </w:p>
        </w:tc>
      </w:tr>
      <w:tr>
        <w:tc>
          <w:tcPr>
            <w:tcW w:w="1077" w:type="dxa"/>
          </w:tcPr>
          <w:p>
            <w:pPr>
              <w:pStyle w:val="0"/>
              <w:jc w:val="center"/>
            </w:pPr>
            <w:r>
              <w:rPr>
                <w:sz w:val="20"/>
              </w:rPr>
              <w:t xml:space="preserve">1</w:t>
            </w:r>
          </w:p>
        </w:tc>
        <w:tc>
          <w:tcPr>
            <w:tcW w:w="6066" w:type="dxa"/>
          </w:tcPr>
          <w:p>
            <w:pPr>
              <w:pStyle w:val="0"/>
              <w:jc w:val="center"/>
            </w:pPr>
            <w:r>
              <w:rPr>
                <w:sz w:val="20"/>
              </w:rPr>
              <w:t xml:space="preserve">2</w:t>
            </w:r>
          </w:p>
        </w:tc>
        <w:tc>
          <w:tcPr>
            <w:tcW w:w="1927" w:type="dxa"/>
          </w:tcPr>
          <w:p>
            <w:pPr>
              <w:pStyle w:val="0"/>
              <w:jc w:val="center"/>
            </w:pPr>
            <w:r>
              <w:rPr>
                <w:sz w:val="20"/>
              </w:rPr>
              <w:t xml:space="preserve">3</w:t>
            </w:r>
          </w:p>
        </w:tc>
      </w:tr>
      <w:tr>
        <w:tc>
          <w:tcPr>
            <w:tcW w:w="1077" w:type="dxa"/>
          </w:tcPr>
          <w:p>
            <w:pPr>
              <w:pStyle w:val="0"/>
              <w:jc w:val="center"/>
            </w:pPr>
            <w:r>
              <w:rPr>
                <w:sz w:val="20"/>
              </w:rPr>
              <w:t xml:space="preserve">1</w:t>
            </w:r>
          </w:p>
        </w:tc>
        <w:tc>
          <w:tcPr>
            <w:tcW w:w="6066" w:type="dxa"/>
          </w:tcPr>
          <w:p>
            <w:pPr>
              <w:pStyle w:val="0"/>
              <w:jc w:val="both"/>
            </w:pPr>
            <w:r>
              <w:rPr>
                <w:sz w:val="20"/>
              </w:rPr>
              <w:t xml:space="preserve">Производство работ осуществляется в помещениях эксплуатируемого объекта капитального строительства без остановки рабочего процесса, при этом в зоне производства работ имеются действующее технологическое или лабораторное оборудование, мебель и иные загромождающие помещения предметы</w:t>
            </w:r>
          </w:p>
        </w:tc>
        <w:tc>
          <w:tcPr>
            <w:tcW w:w="1927" w:type="dxa"/>
          </w:tcPr>
          <w:p>
            <w:pPr>
              <w:pStyle w:val="0"/>
              <w:jc w:val="center"/>
            </w:pPr>
            <w:r>
              <w:rPr>
                <w:sz w:val="20"/>
              </w:rPr>
              <w:t xml:space="preserve">1,2</w:t>
            </w:r>
          </w:p>
        </w:tc>
      </w:tr>
      <w:tr>
        <w:tc>
          <w:tcPr>
            <w:tcW w:w="1077" w:type="dxa"/>
          </w:tcPr>
          <w:p>
            <w:pPr>
              <w:pStyle w:val="0"/>
              <w:jc w:val="center"/>
            </w:pPr>
            <w:r>
              <w:rPr>
                <w:sz w:val="20"/>
              </w:rPr>
              <w:t xml:space="preserve">2</w:t>
            </w:r>
          </w:p>
        </w:tc>
        <w:tc>
          <w:tcPr>
            <w:tcW w:w="6066" w:type="dxa"/>
          </w:tcPr>
          <w:p>
            <w:pPr>
              <w:pStyle w:val="0"/>
              <w:jc w:val="both"/>
            </w:pPr>
            <w:r>
              <w:rPr>
                <w:sz w:val="20"/>
              </w:rPr>
              <w:t xml:space="preserve">Производство работ осуществляется в помещениях объекта капитального строительства с остановкой рабочего процесса, при этом в зоне производства работ имеются действующее технологическое или лабораторное оборудование, мебель и иные загромождающие помещения предметы</w:t>
            </w:r>
          </w:p>
        </w:tc>
        <w:tc>
          <w:tcPr>
            <w:tcW w:w="1927" w:type="dxa"/>
          </w:tcPr>
          <w:p>
            <w:pPr>
              <w:pStyle w:val="0"/>
              <w:jc w:val="center"/>
            </w:pPr>
            <w:r>
              <w:rPr>
                <w:sz w:val="20"/>
              </w:rPr>
              <w:t xml:space="preserve">1,15</w:t>
            </w:r>
          </w:p>
        </w:tc>
      </w:tr>
      <w:tr>
        <w:tc>
          <w:tcPr>
            <w:tcW w:w="1077" w:type="dxa"/>
          </w:tcPr>
          <w:bookmarkStart w:id="10085" w:name="P10085"/>
          <w:bookmarkEnd w:id="10085"/>
          <w:p>
            <w:pPr>
              <w:pStyle w:val="0"/>
              <w:jc w:val="center"/>
            </w:pPr>
            <w:r>
              <w:rPr>
                <w:sz w:val="20"/>
              </w:rPr>
              <w:t xml:space="preserve">3</w:t>
            </w:r>
          </w:p>
        </w:tc>
        <w:tc>
          <w:tcPr>
            <w:tcW w:w="6066" w:type="dxa"/>
          </w:tcPr>
          <w:p>
            <w:pPr>
              <w:pStyle w:val="0"/>
              <w:jc w:val="both"/>
            </w:pPr>
            <w:r>
              <w:rPr>
                <w:sz w:val="20"/>
              </w:rPr>
              <w:t xml:space="preserve">Производство работ осуществляется в охранной зоне действующей воздушной линии электропередачи, вблизи объектов, находящихся под напряжением, внутри объектов капитального строительства,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927" w:type="dxa"/>
          </w:tcPr>
          <w:p>
            <w:pPr>
              <w:pStyle w:val="0"/>
              <w:jc w:val="center"/>
            </w:pPr>
            <w:r>
              <w:rPr>
                <w:sz w:val="20"/>
              </w:rPr>
              <w:t xml:space="preserve">1,2</w:t>
            </w:r>
          </w:p>
        </w:tc>
      </w:tr>
      <w:tr>
        <w:tc>
          <w:tcPr>
            <w:tcW w:w="1077" w:type="dxa"/>
          </w:tcPr>
          <w:bookmarkStart w:id="10088" w:name="P10088"/>
          <w:bookmarkEnd w:id="10088"/>
          <w:p>
            <w:pPr>
              <w:pStyle w:val="0"/>
              <w:jc w:val="center"/>
            </w:pPr>
            <w:r>
              <w:rPr>
                <w:sz w:val="20"/>
              </w:rPr>
              <w:t xml:space="preserve">4</w:t>
            </w:r>
          </w:p>
        </w:tc>
        <w:tc>
          <w:tcPr>
            <w:tcW w:w="6066" w:type="dxa"/>
          </w:tcPr>
          <w:p>
            <w:pPr>
              <w:pStyle w:val="0"/>
              <w:jc w:val="both"/>
            </w:pPr>
            <w:r>
              <w:rPr>
                <w:sz w:val="20"/>
              </w:rPr>
              <w:t xml:space="preserve">Производство работ осуществляется в действующих электроустановках (в трансформаторных и распределительных подстанциях, в электропомещениях (щитовые, пультовые, подстанции, реакторные, РУ и пункты, кабельные шахты, тоннели и каналы, кабельные полуэтажи) с действующим электрооборудованием или кабельными линиями под напряжением), с оформлением при этом наряда-допуска или распоряжения</w:t>
            </w:r>
          </w:p>
        </w:tc>
        <w:tc>
          <w:tcPr>
            <w:tcW w:w="1927" w:type="dxa"/>
          </w:tcPr>
          <w:p>
            <w:pPr>
              <w:pStyle w:val="0"/>
              <w:jc w:val="center"/>
            </w:pPr>
            <w:r>
              <w:rPr>
                <w:sz w:val="20"/>
              </w:rPr>
              <w:t xml:space="preserve">1,3</w:t>
            </w:r>
          </w:p>
        </w:tc>
      </w:tr>
      <w:tr>
        <w:tc>
          <w:tcPr>
            <w:tcW w:w="1077" w:type="dxa"/>
          </w:tcPr>
          <w:bookmarkStart w:id="10091" w:name="P10091"/>
          <w:bookmarkEnd w:id="10091"/>
          <w:p>
            <w:pPr>
              <w:pStyle w:val="0"/>
              <w:jc w:val="center"/>
            </w:pPr>
            <w:r>
              <w:rPr>
                <w:sz w:val="20"/>
              </w:rPr>
              <w:t xml:space="preserve">5</w:t>
            </w:r>
          </w:p>
        </w:tc>
        <w:tc>
          <w:tcPr>
            <w:tcW w:w="6066" w:type="dxa"/>
          </w:tcPr>
          <w:p>
            <w:pPr>
              <w:pStyle w:val="0"/>
              <w:jc w:val="both"/>
            </w:pPr>
            <w:r>
              <w:rPr>
                <w:sz w:val="20"/>
              </w:rPr>
              <w:t xml:space="preserve">Производство работ осуществляется на электрооборудовании, защищенном от воздействия окружающей среды по конструктивному исполнению (пыле-, взрыво-, брызго-, водозащищенном, герметичном, защищенном от агрессивной среды)</w:t>
            </w:r>
          </w:p>
        </w:tc>
        <w:tc>
          <w:tcPr>
            <w:tcW w:w="1927" w:type="dxa"/>
          </w:tcPr>
          <w:p>
            <w:pPr>
              <w:pStyle w:val="0"/>
              <w:jc w:val="center"/>
            </w:pPr>
            <w:r>
              <w:rPr>
                <w:sz w:val="20"/>
              </w:rPr>
              <w:t xml:space="preserve">1,1</w:t>
            </w:r>
          </w:p>
        </w:tc>
      </w:tr>
      <w:tr>
        <w:tc>
          <w:tcPr>
            <w:tcW w:w="1077" w:type="dxa"/>
          </w:tcPr>
          <w:p>
            <w:pPr>
              <w:pStyle w:val="0"/>
              <w:jc w:val="center"/>
            </w:pPr>
            <w:r>
              <w:rPr>
                <w:sz w:val="20"/>
              </w:rPr>
              <w:t xml:space="preserve">6</w:t>
            </w:r>
          </w:p>
        </w:tc>
        <w:tc>
          <w:tcPr>
            <w:tcW w:w="6066" w:type="dxa"/>
          </w:tcPr>
          <w:p>
            <w:pPr>
              <w:pStyle w:val="0"/>
              <w:jc w:val="both"/>
            </w:pPr>
            <w:r>
              <w:rPr>
                <w:sz w:val="20"/>
              </w:rPr>
              <w:t xml:space="preserve">Производство работ осуществляется в помещениях категории А и Б по пожаро-взрывоопасности, на взрывоопасных блоках 1-й, 2-й и 3-й категорий взрывоопасности</w:t>
            </w:r>
          </w:p>
        </w:tc>
        <w:tc>
          <w:tcPr>
            <w:tcW w:w="1927" w:type="dxa"/>
          </w:tcPr>
          <w:p>
            <w:pPr>
              <w:pStyle w:val="0"/>
              <w:jc w:val="center"/>
            </w:pPr>
            <w:r>
              <w:rPr>
                <w:sz w:val="20"/>
              </w:rPr>
              <w:t xml:space="preserve">1,25</w:t>
            </w:r>
          </w:p>
        </w:tc>
      </w:tr>
      <w:tr>
        <w:tc>
          <w:tcPr>
            <w:tcW w:w="1077" w:type="dxa"/>
          </w:tcPr>
          <w:p>
            <w:pPr>
              <w:pStyle w:val="0"/>
              <w:jc w:val="center"/>
            </w:pPr>
            <w:r>
              <w:rPr>
                <w:sz w:val="20"/>
              </w:rPr>
              <w:t xml:space="preserve">7</w:t>
            </w:r>
          </w:p>
        </w:tc>
        <w:tc>
          <w:tcPr>
            <w:tcW w:w="6066" w:type="dxa"/>
          </w:tcPr>
          <w:p>
            <w:pPr>
              <w:pStyle w:val="0"/>
              <w:jc w:val="both"/>
            </w:pPr>
            <w:r>
              <w:rPr>
                <w:sz w:val="20"/>
              </w:rPr>
              <w:t xml:space="preserve">Производство работ осуществляется с вредными условиями труда, при этом:</w:t>
            </w:r>
          </w:p>
        </w:tc>
        <w:tc>
          <w:tcPr>
            <w:tcW w:w="1927" w:type="dxa"/>
          </w:tcPr>
          <w:p>
            <w:pPr>
              <w:pStyle w:val="0"/>
            </w:pPr>
            <w:r>
              <w:rPr>
                <w:sz w:val="20"/>
              </w:rPr>
            </w:r>
          </w:p>
        </w:tc>
      </w:tr>
      <w:tr>
        <w:tc>
          <w:tcPr>
            <w:tcW w:w="1077" w:type="dxa"/>
          </w:tcPr>
          <w:bookmarkStart w:id="10100" w:name="P10100"/>
          <w:bookmarkEnd w:id="10100"/>
          <w:p>
            <w:pPr>
              <w:pStyle w:val="0"/>
              <w:jc w:val="center"/>
            </w:pPr>
            <w:r>
              <w:rPr>
                <w:sz w:val="20"/>
              </w:rPr>
              <w:t xml:space="preserve">7.1</w:t>
            </w:r>
          </w:p>
        </w:tc>
        <w:tc>
          <w:tcPr>
            <w:tcW w:w="6066" w:type="dxa"/>
          </w:tcPr>
          <w:p>
            <w:pPr>
              <w:pStyle w:val="0"/>
              <w:jc w:val="both"/>
            </w:pPr>
            <w:r>
              <w:rPr>
                <w:sz w:val="20"/>
              </w:rPr>
              <w:t xml:space="preserve">на предприятии, где работникам основного производства установлен сокращенный рабочий день, а пусконаладочный персонал имеет рабочий день нормальной продолжительности;</w:t>
            </w:r>
          </w:p>
        </w:tc>
        <w:tc>
          <w:tcPr>
            <w:tcW w:w="1927" w:type="dxa"/>
          </w:tcPr>
          <w:p>
            <w:pPr>
              <w:pStyle w:val="0"/>
              <w:jc w:val="center"/>
            </w:pPr>
            <w:r>
              <w:rPr>
                <w:sz w:val="20"/>
              </w:rPr>
              <w:t xml:space="preserve">1,15</w:t>
            </w:r>
          </w:p>
        </w:tc>
      </w:tr>
      <w:tr>
        <w:tc>
          <w:tcPr>
            <w:tcW w:w="1077" w:type="dxa"/>
          </w:tcPr>
          <w:p>
            <w:pPr>
              <w:pStyle w:val="0"/>
              <w:jc w:val="center"/>
            </w:pPr>
            <w:r>
              <w:rPr>
                <w:sz w:val="20"/>
              </w:rPr>
              <w:t xml:space="preserve">7.2</w:t>
            </w:r>
          </w:p>
        </w:tc>
        <w:tc>
          <w:tcPr>
            <w:tcW w:w="6066" w:type="dxa"/>
          </w:tcPr>
          <w:p>
            <w:pPr>
              <w:pStyle w:val="0"/>
              <w:jc w:val="both"/>
            </w:pPr>
            <w:r>
              <w:rPr>
                <w:sz w:val="20"/>
              </w:rPr>
              <w:t xml:space="preserve">на предприятии, где пусконаладочный персонал переведен на сокращенный рабочий день при 36-часовой рабочей неделе;</w:t>
            </w:r>
          </w:p>
        </w:tc>
        <w:tc>
          <w:tcPr>
            <w:tcW w:w="1927" w:type="dxa"/>
          </w:tcPr>
          <w:p>
            <w:pPr>
              <w:pStyle w:val="0"/>
              <w:jc w:val="center"/>
            </w:pPr>
            <w:r>
              <w:rPr>
                <w:sz w:val="20"/>
              </w:rPr>
              <w:t xml:space="preserve">1,3</w:t>
            </w:r>
          </w:p>
        </w:tc>
      </w:tr>
      <w:tr>
        <w:tc>
          <w:tcPr>
            <w:tcW w:w="1077" w:type="dxa"/>
          </w:tcPr>
          <w:p>
            <w:pPr>
              <w:pStyle w:val="0"/>
              <w:jc w:val="center"/>
            </w:pPr>
            <w:r>
              <w:rPr>
                <w:sz w:val="20"/>
              </w:rPr>
              <w:t xml:space="preserve">7.3</w:t>
            </w:r>
          </w:p>
        </w:tc>
        <w:tc>
          <w:tcPr>
            <w:tcW w:w="6066" w:type="dxa"/>
          </w:tcPr>
          <w:p>
            <w:pPr>
              <w:pStyle w:val="0"/>
              <w:jc w:val="both"/>
            </w:pPr>
            <w:r>
              <w:rPr>
                <w:sz w:val="20"/>
              </w:rPr>
              <w:t xml:space="preserve">на предприятии, где пусконаладочный персонал переведен на сокращенный рабочий день при 30-часовой рабочей неделе;</w:t>
            </w:r>
          </w:p>
        </w:tc>
        <w:tc>
          <w:tcPr>
            <w:tcW w:w="1927" w:type="dxa"/>
          </w:tcPr>
          <w:p>
            <w:pPr>
              <w:pStyle w:val="0"/>
              <w:jc w:val="center"/>
            </w:pPr>
            <w:r>
              <w:rPr>
                <w:sz w:val="20"/>
              </w:rPr>
              <w:t xml:space="preserve">1,58</w:t>
            </w:r>
          </w:p>
        </w:tc>
      </w:tr>
      <w:tr>
        <w:tc>
          <w:tcPr>
            <w:tcW w:w="1077" w:type="dxa"/>
          </w:tcPr>
          <w:p>
            <w:pPr>
              <w:pStyle w:val="0"/>
              <w:jc w:val="center"/>
            </w:pPr>
            <w:r>
              <w:rPr>
                <w:sz w:val="20"/>
              </w:rPr>
              <w:t xml:space="preserve">7.4</w:t>
            </w:r>
          </w:p>
        </w:tc>
        <w:tc>
          <w:tcPr>
            <w:tcW w:w="6066" w:type="dxa"/>
          </w:tcPr>
          <w:p>
            <w:pPr>
              <w:pStyle w:val="0"/>
              <w:jc w:val="both"/>
            </w:pPr>
            <w:r>
              <w:rPr>
                <w:sz w:val="20"/>
              </w:rPr>
              <w:t xml:space="preserve">на предприятии, где пусконаладочный персонал переведен на сокращенный рабочий день при 24-часовой рабочей неделе</w:t>
            </w:r>
          </w:p>
        </w:tc>
        <w:tc>
          <w:tcPr>
            <w:tcW w:w="1927" w:type="dxa"/>
          </w:tcPr>
          <w:p>
            <w:pPr>
              <w:pStyle w:val="0"/>
              <w:jc w:val="center"/>
            </w:pPr>
            <w:r>
              <w:rPr>
                <w:sz w:val="20"/>
              </w:rPr>
              <w:t xml:space="preserve">1,9</w:t>
            </w:r>
          </w:p>
        </w:tc>
      </w:tr>
      <w:tr>
        <w:tc>
          <w:tcPr>
            <w:tcW w:w="1077" w:type="dxa"/>
          </w:tcPr>
          <w:p>
            <w:pPr>
              <w:pStyle w:val="0"/>
              <w:jc w:val="center"/>
            </w:pPr>
            <w:r>
              <w:rPr>
                <w:sz w:val="20"/>
              </w:rPr>
              <w:t xml:space="preserve">7.5</w:t>
            </w:r>
          </w:p>
        </w:tc>
        <w:tc>
          <w:tcPr>
            <w:tcW w:w="6066" w:type="dxa"/>
          </w:tcPr>
          <w:p>
            <w:pPr>
              <w:pStyle w:val="0"/>
              <w:jc w:val="both"/>
            </w:pPr>
            <w:r>
              <w:rPr>
                <w:sz w:val="20"/>
              </w:rPr>
              <w:t xml:space="preserve">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3500 до 4000 м над уровнем моря, при 30-часовой рабочей неделе;</w:t>
            </w:r>
          </w:p>
        </w:tc>
        <w:tc>
          <w:tcPr>
            <w:tcW w:w="1927" w:type="dxa"/>
          </w:tcPr>
          <w:p>
            <w:pPr>
              <w:pStyle w:val="0"/>
              <w:jc w:val="center"/>
            </w:pPr>
            <w:r>
              <w:rPr>
                <w:sz w:val="20"/>
              </w:rPr>
              <w:t xml:space="preserve">1,66</w:t>
            </w:r>
          </w:p>
        </w:tc>
      </w:tr>
      <w:tr>
        <w:tc>
          <w:tcPr>
            <w:tcW w:w="1077" w:type="dxa"/>
          </w:tcPr>
          <w:bookmarkStart w:id="10115" w:name="P10115"/>
          <w:bookmarkEnd w:id="10115"/>
          <w:p>
            <w:pPr>
              <w:pStyle w:val="0"/>
              <w:jc w:val="center"/>
            </w:pPr>
            <w:r>
              <w:rPr>
                <w:sz w:val="20"/>
              </w:rPr>
              <w:t xml:space="preserve">7.6</w:t>
            </w:r>
          </w:p>
        </w:tc>
        <w:tc>
          <w:tcPr>
            <w:tcW w:w="6066" w:type="dxa"/>
          </w:tcPr>
          <w:p>
            <w:pPr>
              <w:pStyle w:val="0"/>
              <w:jc w:val="both"/>
            </w:pPr>
            <w:r>
              <w:rPr>
                <w:sz w:val="20"/>
              </w:rPr>
              <w:t xml:space="preserve">в горной местности при строительстве объектов инфраструктуры всесезонных туристско-рекреационных комплексов, в том числе инфраструктуры горнолыжных комплексов, при наличии вредных и опасных условий труда на высоте свыше 4000 до 4500 м над уровнем моря, при 30-часовой рабочей неделе</w:t>
            </w:r>
          </w:p>
        </w:tc>
        <w:tc>
          <w:tcPr>
            <w:tcW w:w="1927" w:type="dxa"/>
          </w:tcPr>
          <w:p>
            <w:pPr>
              <w:pStyle w:val="0"/>
              <w:jc w:val="center"/>
            </w:pPr>
            <w:r>
              <w:rPr>
                <w:sz w:val="20"/>
              </w:rPr>
              <w:t xml:space="preserve">1,74</w:t>
            </w:r>
          </w:p>
        </w:tc>
      </w:tr>
      <w:tr>
        <w:tc>
          <w:tcPr>
            <w:tcW w:w="1077" w:type="dxa"/>
          </w:tcPr>
          <w:bookmarkStart w:id="10118" w:name="P10118"/>
          <w:bookmarkEnd w:id="10118"/>
          <w:p>
            <w:pPr>
              <w:pStyle w:val="0"/>
              <w:jc w:val="center"/>
            </w:pPr>
            <w:r>
              <w:rPr>
                <w:sz w:val="20"/>
              </w:rPr>
              <w:t xml:space="preserve">8</w:t>
            </w:r>
          </w:p>
        </w:tc>
        <w:tc>
          <w:tcPr>
            <w:tcW w:w="6066" w:type="dxa"/>
          </w:tcPr>
          <w:p>
            <w:pPr>
              <w:pStyle w:val="0"/>
              <w:jc w:val="both"/>
            </w:pPr>
            <w:r>
              <w:rPr>
                <w:sz w:val="20"/>
              </w:rPr>
              <w:t xml:space="preserve">Производство работ на предприятиях, где в силу режима секретности и (или) внутриобъектного режима применяются специальный допуск, специальный пропуск и другие ограничения для пусконаладочного персонала</w:t>
            </w:r>
          </w:p>
        </w:tc>
        <w:tc>
          <w:tcPr>
            <w:tcW w:w="1927" w:type="dxa"/>
          </w:tcPr>
          <w:p>
            <w:pPr>
              <w:pStyle w:val="0"/>
              <w:jc w:val="center"/>
            </w:pPr>
            <w:r>
              <w:rPr>
                <w:sz w:val="20"/>
              </w:rPr>
              <w:t xml:space="preserve">1,15</w:t>
            </w:r>
          </w:p>
        </w:tc>
      </w:tr>
      <w:tr>
        <w:tc>
          <w:tcPr>
            <w:tcW w:w="1077" w:type="dxa"/>
          </w:tcPr>
          <w:bookmarkStart w:id="10121" w:name="P10121"/>
          <w:bookmarkEnd w:id="10121"/>
          <w:p>
            <w:pPr>
              <w:pStyle w:val="0"/>
              <w:jc w:val="center"/>
            </w:pPr>
            <w:r>
              <w:rPr>
                <w:sz w:val="20"/>
              </w:rPr>
              <w:t xml:space="preserve">9</w:t>
            </w:r>
          </w:p>
        </w:tc>
        <w:tc>
          <w:tcPr>
            <w:tcW w:w="6066" w:type="dxa"/>
          </w:tcPr>
          <w:p>
            <w:pPr>
              <w:pStyle w:val="0"/>
              <w:jc w:val="both"/>
            </w:pPr>
            <w:r>
              <w:rPr>
                <w:sz w:val="20"/>
              </w:rPr>
              <w:t xml:space="preserve">Производство работ осуществляется в закрытых сооружениях (помещениях), верхняя отметка перекрытия которых находится ниже 3 м от поверхности земли, за исключением подземных сооружений специального назначения</w:t>
            </w:r>
          </w:p>
        </w:tc>
        <w:tc>
          <w:tcPr>
            <w:tcW w:w="1927" w:type="dxa"/>
          </w:tcPr>
          <w:p>
            <w:pPr>
              <w:pStyle w:val="0"/>
              <w:jc w:val="center"/>
            </w:pPr>
            <w:r>
              <w:rPr>
                <w:sz w:val="20"/>
              </w:rPr>
              <w:t xml:space="preserve">1,1</w:t>
            </w:r>
          </w:p>
        </w:tc>
      </w:tr>
      <w:tr>
        <w:tc>
          <w:tcPr>
            <w:tcW w:w="1077" w:type="dxa"/>
          </w:tcPr>
          <w:p>
            <w:pPr>
              <w:pStyle w:val="0"/>
              <w:jc w:val="center"/>
            </w:pPr>
            <w:r>
              <w:rPr>
                <w:sz w:val="20"/>
              </w:rPr>
              <w:t xml:space="preserve">10</w:t>
            </w:r>
          </w:p>
        </w:tc>
        <w:tc>
          <w:tcPr>
            <w:tcW w:w="6066" w:type="dxa"/>
          </w:tcPr>
          <w:p>
            <w:pPr>
              <w:pStyle w:val="0"/>
              <w:jc w:val="both"/>
            </w:pPr>
            <w:r>
              <w:rPr>
                <w:sz w:val="20"/>
              </w:rPr>
              <w:t xml:space="preserve">Производство работ осуществляется в горной местности:</w:t>
            </w:r>
          </w:p>
        </w:tc>
        <w:tc>
          <w:tcPr>
            <w:tcW w:w="1927" w:type="dxa"/>
          </w:tcPr>
          <w:p>
            <w:pPr>
              <w:pStyle w:val="0"/>
            </w:pPr>
            <w:r>
              <w:rPr>
                <w:sz w:val="20"/>
              </w:rPr>
            </w:r>
          </w:p>
        </w:tc>
      </w:tr>
      <w:tr>
        <w:tc>
          <w:tcPr>
            <w:tcW w:w="1077" w:type="dxa"/>
          </w:tcPr>
          <w:bookmarkStart w:id="10127" w:name="P10127"/>
          <w:bookmarkEnd w:id="10127"/>
          <w:p>
            <w:pPr>
              <w:pStyle w:val="0"/>
              <w:jc w:val="center"/>
            </w:pPr>
            <w:r>
              <w:rPr>
                <w:sz w:val="20"/>
              </w:rPr>
              <w:t xml:space="preserve">10.1</w:t>
            </w:r>
          </w:p>
        </w:tc>
        <w:tc>
          <w:tcPr>
            <w:tcW w:w="6066" w:type="dxa"/>
          </w:tcPr>
          <w:p>
            <w:pPr>
              <w:pStyle w:val="0"/>
              <w:jc w:val="both"/>
            </w:pPr>
            <w:r>
              <w:rPr>
                <w:sz w:val="20"/>
              </w:rPr>
              <w:t xml:space="preserve">на высоте от 1500 до 2500 м над уровнем моря;</w:t>
            </w:r>
          </w:p>
        </w:tc>
        <w:tc>
          <w:tcPr>
            <w:tcW w:w="1927" w:type="dxa"/>
          </w:tcPr>
          <w:p>
            <w:pPr>
              <w:pStyle w:val="0"/>
              <w:jc w:val="center"/>
            </w:pPr>
            <w:r>
              <w:rPr>
                <w:sz w:val="20"/>
              </w:rPr>
              <w:t xml:space="preserve">1,25</w:t>
            </w:r>
          </w:p>
        </w:tc>
      </w:tr>
      <w:tr>
        <w:tc>
          <w:tcPr>
            <w:tcW w:w="1077" w:type="dxa"/>
          </w:tcPr>
          <w:bookmarkStart w:id="10130" w:name="P10130"/>
          <w:bookmarkEnd w:id="10130"/>
          <w:p>
            <w:pPr>
              <w:pStyle w:val="0"/>
              <w:jc w:val="center"/>
            </w:pPr>
            <w:r>
              <w:rPr>
                <w:sz w:val="20"/>
              </w:rPr>
              <w:t xml:space="preserve">10.2</w:t>
            </w:r>
          </w:p>
        </w:tc>
        <w:tc>
          <w:tcPr>
            <w:tcW w:w="6066" w:type="dxa"/>
          </w:tcPr>
          <w:p>
            <w:pPr>
              <w:pStyle w:val="0"/>
              <w:jc w:val="both"/>
            </w:pPr>
            <w:r>
              <w:rPr>
                <w:sz w:val="20"/>
              </w:rPr>
              <w:t xml:space="preserve">на высоте от 2500 до 3000 м над уровнем моря;</w:t>
            </w:r>
          </w:p>
        </w:tc>
        <w:tc>
          <w:tcPr>
            <w:tcW w:w="1927" w:type="dxa"/>
          </w:tcPr>
          <w:p>
            <w:pPr>
              <w:pStyle w:val="0"/>
              <w:jc w:val="center"/>
            </w:pPr>
            <w:r>
              <w:rPr>
                <w:sz w:val="20"/>
              </w:rPr>
              <w:t xml:space="preserve">1,35</w:t>
            </w:r>
          </w:p>
        </w:tc>
      </w:tr>
      <w:tr>
        <w:tc>
          <w:tcPr>
            <w:tcW w:w="1077" w:type="dxa"/>
          </w:tcPr>
          <w:bookmarkStart w:id="10133" w:name="P10133"/>
          <w:bookmarkEnd w:id="10133"/>
          <w:p>
            <w:pPr>
              <w:pStyle w:val="0"/>
              <w:jc w:val="center"/>
            </w:pPr>
            <w:r>
              <w:rPr>
                <w:sz w:val="20"/>
              </w:rPr>
              <w:t xml:space="preserve">10.3</w:t>
            </w:r>
          </w:p>
        </w:tc>
        <w:tc>
          <w:tcPr>
            <w:tcW w:w="6066" w:type="dxa"/>
          </w:tcPr>
          <w:p>
            <w:pPr>
              <w:pStyle w:val="0"/>
              <w:jc w:val="both"/>
            </w:pPr>
            <w:r>
              <w:rPr>
                <w:sz w:val="20"/>
              </w:rPr>
              <w:t xml:space="preserve">на высоте от 3000 м над уровнем моря</w:t>
            </w:r>
          </w:p>
        </w:tc>
        <w:tc>
          <w:tcPr>
            <w:tcW w:w="1927" w:type="dxa"/>
          </w:tcPr>
          <w:p>
            <w:pPr>
              <w:pStyle w:val="0"/>
              <w:jc w:val="center"/>
            </w:pPr>
            <w:r>
              <w:rPr>
                <w:sz w:val="20"/>
              </w:rPr>
              <w:t xml:space="preserve">1,5</w:t>
            </w:r>
          </w:p>
        </w:tc>
      </w:tr>
      <w:tr>
        <w:tc>
          <w:tcPr>
            <w:tcW w:w="1077" w:type="dxa"/>
          </w:tcPr>
          <w:bookmarkStart w:id="10136" w:name="P10136"/>
          <w:bookmarkEnd w:id="10136"/>
          <w:p>
            <w:pPr>
              <w:pStyle w:val="0"/>
              <w:jc w:val="center"/>
            </w:pPr>
            <w:r>
              <w:rPr>
                <w:sz w:val="20"/>
              </w:rPr>
              <w:t xml:space="preserve">11</w:t>
            </w:r>
          </w:p>
        </w:tc>
        <w:tc>
          <w:tcPr>
            <w:tcW w:w="6066" w:type="dxa"/>
          </w:tcPr>
          <w:p>
            <w:pPr>
              <w:pStyle w:val="0"/>
              <w:jc w:val="both"/>
            </w:pPr>
            <w:r>
              <w:rPr>
                <w:sz w:val="20"/>
              </w:rPr>
              <w:t xml:space="preserve">Производство работ осуществляется при температуре воздуха на рабочем месте ниже 0 °C</w:t>
            </w:r>
          </w:p>
        </w:tc>
        <w:tc>
          <w:tcPr>
            <w:tcW w:w="1927" w:type="dxa"/>
          </w:tcPr>
          <w:p>
            <w:pPr>
              <w:pStyle w:val="0"/>
              <w:jc w:val="center"/>
            </w:pPr>
            <w:r>
              <w:rPr>
                <w:sz w:val="20"/>
              </w:rPr>
              <w:t xml:space="preserve">1,1</w:t>
            </w:r>
          </w:p>
        </w:tc>
      </w:tr>
      <w:tr>
        <w:tc>
          <w:tcPr>
            <w:tcW w:w="1077" w:type="dxa"/>
          </w:tcPr>
          <w:p>
            <w:pPr>
              <w:pStyle w:val="0"/>
              <w:jc w:val="center"/>
            </w:pPr>
            <w:r>
              <w:rPr>
                <w:sz w:val="20"/>
              </w:rPr>
              <w:t xml:space="preserve">12</w:t>
            </w:r>
          </w:p>
        </w:tc>
        <w:tc>
          <w:tcPr>
            <w:tcW w:w="6066" w:type="dxa"/>
          </w:tcPr>
          <w:p>
            <w:pPr>
              <w:pStyle w:val="0"/>
              <w:jc w:val="both"/>
            </w:pPr>
            <w:r>
              <w:rPr>
                <w:sz w:val="20"/>
              </w:rPr>
              <w:t xml:space="preserve">Производство работ при строительстве (реконструкции, капитальном ремонте) шахт, рудников, метрополитенов, тоннелей и других подземных сооружений специального назначения</w:t>
            </w:r>
          </w:p>
        </w:tc>
        <w:tc>
          <w:tcPr>
            <w:tcW w:w="1927" w:type="dxa"/>
          </w:tcPr>
          <w:p>
            <w:pPr>
              <w:pStyle w:val="0"/>
            </w:pPr>
            <w:r>
              <w:rPr>
                <w:sz w:val="20"/>
              </w:rPr>
            </w:r>
          </w:p>
        </w:tc>
      </w:tr>
      <w:tr>
        <w:tc>
          <w:tcPr>
            <w:tcW w:w="1077" w:type="dxa"/>
          </w:tcPr>
          <w:bookmarkStart w:id="10142" w:name="P10142"/>
          <w:bookmarkEnd w:id="10142"/>
          <w:p>
            <w:pPr>
              <w:pStyle w:val="0"/>
              <w:jc w:val="center"/>
            </w:pPr>
            <w:r>
              <w:rPr>
                <w:sz w:val="20"/>
              </w:rPr>
              <w:t xml:space="preserve">12.1</w:t>
            </w:r>
          </w:p>
        </w:tc>
        <w:tc>
          <w:tcPr>
            <w:tcW w:w="6066" w:type="dxa"/>
          </w:tcPr>
          <w:p>
            <w:pPr>
              <w:pStyle w:val="0"/>
              <w:jc w:val="both"/>
            </w:pPr>
            <w:r>
              <w:rPr>
                <w:sz w:val="20"/>
              </w:rPr>
              <w:t xml:space="preserve">для работ, выполняемых на поверхности</w:t>
            </w:r>
          </w:p>
        </w:tc>
        <w:tc>
          <w:tcPr>
            <w:tcW w:w="1927" w:type="dxa"/>
          </w:tcPr>
          <w:p>
            <w:pPr>
              <w:pStyle w:val="0"/>
              <w:jc w:val="center"/>
            </w:pPr>
            <w:r>
              <w:rPr>
                <w:sz w:val="20"/>
              </w:rPr>
              <w:t xml:space="preserve">1,15</w:t>
            </w:r>
          </w:p>
        </w:tc>
      </w:tr>
      <w:tr>
        <w:tc>
          <w:tcPr>
            <w:tcW w:w="1077" w:type="dxa"/>
          </w:tcPr>
          <w:bookmarkStart w:id="10145" w:name="P10145"/>
          <w:bookmarkEnd w:id="10145"/>
          <w:p>
            <w:pPr>
              <w:pStyle w:val="0"/>
              <w:jc w:val="center"/>
            </w:pPr>
            <w:r>
              <w:rPr>
                <w:sz w:val="20"/>
              </w:rPr>
              <w:t xml:space="preserve">12.2</w:t>
            </w:r>
          </w:p>
        </w:tc>
        <w:tc>
          <w:tcPr>
            <w:tcW w:w="6066" w:type="dxa"/>
          </w:tcPr>
          <w:p>
            <w:pPr>
              <w:pStyle w:val="0"/>
              <w:jc w:val="both"/>
            </w:pPr>
            <w:r>
              <w:rPr>
                <w:sz w:val="20"/>
              </w:rPr>
              <w:t xml:space="preserve">при открытом способе производства работ</w:t>
            </w:r>
          </w:p>
        </w:tc>
        <w:tc>
          <w:tcPr>
            <w:tcW w:w="1927" w:type="dxa"/>
          </w:tcPr>
          <w:p>
            <w:pPr>
              <w:pStyle w:val="0"/>
              <w:jc w:val="center"/>
            </w:pPr>
            <w:r>
              <w:rPr>
                <w:sz w:val="20"/>
              </w:rPr>
              <w:t xml:space="preserve">1,25</w:t>
            </w:r>
          </w:p>
        </w:tc>
      </w:tr>
      <w:tr>
        <w:tc>
          <w:tcPr>
            <w:tcW w:w="1077" w:type="dxa"/>
          </w:tcPr>
          <w:bookmarkStart w:id="10148" w:name="P10148"/>
          <w:bookmarkEnd w:id="10148"/>
          <w:p>
            <w:pPr>
              <w:pStyle w:val="0"/>
              <w:jc w:val="center"/>
            </w:pPr>
            <w:r>
              <w:rPr>
                <w:sz w:val="20"/>
              </w:rPr>
              <w:t xml:space="preserve">12.3</w:t>
            </w:r>
          </w:p>
        </w:tc>
        <w:tc>
          <w:tcPr>
            <w:tcW w:w="6066" w:type="dxa"/>
          </w:tcPr>
          <w:p>
            <w:pPr>
              <w:pStyle w:val="0"/>
              <w:jc w:val="both"/>
            </w:pPr>
            <w:r>
              <w:rPr>
                <w:sz w:val="20"/>
              </w:rPr>
              <w:t xml:space="preserve">для работ, выполняемых в подземных условиях на действующих и строящихся предприятиях горно-химической промышленности, черной и цветной металлургии, промышленности строительных материалов, на строительстве и реконструкции метрополитенов, тоннелей и подземных сооружений специального назначения</w:t>
            </w:r>
          </w:p>
        </w:tc>
        <w:tc>
          <w:tcPr>
            <w:tcW w:w="1927" w:type="dxa"/>
          </w:tcPr>
          <w:p>
            <w:pPr>
              <w:pStyle w:val="0"/>
              <w:jc w:val="center"/>
            </w:pPr>
            <w:r>
              <w:rPr>
                <w:sz w:val="20"/>
              </w:rPr>
              <w:t xml:space="preserve">1,68</w:t>
            </w:r>
          </w:p>
        </w:tc>
      </w:tr>
      <w:tr>
        <w:tc>
          <w:tcPr>
            <w:tcW w:w="1077" w:type="dxa"/>
          </w:tcPr>
          <w:p>
            <w:pPr>
              <w:pStyle w:val="0"/>
              <w:jc w:val="center"/>
            </w:pPr>
            <w:r>
              <w:rPr>
                <w:sz w:val="20"/>
              </w:rPr>
              <w:t xml:space="preserve">12.4</w:t>
            </w:r>
          </w:p>
        </w:tc>
        <w:tc>
          <w:tcPr>
            <w:tcW w:w="6066" w:type="dxa"/>
          </w:tcPr>
          <w:p>
            <w:pPr>
              <w:pStyle w:val="0"/>
              <w:jc w:val="both"/>
            </w:pPr>
            <w:r>
              <w:rPr>
                <w:sz w:val="20"/>
              </w:rPr>
              <w:t xml:space="preserve">для работ, выполняемых в подземных условиях угольных и сланцевых шахт:</w:t>
            </w:r>
          </w:p>
        </w:tc>
        <w:tc>
          <w:tcPr>
            <w:tcW w:w="1927" w:type="dxa"/>
          </w:tcPr>
          <w:p>
            <w:pPr>
              <w:pStyle w:val="0"/>
            </w:pPr>
            <w:r>
              <w:rPr>
                <w:sz w:val="20"/>
              </w:rPr>
            </w:r>
          </w:p>
        </w:tc>
      </w:tr>
      <w:tr>
        <w:tc>
          <w:tcPr>
            <w:tcW w:w="1077" w:type="dxa"/>
          </w:tcPr>
          <w:bookmarkStart w:id="10154" w:name="P10154"/>
          <w:bookmarkEnd w:id="10154"/>
          <w:p>
            <w:pPr>
              <w:pStyle w:val="0"/>
              <w:jc w:val="center"/>
            </w:pPr>
            <w:r>
              <w:rPr>
                <w:sz w:val="20"/>
              </w:rPr>
              <w:t xml:space="preserve">12.4.1</w:t>
            </w:r>
          </w:p>
        </w:tc>
        <w:tc>
          <w:tcPr>
            <w:tcW w:w="6066" w:type="dxa"/>
          </w:tcPr>
          <w:p>
            <w:pPr>
              <w:pStyle w:val="0"/>
              <w:jc w:val="both"/>
            </w:pPr>
            <w:r>
              <w:rPr>
                <w:sz w:val="20"/>
              </w:rPr>
              <w:t xml:space="preserve">при 36-часовой рабочей неделе</w:t>
            </w:r>
          </w:p>
        </w:tc>
        <w:tc>
          <w:tcPr>
            <w:tcW w:w="1927" w:type="dxa"/>
          </w:tcPr>
          <w:p>
            <w:pPr>
              <w:pStyle w:val="0"/>
              <w:jc w:val="center"/>
            </w:pPr>
            <w:r>
              <w:rPr>
                <w:sz w:val="20"/>
              </w:rPr>
              <w:t xml:space="preserve">2,05</w:t>
            </w:r>
          </w:p>
        </w:tc>
      </w:tr>
      <w:tr>
        <w:tc>
          <w:tcPr>
            <w:tcW w:w="1077" w:type="dxa"/>
          </w:tcPr>
          <w:bookmarkStart w:id="10157" w:name="P10157"/>
          <w:bookmarkEnd w:id="10157"/>
          <w:p>
            <w:pPr>
              <w:pStyle w:val="0"/>
              <w:jc w:val="center"/>
            </w:pPr>
            <w:r>
              <w:rPr>
                <w:sz w:val="20"/>
              </w:rPr>
              <w:t xml:space="preserve">12.4.2</w:t>
            </w:r>
          </w:p>
        </w:tc>
        <w:tc>
          <w:tcPr>
            <w:tcW w:w="6066" w:type="dxa"/>
          </w:tcPr>
          <w:p>
            <w:pPr>
              <w:pStyle w:val="0"/>
              <w:jc w:val="both"/>
            </w:pPr>
            <w:r>
              <w:rPr>
                <w:sz w:val="20"/>
              </w:rPr>
              <w:t xml:space="preserve">при 30-часовой рабочей неделе</w:t>
            </w:r>
          </w:p>
        </w:tc>
        <w:tc>
          <w:tcPr>
            <w:tcW w:w="1927" w:type="dxa"/>
          </w:tcPr>
          <w:p>
            <w:pPr>
              <w:pStyle w:val="0"/>
              <w:jc w:val="center"/>
            </w:pPr>
            <w:r>
              <w:rPr>
                <w:sz w:val="20"/>
              </w:rPr>
              <w:t xml:space="preserve">2,46</w:t>
            </w:r>
          </w:p>
        </w:tc>
      </w:tr>
      <w:tr>
        <w:tc>
          <w:tcPr>
            <w:tcW w:w="1077" w:type="dxa"/>
          </w:tcPr>
          <w:bookmarkStart w:id="10160" w:name="P10160"/>
          <w:bookmarkEnd w:id="10160"/>
          <w:p>
            <w:pPr>
              <w:pStyle w:val="0"/>
              <w:jc w:val="center"/>
            </w:pPr>
            <w:r>
              <w:rPr>
                <w:sz w:val="20"/>
              </w:rPr>
              <w:t xml:space="preserve">12.4.3</w:t>
            </w:r>
          </w:p>
        </w:tc>
        <w:tc>
          <w:tcPr>
            <w:tcW w:w="6066" w:type="dxa"/>
          </w:tcPr>
          <w:p>
            <w:pPr>
              <w:pStyle w:val="0"/>
              <w:jc w:val="both"/>
            </w:pPr>
            <w:r>
              <w:rPr>
                <w:sz w:val="20"/>
              </w:rPr>
              <w:t xml:space="preserve">при 24-часовой рабочей неделе</w:t>
            </w:r>
          </w:p>
        </w:tc>
        <w:tc>
          <w:tcPr>
            <w:tcW w:w="1927" w:type="dxa"/>
          </w:tcPr>
          <w:p>
            <w:pPr>
              <w:pStyle w:val="0"/>
              <w:jc w:val="center"/>
            </w:pPr>
            <w:r>
              <w:rPr>
                <w:sz w:val="20"/>
              </w:rPr>
              <w:t xml:space="preserve">2,8</w:t>
            </w:r>
          </w:p>
        </w:tc>
      </w:tr>
      <w:tr>
        <w:tc>
          <w:tcPr>
            <w:tcW w:w="1077" w:type="dxa"/>
          </w:tcPr>
          <w:p>
            <w:pPr>
              <w:pStyle w:val="0"/>
              <w:jc w:val="center"/>
            </w:pPr>
            <w:r>
              <w:rPr>
                <w:sz w:val="20"/>
              </w:rPr>
              <w:t xml:space="preserve">13</w:t>
            </w:r>
          </w:p>
        </w:tc>
        <w:tc>
          <w:tcPr>
            <w:tcW w:w="6066" w:type="dxa"/>
          </w:tcPr>
          <w:p>
            <w:pPr>
              <w:pStyle w:val="0"/>
              <w:jc w:val="both"/>
            </w:pPr>
            <w:r>
              <w:rPr>
                <w:sz w:val="20"/>
              </w:rPr>
              <w:t xml:space="preserve">Производство работ осуществляется в подземных условиях в эксплуатируемых тоннелях метрополитенов в ночное время после снятия напряжения в "окно":</w:t>
            </w:r>
          </w:p>
        </w:tc>
        <w:tc>
          <w:tcPr>
            <w:tcW w:w="1927" w:type="dxa"/>
          </w:tcPr>
          <w:p>
            <w:pPr>
              <w:pStyle w:val="0"/>
            </w:pPr>
            <w:r>
              <w:rPr>
                <w:sz w:val="20"/>
              </w:rPr>
            </w:r>
          </w:p>
        </w:tc>
      </w:tr>
      <w:tr>
        <w:tc>
          <w:tcPr>
            <w:tcW w:w="1077" w:type="dxa"/>
          </w:tcPr>
          <w:bookmarkStart w:id="10166" w:name="P10166"/>
          <w:bookmarkEnd w:id="10166"/>
          <w:p>
            <w:pPr>
              <w:pStyle w:val="0"/>
              <w:jc w:val="center"/>
            </w:pPr>
            <w:r>
              <w:rPr>
                <w:sz w:val="20"/>
              </w:rPr>
              <w:t xml:space="preserve">13.1</w:t>
            </w:r>
          </w:p>
        </w:tc>
        <w:tc>
          <w:tcPr>
            <w:tcW w:w="6066" w:type="dxa"/>
          </w:tcPr>
          <w:p>
            <w:pPr>
              <w:pStyle w:val="0"/>
              <w:jc w:val="both"/>
            </w:pPr>
            <w:r>
              <w:rPr>
                <w:sz w:val="20"/>
              </w:rPr>
              <w:t xml:space="preserve">при выполнении рабочими в течение рабочей смены только работ, связанных с "окном";</w:t>
            </w:r>
          </w:p>
        </w:tc>
        <w:tc>
          <w:tcPr>
            <w:tcW w:w="1927" w:type="dxa"/>
          </w:tcPr>
          <w:p>
            <w:pPr>
              <w:pStyle w:val="0"/>
              <w:jc w:val="center"/>
            </w:pPr>
            <w:r>
              <w:rPr>
                <w:sz w:val="20"/>
              </w:rPr>
              <w:t xml:space="preserve">3</w:t>
            </w:r>
          </w:p>
        </w:tc>
      </w:tr>
      <w:tr>
        <w:tc>
          <w:tcPr>
            <w:tcW w:w="1077" w:type="dxa"/>
          </w:tcPr>
          <w:bookmarkStart w:id="10169" w:name="P10169"/>
          <w:bookmarkEnd w:id="10169"/>
          <w:p>
            <w:pPr>
              <w:pStyle w:val="0"/>
              <w:jc w:val="center"/>
            </w:pPr>
            <w:r>
              <w:rPr>
                <w:sz w:val="20"/>
              </w:rPr>
              <w:t xml:space="preserve">13.2</w:t>
            </w:r>
          </w:p>
        </w:tc>
        <w:tc>
          <w:tcPr>
            <w:tcW w:w="6066" w:type="dxa"/>
          </w:tcPr>
          <w:p>
            <w:pPr>
              <w:pStyle w:val="0"/>
              <w:jc w:val="both"/>
            </w:pPr>
            <w:r>
              <w:rPr>
                <w:sz w:val="20"/>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w="1927" w:type="dxa"/>
          </w:tcPr>
          <w:p>
            <w:pPr>
              <w:pStyle w:val="0"/>
              <w:jc w:val="center"/>
            </w:pPr>
            <w:r>
              <w:rPr>
                <w:sz w:val="20"/>
              </w:rPr>
              <w:t xml:space="preserve">2</w:t>
            </w:r>
          </w:p>
        </w:tc>
      </w:tr>
    </w:tbl>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4.1. Коэффициенты, приведенные в </w:t>
      </w:r>
      <w:hyperlink w:history="0" w:anchor="P10071" w:tooltip="Пусконаладочные работы">
        <w:r>
          <w:rPr>
            <w:sz w:val="20"/>
            <w:color w:val="0000ff"/>
          </w:rPr>
          <w:t xml:space="preserve">таблице 4</w:t>
        </w:r>
      </w:hyperlink>
      <w:r>
        <w:rPr>
          <w:sz w:val="20"/>
        </w:rPr>
        <w:t xml:space="preserve"> (за исключением указанных в </w:t>
      </w:r>
      <w:hyperlink w:history="0" w:anchor="P10100" w:tooltip="7.1">
        <w:r>
          <w:rPr>
            <w:sz w:val="20"/>
            <w:color w:val="0000ff"/>
          </w:rPr>
          <w:t xml:space="preserve">пунктах 7.1</w:t>
        </w:r>
      </w:hyperlink>
      <w:r>
        <w:rPr>
          <w:sz w:val="20"/>
        </w:rPr>
        <w:t xml:space="preserve"> - </w:t>
      </w:r>
      <w:hyperlink w:history="0" w:anchor="P10115" w:tooltip="7.6">
        <w:r>
          <w:rPr>
            <w:sz w:val="20"/>
            <w:color w:val="0000ff"/>
          </w:rPr>
          <w:t xml:space="preserve">7.6</w:t>
        </w:r>
      </w:hyperlink>
      <w:r>
        <w:rPr>
          <w:sz w:val="20"/>
        </w:rPr>
        <w:t xml:space="preserve">, </w:t>
      </w:r>
      <w:hyperlink w:history="0" w:anchor="P10142" w:tooltip="12.1">
        <w:r>
          <w:rPr>
            <w:sz w:val="20"/>
            <w:color w:val="0000ff"/>
          </w:rPr>
          <w:t xml:space="preserve">12.1</w:t>
        </w:r>
      </w:hyperlink>
      <w:r>
        <w:rPr>
          <w:sz w:val="20"/>
        </w:rPr>
        <w:t xml:space="preserve">, </w:t>
      </w:r>
      <w:hyperlink w:history="0" w:anchor="P10145" w:tooltip="12.2">
        <w:r>
          <w:rPr>
            <w:sz w:val="20"/>
            <w:color w:val="0000ff"/>
          </w:rPr>
          <w:t xml:space="preserve">12.2</w:t>
        </w:r>
      </w:hyperlink>
      <w:r>
        <w:rPr>
          <w:sz w:val="20"/>
        </w:rPr>
        <w:t xml:space="preserve">, </w:t>
      </w:r>
      <w:hyperlink w:history="0" w:anchor="P10148" w:tooltip="12.3">
        <w:r>
          <w:rPr>
            <w:sz w:val="20"/>
            <w:color w:val="0000ff"/>
          </w:rPr>
          <w:t xml:space="preserve">12.3</w:t>
        </w:r>
      </w:hyperlink>
      <w:r>
        <w:rPr>
          <w:sz w:val="20"/>
        </w:rPr>
        <w:t xml:space="preserve">, </w:t>
      </w:r>
      <w:hyperlink w:history="0" w:anchor="P10154" w:tooltip="12.4.1">
        <w:r>
          <w:rPr>
            <w:sz w:val="20"/>
            <w:color w:val="0000ff"/>
          </w:rPr>
          <w:t xml:space="preserve">12.4.1</w:t>
        </w:r>
      </w:hyperlink>
      <w:r>
        <w:rPr>
          <w:sz w:val="20"/>
        </w:rPr>
        <w:t xml:space="preserve">, </w:t>
      </w:r>
      <w:hyperlink w:history="0" w:anchor="P10157" w:tooltip="12.4.2">
        <w:r>
          <w:rPr>
            <w:sz w:val="20"/>
            <w:color w:val="0000ff"/>
          </w:rPr>
          <w:t xml:space="preserve">12.4.2</w:t>
        </w:r>
      </w:hyperlink>
      <w:r>
        <w:rPr>
          <w:sz w:val="20"/>
        </w:rPr>
        <w:t xml:space="preserve">, </w:t>
      </w:r>
      <w:hyperlink w:history="0" w:anchor="P10160" w:tooltip="12.4.3">
        <w:r>
          <w:rPr>
            <w:sz w:val="20"/>
            <w:color w:val="0000ff"/>
          </w:rPr>
          <w:t xml:space="preserve">12.4.3</w:t>
        </w:r>
      </w:hyperlink>
      <w:r>
        <w:rPr>
          <w:sz w:val="20"/>
        </w:rPr>
        <w:t xml:space="preserve">, </w:t>
      </w:r>
      <w:hyperlink w:history="0" w:anchor="P10166" w:tooltip="13.1">
        <w:r>
          <w:rPr>
            <w:sz w:val="20"/>
            <w:color w:val="0000ff"/>
          </w:rPr>
          <w:t xml:space="preserve">13.1</w:t>
        </w:r>
      </w:hyperlink>
      <w:r>
        <w:rPr>
          <w:sz w:val="20"/>
        </w:rPr>
        <w:t xml:space="preserve"> и </w:t>
      </w:r>
      <w:hyperlink w:history="0" w:anchor="P10169" w:tooltip="13.2">
        <w:r>
          <w:rPr>
            <w:sz w:val="20"/>
            <w:color w:val="0000ff"/>
          </w:rPr>
          <w:t xml:space="preserve">13.2</w:t>
        </w:r>
      </w:hyperlink>
      <w:r>
        <w:rPr>
          <w:sz w:val="20"/>
        </w:rPr>
        <w:t xml:space="preserve">) применяются:</w:t>
      </w:r>
    </w:p>
    <w:p>
      <w:pPr>
        <w:pStyle w:val="0"/>
        <w:spacing w:before="200" w:line-rule="auto"/>
        <w:ind w:firstLine="540"/>
        <w:jc w:val="both"/>
      </w:pPr>
      <w:r>
        <w:rPr>
          <w:sz w:val="20"/>
        </w:rPr>
        <w:t xml:space="preserve">а) при определении сметной стоимости строительства базисно-индексным методом - к показателям оплаты труда, затратам труда пусконаладочного персонала, стоимости эксплуатации машин и механизмов, в том числе оплате труда и затратам труда машинистов;</w:t>
      </w:r>
    </w:p>
    <w:p>
      <w:pPr>
        <w:pStyle w:val="0"/>
        <w:spacing w:before="200" w:line-rule="auto"/>
        <w:ind w:firstLine="540"/>
        <w:jc w:val="both"/>
      </w:pPr>
      <w:r>
        <w:rPr>
          <w:sz w:val="20"/>
        </w:rPr>
        <w:t xml:space="preserve">б) при определении сметной стоимости строительства ресурсно-индексным и ресурсным методами - к затратам труда пусконаладочного персонала, времени эксплуатации машин и механизмов и затратам труда машинистов.</w:t>
      </w:r>
    </w:p>
    <w:p>
      <w:pPr>
        <w:pStyle w:val="0"/>
        <w:spacing w:before="200" w:line-rule="auto"/>
        <w:ind w:firstLine="540"/>
        <w:jc w:val="both"/>
      </w:pPr>
      <w:r>
        <w:rPr>
          <w:sz w:val="20"/>
        </w:rPr>
        <w:t xml:space="preserve">Коэффициенты, указанные в </w:t>
      </w:r>
      <w:hyperlink w:history="0" w:anchor="P10100" w:tooltip="7.1">
        <w:r>
          <w:rPr>
            <w:sz w:val="20"/>
            <w:color w:val="0000ff"/>
          </w:rPr>
          <w:t xml:space="preserve">пунктах 7.1</w:t>
        </w:r>
      </w:hyperlink>
      <w:r>
        <w:rPr>
          <w:sz w:val="20"/>
        </w:rPr>
        <w:t xml:space="preserve"> - </w:t>
      </w:r>
      <w:hyperlink w:history="0" w:anchor="P10115" w:tooltip="7.6">
        <w:r>
          <w:rPr>
            <w:sz w:val="20"/>
            <w:color w:val="0000ff"/>
          </w:rPr>
          <w:t xml:space="preserve">7.6</w:t>
        </w:r>
      </w:hyperlink>
      <w:r>
        <w:rPr>
          <w:sz w:val="20"/>
        </w:rPr>
        <w:t xml:space="preserve">, </w:t>
      </w:r>
      <w:hyperlink w:history="0" w:anchor="P10142" w:tooltip="12.1">
        <w:r>
          <w:rPr>
            <w:sz w:val="20"/>
            <w:color w:val="0000ff"/>
          </w:rPr>
          <w:t xml:space="preserve">12.1</w:t>
        </w:r>
      </w:hyperlink>
      <w:r>
        <w:rPr>
          <w:sz w:val="20"/>
        </w:rPr>
        <w:t xml:space="preserve">, </w:t>
      </w:r>
      <w:hyperlink w:history="0" w:anchor="P10145" w:tooltip="12.2">
        <w:r>
          <w:rPr>
            <w:sz w:val="20"/>
            <w:color w:val="0000ff"/>
          </w:rPr>
          <w:t xml:space="preserve">12.2</w:t>
        </w:r>
      </w:hyperlink>
      <w:r>
        <w:rPr>
          <w:sz w:val="20"/>
        </w:rPr>
        <w:t xml:space="preserve">, </w:t>
      </w:r>
      <w:hyperlink w:history="0" w:anchor="P10148" w:tooltip="12.3">
        <w:r>
          <w:rPr>
            <w:sz w:val="20"/>
            <w:color w:val="0000ff"/>
          </w:rPr>
          <w:t xml:space="preserve">12.3</w:t>
        </w:r>
      </w:hyperlink>
      <w:r>
        <w:rPr>
          <w:sz w:val="20"/>
        </w:rPr>
        <w:t xml:space="preserve">, </w:t>
      </w:r>
      <w:hyperlink w:history="0" w:anchor="P10154" w:tooltip="12.4.1">
        <w:r>
          <w:rPr>
            <w:sz w:val="20"/>
            <w:color w:val="0000ff"/>
          </w:rPr>
          <w:t xml:space="preserve">12.4.1</w:t>
        </w:r>
      </w:hyperlink>
      <w:r>
        <w:rPr>
          <w:sz w:val="20"/>
        </w:rPr>
        <w:t xml:space="preserve">, </w:t>
      </w:r>
      <w:hyperlink w:history="0" w:anchor="P10157" w:tooltip="12.4.2">
        <w:r>
          <w:rPr>
            <w:sz w:val="20"/>
            <w:color w:val="0000ff"/>
          </w:rPr>
          <w:t xml:space="preserve">12.4.2</w:t>
        </w:r>
      </w:hyperlink>
      <w:r>
        <w:rPr>
          <w:sz w:val="20"/>
        </w:rPr>
        <w:t xml:space="preserve">, </w:t>
      </w:r>
      <w:hyperlink w:history="0" w:anchor="P10160" w:tooltip="12.4.3">
        <w:r>
          <w:rPr>
            <w:sz w:val="20"/>
            <w:color w:val="0000ff"/>
          </w:rPr>
          <w:t xml:space="preserve">12.4.3</w:t>
        </w:r>
      </w:hyperlink>
      <w:r>
        <w:rPr>
          <w:sz w:val="20"/>
        </w:rPr>
        <w:t xml:space="preserve">, </w:t>
      </w:r>
      <w:hyperlink w:history="0" w:anchor="P10166" w:tooltip="13.1">
        <w:r>
          <w:rPr>
            <w:sz w:val="20"/>
            <w:color w:val="0000ff"/>
          </w:rPr>
          <w:t xml:space="preserve">13.1</w:t>
        </w:r>
      </w:hyperlink>
      <w:r>
        <w:rPr>
          <w:sz w:val="20"/>
        </w:rPr>
        <w:t xml:space="preserve"> и </w:t>
      </w:r>
      <w:hyperlink w:history="0" w:anchor="P10169" w:tooltip="13.2">
        <w:r>
          <w:rPr>
            <w:sz w:val="20"/>
            <w:color w:val="0000ff"/>
          </w:rPr>
          <w:t xml:space="preserve">13.2</w:t>
        </w:r>
      </w:hyperlink>
      <w:r>
        <w:rPr>
          <w:sz w:val="20"/>
        </w:rPr>
        <w:t xml:space="preserve">, применяются к показателям оплаты труда пусконаладочного персонала и машинистов.</w:t>
      </w:r>
    </w:p>
    <w:p>
      <w:pPr>
        <w:pStyle w:val="0"/>
        <w:spacing w:before="200" w:line-rule="auto"/>
        <w:ind w:firstLine="540"/>
        <w:jc w:val="both"/>
      </w:pPr>
      <w:r>
        <w:rPr>
          <w:sz w:val="20"/>
        </w:rPr>
        <w:t xml:space="preserve">4.2. К пусконаладочным работам, производимым в действующих электроустановках, относятся работы, выполняемые после введения эксплуатационного режима на данной электроустановке.</w:t>
      </w:r>
    </w:p>
    <w:p>
      <w:pPr>
        <w:pStyle w:val="0"/>
        <w:spacing w:before="200" w:line-rule="auto"/>
        <w:ind w:firstLine="540"/>
        <w:jc w:val="both"/>
      </w:pPr>
      <w:r>
        <w:rPr>
          <w:sz w:val="20"/>
        </w:rPr>
        <w:t xml:space="preserve">4.3. Коэффициенты не применяются при производстве работ в подземных условиях сооружений специального назначения, за исключением коэффициентов, приведенных в </w:t>
      </w:r>
      <w:hyperlink w:history="0" w:anchor="P10085" w:tooltip="3">
        <w:r>
          <w:rPr>
            <w:sz w:val="20"/>
            <w:color w:val="0000ff"/>
          </w:rPr>
          <w:t xml:space="preserve">пунктах 3</w:t>
        </w:r>
      </w:hyperlink>
      <w:r>
        <w:rPr>
          <w:sz w:val="20"/>
        </w:rPr>
        <w:t xml:space="preserve"> и </w:t>
      </w:r>
      <w:hyperlink w:history="0" w:anchor="P10088" w:tooltip="4">
        <w:r>
          <w:rPr>
            <w:sz w:val="20"/>
            <w:color w:val="0000ff"/>
          </w:rPr>
          <w:t xml:space="preserve">4</w:t>
        </w:r>
      </w:hyperlink>
      <w:r>
        <w:rPr>
          <w:sz w:val="20"/>
        </w:rPr>
        <w:t xml:space="preserve">.</w:t>
      </w:r>
    </w:p>
    <w:p>
      <w:pPr>
        <w:pStyle w:val="0"/>
        <w:spacing w:before="200" w:line-rule="auto"/>
        <w:ind w:firstLine="540"/>
        <w:jc w:val="both"/>
      </w:pPr>
      <w:r>
        <w:rPr>
          <w:sz w:val="20"/>
        </w:rPr>
        <w:t xml:space="preserve">4.4. Одновременное применение нескольких коэффициентов не допускается. Исключением являются коэффициенты, указанные в </w:t>
      </w:r>
      <w:hyperlink w:history="0" w:anchor="P10085" w:tooltip="3">
        <w:r>
          <w:rPr>
            <w:sz w:val="20"/>
            <w:color w:val="0000ff"/>
          </w:rPr>
          <w:t xml:space="preserve">пунктах 3</w:t>
        </w:r>
      </w:hyperlink>
      <w:r>
        <w:rPr>
          <w:sz w:val="20"/>
        </w:rPr>
        <w:t xml:space="preserve">, </w:t>
      </w:r>
      <w:hyperlink w:history="0" w:anchor="P10088" w:tooltip="4">
        <w:r>
          <w:rPr>
            <w:sz w:val="20"/>
            <w:color w:val="0000ff"/>
          </w:rPr>
          <w:t xml:space="preserve">4</w:t>
        </w:r>
      </w:hyperlink>
      <w:r>
        <w:rPr>
          <w:sz w:val="20"/>
        </w:rPr>
        <w:t xml:space="preserve">, </w:t>
      </w:r>
      <w:hyperlink w:history="0" w:anchor="P10091" w:tooltip="5">
        <w:r>
          <w:rPr>
            <w:sz w:val="20"/>
            <w:color w:val="0000ff"/>
          </w:rPr>
          <w:t xml:space="preserve">5</w:t>
        </w:r>
      </w:hyperlink>
      <w:r>
        <w:rPr>
          <w:sz w:val="20"/>
        </w:rPr>
        <w:t xml:space="preserve">, </w:t>
      </w:r>
      <w:hyperlink w:history="0" w:anchor="P10100" w:tooltip="7.1">
        <w:r>
          <w:rPr>
            <w:sz w:val="20"/>
            <w:color w:val="0000ff"/>
          </w:rPr>
          <w:t xml:space="preserve">7.1</w:t>
        </w:r>
      </w:hyperlink>
      <w:r>
        <w:rPr>
          <w:sz w:val="20"/>
        </w:rPr>
        <w:t xml:space="preserve"> - </w:t>
      </w:r>
      <w:hyperlink w:history="0" w:anchor="P10115" w:tooltip="7.6">
        <w:r>
          <w:rPr>
            <w:sz w:val="20"/>
            <w:color w:val="0000ff"/>
          </w:rPr>
          <w:t xml:space="preserve">7.6</w:t>
        </w:r>
      </w:hyperlink>
      <w:r>
        <w:rPr>
          <w:sz w:val="20"/>
        </w:rPr>
        <w:t xml:space="preserve">, </w:t>
      </w:r>
      <w:hyperlink w:history="0" w:anchor="P10118" w:tooltip="8">
        <w:r>
          <w:rPr>
            <w:sz w:val="20"/>
            <w:color w:val="0000ff"/>
          </w:rPr>
          <w:t xml:space="preserve">8</w:t>
        </w:r>
      </w:hyperlink>
      <w:r>
        <w:rPr>
          <w:sz w:val="20"/>
        </w:rPr>
        <w:t xml:space="preserve">, </w:t>
      </w:r>
      <w:hyperlink w:history="0" w:anchor="P10121" w:tooltip="9">
        <w:r>
          <w:rPr>
            <w:sz w:val="20"/>
            <w:color w:val="0000ff"/>
          </w:rPr>
          <w:t xml:space="preserve">9</w:t>
        </w:r>
      </w:hyperlink>
      <w:r>
        <w:rPr>
          <w:sz w:val="20"/>
        </w:rPr>
        <w:t xml:space="preserve">, </w:t>
      </w:r>
      <w:hyperlink w:history="0" w:anchor="P10127" w:tooltip="10.1">
        <w:r>
          <w:rPr>
            <w:sz w:val="20"/>
            <w:color w:val="0000ff"/>
          </w:rPr>
          <w:t xml:space="preserve">10.1</w:t>
        </w:r>
      </w:hyperlink>
      <w:r>
        <w:rPr>
          <w:sz w:val="20"/>
        </w:rPr>
        <w:t xml:space="preserve">, </w:t>
      </w:r>
      <w:hyperlink w:history="0" w:anchor="P10130" w:tooltip="10.2">
        <w:r>
          <w:rPr>
            <w:sz w:val="20"/>
            <w:color w:val="0000ff"/>
          </w:rPr>
          <w:t xml:space="preserve">10.2</w:t>
        </w:r>
      </w:hyperlink>
      <w:r>
        <w:rPr>
          <w:sz w:val="20"/>
        </w:rPr>
        <w:t xml:space="preserve">, </w:t>
      </w:r>
      <w:hyperlink w:history="0" w:anchor="P10133" w:tooltip="10.3">
        <w:r>
          <w:rPr>
            <w:sz w:val="20"/>
            <w:color w:val="0000ff"/>
          </w:rPr>
          <w:t xml:space="preserve">10.3</w:t>
        </w:r>
      </w:hyperlink>
      <w:r>
        <w:rPr>
          <w:sz w:val="20"/>
        </w:rPr>
        <w:t xml:space="preserve"> и </w:t>
      </w:r>
      <w:hyperlink w:history="0" w:anchor="P10136" w:tooltip="11">
        <w:r>
          <w:rPr>
            <w:sz w:val="20"/>
            <w:color w:val="0000ff"/>
          </w:rPr>
          <w:t xml:space="preserve">11</w:t>
        </w:r>
      </w:hyperlink>
      <w:r>
        <w:rPr>
          <w:sz w:val="20"/>
        </w:rPr>
        <w:t xml:space="preserve">, каждый из которых может применяться с другим коэффициентом, приведенным в </w:t>
      </w:r>
      <w:hyperlink w:history="0" w:anchor="P10071" w:tooltip="Пусконаладочные работы">
        <w:r>
          <w:rPr>
            <w:sz w:val="20"/>
            <w:color w:val="0000ff"/>
          </w:rPr>
          <w:t xml:space="preserve">таблице 4</w:t>
        </w:r>
      </w:hyperlink>
      <w:r>
        <w:rPr>
          <w:sz w:val="20"/>
        </w:rPr>
        <w:t xml:space="preserve">. При одновременном применении коэффициенты, относящиеся к одним и тем же составляющим сметных норм (единичных расценок), перемножаются.</w:t>
      </w:r>
    </w:p>
    <w:p>
      <w:pPr>
        <w:pStyle w:val="0"/>
        <w:spacing w:before="200" w:line-rule="auto"/>
        <w:ind w:firstLine="540"/>
        <w:jc w:val="both"/>
      </w:pPr>
      <w:r>
        <w:rPr>
          <w:sz w:val="20"/>
        </w:rPr>
        <w:t xml:space="preserve">4.5. Пусконаладочные работы выполняются, как правило, в отапливаемых помещениях. В случае осуществления подготовки к сдаче в эксплуатацию объектов капитального строительства, которые по своим технологическим признакам не отапливаются, или сооружений на открытом воздухе, дополнительные затраты, связанные со снижением производительности труда пусконаладочного персонала при температуре воздуха на рабочем месте ниже 0 °C, определяются применением к сметным нормам коэффициента, приведенного в </w:t>
      </w:r>
      <w:hyperlink w:history="0" w:anchor="P10136" w:tooltip="11">
        <w:r>
          <w:rPr>
            <w:sz w:val="20"/>
            <w:color w:val="0000ff"/>
          </w:rPr>
          <w:t xml:space="preserve">пункте 11</w:t>
        </w:r>
      </w:hyperlink>
      <w:r>
        <w:rPr>
          <w:sz w:val="20"/>
        </w:rPr>
        <w:t xml:space="preserve">.</w:t>
      </w:r>
    </w:p>
    <w:p>
      <w:pPr>
        <w:pStyle w:val="0"/>
        <w:jc w:val="both"/>
      </w:pPr>
      <w:r>
        <w:rPr>
          <w:sz w:val="20"/>
        </w:rPr>
      </w:r>
    </w:p>
    <w:p>
      <w:pPr>
        <w:pStyle w:val="0"/>
        <w:outlineLvl w:val="2"/>
        <w:jc w:val="right"/>
      </w:pPr>
      <w:r>
        <w:rPr>
          <w:sz w:val="20"/>
        </w:rPr>
        <w:t xml:space="preserve">Таблица 5</w:t>
      </w:r>
    </w:p>
    <w:p>
      <w:pPr>
        <w:pStyle w:val="0"/>
        <w:jc w:val="both"/>
      </w:pPr>
      <w:r>
        <w:rPr>
          <w:sz w:val="20"/>
        </w:rPr>
      </w:r>
    </w:p>
    <w:bookmarkStart w:id="10185" w:name="P10185"/>
    <w:bookmarkEnd w:id="10185"/>
    <w:p>
      <w:pPr>
        <w:pStyle w:val="2"/>
        <w:jc w:val="center"/>
      </w:pPr>
      <w:r>
        <w:rPr>
          <w:sz w:val="20"/>
        </w:rPr>
        <w:t xml:space="preserve">Сохранение объектов культурного наследия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6066"/>
        <w:gridCol w:w="1927"/>
      </w:tblGrid>
      <w:tr>
        <w:tc>
          <w:tcPr>
            <w:tcW w:w="1077" w:type="dxa"/>
          </w:tcPr>
          <w:p>
            <w:pPr>
              <w:pStyle w:val="0"/>
              <w:jc w:val="center"/>
            </w:pPr>
            <w:r>
              <w:rPr>
                <w:sz w:val="20"/>
              </w:rPr>
              <w:t xml:space="preserve">N пп.</w:t>
            </w:r>
          </w:p>
        </w:tc>
        <w:tc>
          <w:tcPr>
            <w:tcW w:w="6066" w:type="dxa"/>
          </w:tcPr>
          <w:p>
            <w:pPr>
              <w:pStyle w:val="0"/>
              <w:jc w:val="center"/>
            </w:pPr>
            <w:r>
              <w:rPr>
                <w:sz w:val="20"/>
              </w:rPr>
              <w:t xml:space="preserve">Условия производства работ</w:t>
            </w:r>
          </w:p>
        </w:tc>
        <w:tc>
          <w:tcPr>
            <w:tcW w:w="1927" w:type="dxa"/>
          </w:tcPr>
          <w:p>
            <w:pPr>
              <w:pStyle w:val="0"/>
              <w:jc w:val="center"/>
            </w:pPr>
            <w:r>
              <w:rPr>
                <w:sz w:val="20"/>
              </w:rPr>
              <w:t xml:space="preserve">Коэффициенты к ГЭСНрр (ФЕРрр)</w:t>
            </w:r>
          </w:p>
        </w:tc>
      </w:tr>
      <w:tr>
        <w:tc>
          <w:tcPr>
            <w:tcW w:w="1077" w:type="dxa"/>
          </w:tcPr>
          <w:p>
            <w:pPr>
              <w:pStyle w:val="0"/>
              <w:jc w:val="center"/>
            </w:pPr>
            <w:r>
              <w:rPr>
                <w:sz w:val="20"/>
              </w:rPr>
              <w:t xml:space="preserve">1</w:t>
            </w:r>
          </w:p>
        </w:tc>
        <w:tc>
          <w:tcPr>
            <w:tcW w:w="6066" w:type="dxa"/>
          </w:tcPr>
          <w:p>
            <w:pPr>
              <w:pStyle w:val="0"/>
              <w:jc w:val="center"/>
            </w:pPr>
            <w:r>
              <w:rPr>
                <w:sz w:val="20"/>
              </w:rPr>
              <w:t xml:space="preserve">2</w:t>
            </w:r>
          </w:p>
        </w:tc>
        <w:tc>
          <w:tcPr>
            <w:tcW w:w="1927" w:type="dxa"/>
          </w:tcPr>
          <w:p>
            <w:pPr>
              <w:pStyle w:val="0"/>
              <w:jc w:val="center"/>
            </w:pPr>
            <w:r>
              <w:rPr>
                <w:sz w:val="20"/>
              </w:rPr>
              <w:t xml:space="preserve">3</w:t>
            </w:r>
          </w:p>
        </w:tc>
      </w:tr>
      <w:tr>
        <w:tc>
          <w:tcPr>
            <w:tcW w:w="1077" w:type="dxa"/>
          </w:tcPr>
          <w:bookmarkStart w:id="10193" w:name="P10193"/>
          <w:bookmarkEnd w:id="10193"/>
          <w:p>
            <w:pPr>
              <w:pStyle w:val="0"/>
              <w:jc w:val="center"/>
            </w:pPr>
            <w:r>
              <w:rPr>
                <w:sz w:val="20"/>
              </w:rPr>
              <w:t xml:space="preserve">1</w:t>
            </w:r>
          </w:p>
        </w:tc>
        <w:tc>
          <w:tcPr>
            <w:tcW w:w="6066" w:type="dxa"/>
          </w:tcPr>
          <w:p>
            <w:pPr>
              <w:pStyle w:val="0"/>
            </w:pPr>
            <w:r>
              <w:rPr>
                <w:sz w:val="20"/>
              </w:rPr>
              <w:t xml:space="preserve">Производство ремонтно-реставрационных работ осуществляется в помещениях эксплуатируемого объекта культурного наследия без остановки рабочего процесса</w:t>
            </w:r>
          </w:p>
        </w:tc>
        <w:tc>
          <w:tcPr>
            <w:tcW w:w="1927" w:type="dxa"/>
          </w:tcPr>
          <w:p>
            <w:pPr>
              <w:pStyle w:val="0"/>
              <w:jc w:val="center"/>
            </w:pPr>
            <w:r>
              <w:rPr>
                <w:sz w:val="20"/>
              </w:rPr>
              <w:t xml:space="preserve">1,10</w:t>
            </w:r>
          </w:p>
        </w:tc>
      </w:tr>
      <w:tr>
        <w:tc>
          <w:tcPr>
            <w:tcW w:w="1077" w:type="dxa"/>
          </w:tcPr>
          <w:bookmarkStart w:id="10196" w:name="P10196"/>
          <w:bookmarkEnd w:id="10196"/>
          <w:p>
            <w:pPr>
              <w:pStyle w:val="0"/>
              <w:jc w:val="center"/>
            </w:pPr>
            <w:r>
              <w:rPr>
                <w:sz w:val="20"/>
              </w:rPr>
              <w:t xml:space="preserve">2</w:t>
            </w:r>
          </w:p>
        </w:tc>
        <w:tc>
          <w:tcPr>
            <w:tcW w:w="6066" w:type="dxa"/>
          </w:tcPr>
          <w:p>
            <w:pPr>
              <w:pStyle w:val="0"/>
              <w:jc w:val="both"/>
            </w:pPr>
            <w:r>
              <w:rPr>
                <w:sz w:val="20"/>
              </w:rPr>
              <w:t xml:space="preserve">Производство ремонтно-реставрационных работ осуществляется при особой стесненности и затрудненности в доставке материалов до места производства работ</w:t>
            </w:r>
          </w:p>
        </w:tc>
        <w:tc>
          <w:tcPr>
            <w:tcW w:w="1927" w:type="dxa"/>
          </w:tcPr>
          <w:p>
            <w:pPr>
              <w:pStyle w:val="0"/>
              <w:jc w:val="center"/>
            </w:pPr>
            <w:r>
              <w:rPr>
                <w:sz w:val="20"/>
              </w:rPr>
              <w:t xml:space="preserve">1,15</w:t>
            </w:r>
          </w:p>
        </w:tc>
      </w:tr>
      <w:tr>
        <w:tc>
          <w:tcPr>
            <w:tcW w:w="1077" w:type="dxa"/>
          </w:tcPr>
          <w:bookmarkStart w:id="10199" w:name="P10199"/>
          <w:bookmarkEnd w:id="10199"/>
          <w:p>
            <w:pPr>
              <w:pStyle w:val="0"/>
              <w:jc w:val="center"/>
            </w:pPr>
            <w:r>
              <w:rPr>
                <w:sz w:val="20"/>
              </w:rPr>
              <w:t xml:space="preserve">3</w:t>
            </w:r>
          </w:p>
        </w:tc>
        <w:tc>
          <w:tcPr>
            <w:tcW w:w="6066" w:type="dxa"/>
          </w:tcPr>
          <w:p>
            <w:pPr>
              <w:pStyle w:val="0"/>
              <w:jc w:val="both"/>
            </w:pPr>
            <w:r>
              <w:rPr>
                <w:sz w:val="20"/>
              </w:rPr>
              <w:t xml:space="preserve">Производство ремонтно-реставрационных работ осуществляется внутри объектов культурного наследия, внутренняя проводка в которых не обесточена, если это приведет к ограничению действий рабочих в соответствии с требованиями техники безопасности.</w:t>
            </w:r>
          </w:p>
        </w:tc>
        <w:tc>
          <w:tcPr>
            <w:tcW w:w="1927" w:type="dxa"/>
          </w:tcPr>
          <w:p>
            <w:pPr>
              <w:pStyle w:val="0"/>
              <w:jc w:val="center"/>
            </w:pPr>
            <w:r>
              <w:rPr>
                <w:sz w:val="20"/>
              </w:rPr>
              <w:t xml:space="preserve">1,05</w:t>
            </w:r>
          </w:p>
        </w:tc>
      </w:tr>
      <w:tr>
        <w:tc>
          <w:tcPr>
            <w:tcW w:w="1077" w:type="dxa"/>
          </w:tcPr>
          <w:p>
            <w:pPr>
              <w:pStyle w:val="0"/>
              <w:jc w:val="center"/>
            </w:pPr>
            <w:r>
              <w:rPr>
                <w:sz w:val="20"/>
              </w:rPr>
              <w:t xml:space="preserve">4</w:t>
            </w:r>
          </w:p>
        </w:tc>
        <w:tc>
          <w:tcPr>
            <w:tcW w:w="6066" w:type="dxa"/>
          </w:tcPr>
          <w:p>
            <w:pPr>
              <w:pStyle w:val="0"/>
              <w:jc w:val="both"/>
            </w:pPr>
            <w:r>
              <w:rPr>
                <w:sz w:val="20"/>
              </w:rPr>
              <w:t xml:space="preserve">Производство ремонтно-реставрационных работ осуществляется в помещениях и иных ограниченных пространства высотой до 1,8 м и (или) площадью до 5 м</w:t>
            </w:r>
            <w:r>
              <w:rPr>
                <w:sz w:val="20"/>
                <w:vertAlign w:val="superscript"/>
              </w:rPr>
              <w:t xml:space="preserve">2</w:t>
            </w:r>
          </w:p>
        </w:tc>
        <w:tc>
          <w:tcPr>
            <w:tcW w:w="1927" w:type="dxa"/>
          </w:tcPr>
          <w:p>
            <w:pPr>
              <w:pStyle w:val="0"/>
              <w:jc w:val="center"/>
            </w:pPr>
            <w:r>
              <w:rPr>
                <w:sz w:val="20"/>
              </w:rPr>
              <w:t xml:space="preserve">1,3</w:t>
            </w:r>
          </w:p>
        </w:tc>
      </w:tr>
      <w:tr>
        <w:tc>
          <w:tcPr>
            <w:tcW w:w="1077" w:type="dxa"/>
          </w:tcPr>
          <w:p>
            <w:pPr>
              <w:pStyle w:val="0"/>
              <w:jc w:val="center"/>
            </w:pPr>
            <w:r>
              <w:rPr>
                <w:sz w:val="20"/>
              </w:rPr>
              <w:t xml:space="preserve">5</w:t>
            </w:r>
          </w:p>
        </w:tc>
        <w:tc>
          <w:tcPr>
            <w:tcW w:w="6066" w:type="dxa"/>
          </w:tcPr>
          <w:p>
            <w:pPr>
              <w:pStyle w:val="0"/>
              <w:jc w:val="both"/>
            </w:pPr>
            <w:r>
              <w:rPr>
                <w:sz w:val="20"/>
              </w:rPr>
              <w:t xml:space="preserve">Производство ремонтно-реставрационных работ на высоте более 15 метров от земли при отсутствии лифтов или пассажирских подъемников</w:t>
            </w:r>
          </w:p>
        </w:tc>
        <w:tc>
          <w:tcPr>
            <w:tcW w:w="1927" w:type="dxa"/>
          </w:tcPr>
          <w:p>
            <w:pPr>
              <w:pStyle w:val="0"/>
              <w:jc w:val="center"/>
            </w:pPr>
            <w:r>
              <w:rPr>
                <w:sz w:val="20"/>
              </w:rPr>
              <w:t xml:space="preserve">1,05</w:t>
            </w:r>
          </w:p>
        </w:tc>
      </w:tr>
      <w:tr>
        <w:tc>
          <w:tcPr>
            <w:tcW w:w="1077" w:type="dxa"/>
          </w:tcPr>
          <w:p>
            <w:pPr>
              <w:pStyle w:val="0"/>
              <w:jc w:val="center"/>
            </w:pPr>
            <w:r>
              <w:rPr>
                <w:sz w:val="20"/>
              </w:rPr>
              <w:t xml:space="preserve">6</w:t>
            </w:r>
          </w:p>
        </w:tc>
        <w:tc>
          <w:tcPr>
            <w:tcW w:w="6066" w:type="dxa"/>
          </w:tcPr>
          <w:p>
            <w:pPr>
              <w:pStyle w:val="0"/>
              <w:jc w:val="both"/>
            </w:pPr>
            <w:r>
              <w:rPr>
                <w:sz w:val="20"/>
              </w:rPr>
              <w:t xml:space="preserve">Производство ремонтно-реставрационных работ при выведении объекта культурного наследия или отдельных его элементов (конструктивных решений) из аварийного состояния</w:t>
            </w:r>
          </w:p>
        </w:tc>
        <w:tc>
          <w:tcPr>
            <w:tcW w:w="1927" w:type="dxa"/>
          </w:tcPr>
          <w:p>
            <w:pPr>
              <w:pStyle w:val="0"/>
              <w:jc w:val="center"/>
            </w:pPr>
            <w:r>
              <w:rPr>
                <w:sz w:val="20"/>
              </w:rPr>
              <w:t xml:space="preserve">1,25</w:t>
            </w:r>
          </w:p>
        </w:tc>
      </w:tr>
      <w:tr>
        <w:tc>
          <w:tcPr>
            <w:tcW w:w="1077" w:type="dxa"/>
          </w:tcPr>
          <w:bookmarkStart w:id="10211" w:name="P10211"/>
          <w:bookmarkEnd w:id="10211"/>
          <w:p>
            <w:pPr>
              <w:pStyle w:val="0"/>
              <w:jc w:val="center"/>
            </w:pPr>
            <w:r>
              <w:rPr>
                <w:sz w:val="20"/>
              </w:rPr>
              <w:t xml:space="preserve">7</w:t>
            </w:r>
          </w:p>
        </w:tc>
        <w:tc>
          <w:tcPr>
            <w:tcW w:w="6066" w:type="dxa"/>
          </w:tcPr>
          <w:p>
            <w:pPr>
              <w:pStyle w:val="0"/>
              <w:jc w:val="both"/>
            </w:pPr>
            <w:r>
              <w:rPr>
                <w:sz w:val="20"/>
              </w:rPr>
              <w:t xml:space="preserve">Производство ремонтно-реставрационных работ осуществляется методом "в окно":</w:t>
            </w:r>
          </w:p>
        </w:tc>
        <w:tc>
          <w:tcPr>
            <w:tcW w:w="1927" w:type="dxa"/>
          </w:tcPr>
          <w:p>
            <w:pPr>
              <w:pStyle w:val="0"/>
            </w:pPr>
            <w:r>
              <w:rPr>
                <w:sz w:val="20"/>
              </w:rPr>
            </w:r>
          </w:p>
        </w:tc>
      </w:tr>
      <w:tr>
        <w:tc>
          <w:tcPr>
            <w:tcW w:w="1077" w:type="dxa"/>
          </w:tcPr>
          <w:p>
            <w:pPr>
              <w:pStyle w:val="0"/>
              <w:jc w:val="center"/>
            </w:pPr>
            <w:r>
              <w:rPr>
                <w:sz w:val="20"/>
              </w:rPr>
              <w:t xml:space="preserve">7.1</w:t>
            </w:r>
          </w:p>
        </w:tc>
        <w:tc>
          <w:tcPr>
            <w:tcW w:w="6066" w:type="dxa"/>
          </w:tcPr>
          <w:p>
            <w:pPr>
              <w:pStyle w:val="0"/>
              <w:jc w:val="both"/>
            </w:pPr>
            <w:r>
              <w:rPr>
                <w:sz w:val="20"/>
              </w:rPr>
              <w:t xml:space="preserve">при ежедневной работе в "окно";</w:t>
            </w:r>
          </w:p>
        </w:tc>
        <w:tc>
          <w:tcPr>
            <w:tcW w:w="1927" w:type="dxa"/>
          </w:tcPr>
          <w:p>
            <w:pPr>
              <w:pStyle w:val="0"/>
              <w:jc w:val="center"/>
            </w:pPr>
            <w:r>
              <w:rPr>
                <w:sz w:val="20"/>
              </w:rPr>
              <w:t xml:space="preserve">1,3</w:t>
            </w:r>
          </w:p>
        </w:tc>
      </w:tr>
      <w:tr>
        <w:tc>
          <w:tcPr>
            <w:tcW w:w="1077" w:type="dxa"/>
          </w:tcPr>
          <w:p>
            <w:pPr>
              <w:pStyle w:val="0"/>
              <w:jc w:val="center"/>
            </w:pPr>
            <w:r>
              <w:rPr>
                <w:sz w:val="20"/>
              </w:rPr>
              <w:t xml:space="preserve">7.2</w:t>
            </w:r>
          </w:p>
        </w:tc>
        <w:tc>
          <w:tcPr>
            <w:tcW w:w="6066" w:type="dxa"/>
          </w:tcPr>
          <w:p>
            <w:pPr>
              <w:pStyle w:val="0"/>
              <w:jc w:val="both"/>
            </w:pPr>
            <w:r>
              <w:rPr>
                <w:sz w:val="20"/>
              </w:rPr>
              <w:t xml:space="preserve">при ином графике работы в "окно" на основании проекта организации работ</w:t>
            </w:r>
          </w:p>
        </w:tc>
        <w:tc>
          <w:tcPr>
            <w:tcW w:w="1927" w:type="dxa"/>
          </w:tcPr>
          <w:p>
            <w:pPr>
              <w:pStyle w:val="0"/>
              <w:jc w:val="center"/>
            </w:pPr>
            <w:r>
              <w:rPr>
                <w:sz w:val="20"/>
              </w:rPr>
              <w:t xml:space="preserve">по расчету</w:t>
            </w:r>
          </w:p>
        </w:tc>
      </w:tr>
      <w:tr>
        <w:tc>
          <w:tcPr>
            <w:tcW w:w="1077" w:type="dxa"/>
          </w:tcPr>
          <w:p>
            <w:pPr>
              <w:pStyle w:val="0"/>
              <w:jc w:val="center"/>
            </w:pPr>
            <w:r>
              <w:rPr>
                <w:sz w:val="20"/>
              </w:rPr>
              <w:t xml:space="preserve">8</w:t>
            </w:r>
          </w:p>
        </w:tc>
        <w:tc>
          <w:tcPr>
            <w:tcW w:w="6066" w:type="dxa"/>
          </w:tcPr>
          <w:p>
            <w:pPr>
              <w:pStyle w:val="0"/>
              <w:jc w:val="both"/>
            </w:pPr>
            <w:r>
              <w:rPr>
                <w:sz w:val="20"/>
              </w:rPr>
              <w:t xml:space="preserve">Производство ремонтно-реставрационных работ на высоте более 5 метров от земли, перекрытия или рабочей площадки лесов</w:t>
            </w:r>
          </w:p>
        </w:tc>
        <w:tc>
          <w:tcPr>
            <w:tcW w:w="1927" w:type="dxa"/>
          </w:tcPr>
          <w:p>
            <w:pPr>
              <w:pStyle w:val="0"/>
              <w:jc w:val="center"/>
            </w:pPr>
            <w:r>
              <w:rPr>
                <w:sz w:val="20"/>
              </w:rPr>
              <w:t xml:space="preserve">1,25</w:t>
            </w:r>
          </w:p>
        </w:tc>
      </w:tr>
      <w:tr>
        <w:tc>
          <w:tcPr>
            <w:tcW w:w="1077" w:type="dxa"/>
          </w:tcPr>
          <w:bookmarkStart w:id="10223" w:name="P10223"/>
          <w:bookmarkEnd w:id="10223"/>
          <w:p>
            <w:pPr>
              <w:pStyle w:val="0"/>
              <w:jc w:val="center"/>
            </w:pPr>
            <w:r>
              <w:rPr>
                <w:sz w:val="20"/>
              </w:rPr>
              <w:t xml:space="preserve">9</w:t>
            </w:r>
          </w:p>
        </w:tc>
        <w:tc>
          <w:tcPr>
            <w:tcW w:w="6066" w:type="dxa"/>
          </w:tcPr>
          <w:p>
            <w:pPr>
              <w:pStyle w:val="0"/>
              <w:jc w:val="both"/>
            </w:pPr>
            <w:r>
              <w:rPr>
                <w:sz w:val="20"/>
              </w:rPr>
              <w:t xml:space="preserve">Производство ремонтно-реставрационных работ отдельных элементов (конструктивных решений) объектов культурного наследия в стесненных условиях застроенной части населенных пунктов:</w:t>
            </w:r>
          </w:p>
        </w:tc>
        <w:tc>
          <w:tcPr>
            <w:tcW w:w="1927" w:type="dxa"/>
          </w:tcPr>
          <w:p>
            <w:pPr>
              <w:pStyle w:val="0"/>
            </w:pPr>
            <w:r>
              <w:rPr>
                <w:sz w:val="20"/>
              </w:rPr>
            </w:r>
          </w:p>
        </w:tc>
      </w:tr>
      <w:tr>
        <w:tc>
          <w:tcPr>
            <w:tcW w:w="1077" w:type="dxa"/>
          </w:tcPr>
          <w:p>
            <w:pPr>
              <w:pStyle w:val="0"/>
              <w:jc w:val="center"/>
            </w:pPr>
            <w:r>
              <w:rPr>
                <w:sz w:val="20"/>
              </w:rPr>
              <w:t xml:space="preserve">9.1</w:t>
            </w:r>
          </w:p>
        </w:tc>
        <w:tc>
          <w:tcPr>
            <w:tcW w:w="6066" w:type="dxa"/>
          </w:tcPr>
          <w:p>
            <w:pPr>
              <w:pStyle w:val="0"/>
              <w:jc w:val="both"/>
            </w:pPr>
            <w:r>
              <w:rPr>
                <w:sz w:val="20"/>
              </w:rPr>
              <w:t xml:space="preserve">фасадов;</w:t>
            </w:r>
          </w:p>
        </w:tc>
        <w:tc>
          <w:tcPr>
            <w:tcW w:w="1927" w:type="dxa"/>
          </w:tcPr>
          <w:p>
            <w:pPr>
              <w:pStyle w:val="0"/>
              <w:jc w:val="center"/>
            </w:pPr>
            <w:r>
              <w:rPr>
                <w:sz w:val="20"/>
              </w:rPr>
              <w:t xml:space="preserve">1,15</w:t>
            </w:r>
          </w:p>
        </w:tc>
      </w:tr>
      <w:tr>
        <w:tc>
          <w:tcPr>
            <w:tcW w:w="1077" w:type="dxa"/>
          </w:tcPr>
          <w:p>
            <w:pPr>
              <w:pStyle w:val="0"/>
              <w:jc w:val="center"/>
            </w:pPr>
            <w:r>
              <w:rPr>
                <w:sz w:val="20"/>
              </w:rPr>
              <w:t xml:space="preserve">9.2</w:t>
            </w:r>
          </w:p>
        </w:tc>
        <w:tc>
          <w:tcPr>
            <w:tcW w:w="6066" w:type="dxa"/>
          </w:tcPr>
          <w:p>
            <w:pPr>
              <w:pStyle w:val="0"/>
            </w:pPr>
            <w:r>
              <w:rPr>
                <w:sz w:val="20"/>
              </w:rPr>
              <w:t xml:space="preserve">территорий общего пользования</w:t>
            </w:r>
          </w:p>
        </w:tc>
        <w:tc>
          <w:tcPr>
            <w:tcW w:w="1927" w:type="dxa"/>
          </w:tcPr>
          <w:p>
            <w:pPr>
              <w:pStyle w:val="0"/>
              <w:jc w:val="center"/>
            </w:pPr>
            <w:r>
              <w:rPr>
                <w:sz w:val="20"/>
              </w:rPr>
              <w:t xml:space="preserve">1,10</w:t>
            </w:r>
          </w:p>
        </w:tc>
      </w:tr>
      <w:tr>
        <w:tc>
          <w:tcPr>
            <w:tcW w:w="1077" w:type="dxa"/>
          </w:tcPr>
          <w:p>
            <w:pPr>
              <w:pStyle w:val="0"/>
              <w:jc w:val="center"/>
            </w:pPr>
            <w:r>
              <w:rPr>
                <w:sz w:val="20"/>
              </w:rPr>
              <w:t xml:space="preserve">10</w:t>
            </w:r>
          </w:p>
        </w:tc>
        <w:tc>
          <w:tcPr>
            <w:tcW w:w="6066" w:type="dxa"/>
          </w:tcPr>
          <w:p>
            <w:pPr>
              <w:pStyle w:val="0"/>
              <w:jc w:val="both"/>
            </w:pPr>
            <w:r>
              <w:rPr>
                <w:sz w:val="20"/>
              </w:rPr>
              <w:t xml:space="preserve">Производство работ на предприятиях, где в силу режима секретности и (или) внутриобъектного режима применяются специальный допуск, специальный пропуск и другие ограничения для рабочих</w:t>
            </w:r>
          </w:p>
        </w:tc>
        <w:tc>
          <w:tcPr>
            <w:tcW w:w="1927" w:type="dxa"/>
          </w:tcPr>
          <w:p>
            <w:pPr>
              <w:pStyle w:val="0"/>
              <w:jc w:val="center"/>
            </w:pPr>
            <w:r>
              <w:rPr>
                <w:sz w:val="20"/>
              </w:rPr>
              <w:t xml:space="preserve">1,15</w:t>
            </w:r>
          </w:p>
        </w:tc>
      </w:tr>
    </w:tbl>
    <w:p>
      <w:pPr>
        <w:pStyle w:val="0"/>
        <w:jc w:val="both"/>
      </w:pPr>
      <w:r>
        <w:rPr>
          <w:sz w:val="20"/>
        </w:rPr>
      </w:r>
    </w:p>
    <w:p>
      <w:pPr>
        <w:pStyle w:val="0"/>
        <w:ind w:firstLine="540"/>
        <w:jc w:val="both"/>
      </w:pPr>
      <w:r>
        <w:rPr>
          <w:sz w:val="20"/>
        </w:rPr>
        <w:t xml:space="preserve">Примечания:</w:t>
      </w:r>
    </w:p>
    <w:p>
      <w:pPr>
        <w:pStyle w:val="0"/>
        <w:spacing w:before="200" w:line-rule="auto"/>
        <w:ind w:firstLine="540"/>
        <w:jc w:val="both"/>
      </w:pPr>
      <w:r>
        <w:rPr>
          <w:sz w:val="20"/>
        </w:rPr>
        <w:t xml:space="preserve">5.1. Коэффициенты, приведенные в </w:t>
      </w:r>
      <w:hyperlink w:history="0" w:anchor="P10185" w:tooltip="Сохранение объектов культурного наследия">
        <w:r>
          <w:rPr>
            <w:sz w:val="20"/>
            <w:color w:val="0000ff"/>
          </w:rPr>
          <w:t xml:space="preserve">таблице 5</w:t>
        </w:r>
      </w:hyperlink>
      <w:r>
        <w:rPr>
          <w:sz w:val="20"/>
        </w:rPr>
        <w:t xml:space="preserve"> применяются:</w:t>
      </w:r>
    </w:p>
    <w:p>
      <w:pPr>
        <w:pStyle w:val="0"/>
        <w:spacing w:before="200" w:line-rule="auto"/>
        <w:ind w:firstLine="540"/>
        <w:jc w:val="both"/>
      </w:pPr>
      <w:r>
        <w:rPr>
          <w:sz w:val="20"/>
        </w:rPr>
        <w:t xml:space="preserve">а) при определении сметной стоимости строительства базисно-индексным методом - к показателям оплаты труда, затратам труда работников - исполнителей реставрационных работ, стоимости эксплуатации машин и механизмов, в том числе оплате труда и затратам труда машинистов;</w:t>
      </w:r>
    </w:p>
    <w:p>
      <w:pPr>
        <w:pStyle w:val="0"/>
        <w:spacing w:before="200" w:line-rule="auto"/>
        <w:ind w:firstLine="540"/>
        <w:jc w:val="both"/>
      </w:pPr>
      <w:r>
        <w:rPr>
          <w:sz w:val="20"/>
        </w:rPr>
        <w:t xml:space="preserve">б) при определении сметной стоимости строительства ресурсно-индексным и ресурсным методами - к затратам труда работников - исполнителей реставрационных работ, времени эксплуатации машин и механизмов и затратам труда машинистов.</w:t>
      </w:r>
    </w:p>
    <w:p>
      <w:pPr>
        <w:pStyle w:val="0"/>
        <w:spacing w:before="200" w:line-rule="auto"/>
        <w:ind w:firstLine="540"/>
        <w:jc w:val="both"/>
      </w:pPr>
      <w:r>
        <w:rPr>
          <w:sz w:val="20"/>
        </w:rPr>
        <w:t xml:space="preserve">5.2. При одновременном применении коэффициенты, относящиеся к одним и тем же составляющим сметных норм (единичных расценок), перемножаются, за исключением </w:t>
      </w:r>
      <w:hyperlink w:history="0" w:anchor="P10193" w:tooltip="1">
        <w:r>
          <w:rPr>
            <w:sz w:val="20"/>
            <w:color w:val="0000ff"/>
          </w:rPr>
          <w:t xml:space="preserve">пунктов 1</w:t>
        </w:r>
      </w:hyperlink>
      <w:r>
        <w:rPr>
          <w:sz w:val="20"/>
        </w:rPr>
        <w:t xml:space="preserve"> и </w:t>
      </w:r>
      <w:hyperlink w:history="0" w:anchor="P10199" w:tooltip="3">
        <w:r>
          <w:rPr>
            <w:sz w:val="20"/>
            <w:color w:val="0000ff"/>
          </w:rPr>
          <w:t xml:space="preserve">3</w:t>
        </w:r>
      </w:hyperlink>
      <w:r>
        <w:rPr>
          <w:sz w:val="20"/>
        </w:rPr>
        <w:t xml:space="preserve">, </w:t>
      </w:r>
      <w:hyperlink w:history="0" w:anchor="P10193" w:tooltip="1">
        <w:r>
          <w:rPr>
            <w:sz w:val="20"/>
            <w:color w:val="0000ff"/>
          </w:rPr>
          <w:t xml:space="preserve">1</w:t>
        </w:r>
      </w:hyperlink>
      <w:r>
        <w:rPr>
          <w:sz w:val="20"/>
        </w:rPr>
        <w:t xml:space="preserve"> и </w:t>
      </w:r>
      <w:hyperlink w:history="0" w:anchor="P10211" w:tooltip="7">
        <w:r>
          <w:rPr>
            <w:sz w:val="20"/>
            <w:color w:val="0000ff"/>
          </w:rPr>
          <w:t xml:space="preserve">7</w:t>
        </w:r>
      </w:hyperlink>
      <w:r>
        <w:rPr>
          <w:sz w:val="20"/>
        </w:rPr>
        <w:t xml:space="preserve">, </w:t>
      </w:r>
      <w:hyperlink w:history="0" w:anchor="P10196" w:tooltip="2">
        <w:r>
          <w:rPr>
            <w:sz w:val="20"/>
            <w:color w:val="0000ff"/>
          </w:rPr>
          <w:t xml:space="preserve">2</w:t>
        </w:r>
      </w:hyperlink>
      <w:r>
        <w:rPr>
          <w:sz w:val="20"/>
        </w:rPr>
        <w:t xml:space="preserve"> и </w:t>
      </w:r>
      <w:hyperlink w:history="0" w:anchor="P10223" w:tooltip="9">
        <w:r>
          <w:rPr>
            <w:sz w:val="20"/>
            <w:color w:val="0000ff"/>
          </w:rPr>
          <w:t xml:space="preserve">9</w:t>
        </w:r>
      </w:hyperlink>
      <w:r>
        <w:rPr>
          <w:sz w:val="20"/>
        </w:rPr>
        <w:t xml:space="preserve">.</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pStyle w:val="0"/>
        <w:jc w:val="both"/>
      </w:pPr>
      <w:r>
        <w:rPr>
          <w:sz w:val="20"/>
        </w:rPr>
      </w:r>
    </w:p>
    <w:p>
      <w:pPr>
        <w:pStyle w:val="0"/>
        <w:jc w:val="right"/>
      </w:pPr>
      <w:r>
        <w:rPr>
          <w:sz w:val="20"/>
        </w:rPr>
        <w:t xml:space="preserve">(рекомендуемый образец)</w:t>
      </w:r>
    </w:p>
    <w:p>
      <w:pPr>
        <w:pStyle w:val="0"/>
        <w:jc w:val="both"/>
      </w:pPr>
      <w:r>
        <w:rPr>
          <w:sz w:val="20"/>
        </w:rPr>
      </w:r>
    </w:p>
    <w:tbl>
      <w:tblPr>
        <w:tblInd w:w="0" w:type="dxa"/>
        <w:tblLayout w:type="fixed"/>
        <w:tblCellMar>
          <w:top w:w="102" w:type="dxa"/>
          <w:left w:w="62" w:type="dxa"/>
          <w:bottom w:w="102" w:type="dxa"/>
          <w:right w:w="62" w:type="dxa"/>
        </w:tblCellMar>
      </w:tblPr>
      <w:tblGrid>
        <w:gridCol w:w="340"/>
        <w:gridCol w:w="8748"/>
      </w:tblGrid>
      <w:tr>
        <w:tc>
          <w:tcPr>
            <w:gridSpan w:val="2"/>
            <w:tcW w:w="9088" w:type="dxa"/>
            <w:tcBorders>
              <w:top w:val="nil"/>
              <w:left w:val="nil"/>
              <w:bottom w:val="nil"/>
              <w:right w:val="nil"/>
            </w:tcBorders>
          </w:tcPr>
          <w:p>
            <w:pPr>
              <w:pStyle w:val="0"/>
              <w:jc w:val="center"/>
            </w:pPr>
            <w:r>
              <w:rPr>
                <w:sz w:val="20"/>
              </w:rPr>
              <w:t xml:space="preserve">СВОДНАЯ СМЕТА N</w:t>
            </w:r>
          </w:p>
          <w:p>
            <w:pPr>
              <w:pStyle w:val="0"/>
              <w:jc w:val="center"/>
            </w:pPr>
            <w:r>
              <w:rPr>
                <w:sz w:val="20"/>
              </w:rPr>
              <w:t xml:space="preserve">на проектные работы и инженерные изыскания</w:t>
            </w:r>
          </w:p>
        </w:tc>
      </w:tr>
      <w:tr>
        <w:tc>
          <w:tcPr>
            <w:tcW w:w="340" w:type="dxa"/>
            <w:tcBorders>
              <w:top w:val="nil"/>
              <w:left w:val="nil"/>
              <w:bottom w:val="nil"/>
              <w:right w:val="nil"/>
            </w:tcBorders>
          </w:tcPr>
          <w:p>
            <w:pPr>
              <w:pStyle w:val="0"/>
            </w:pPr>
            <w:r>
              <w:rPr>
                <w:sz w:val="20"/>
              </w:rPr>
            </w:r>
          </w:p>
        </w:tc>
        <w:tc>
          <w:tcPr>
            <w:tcW w:w="8748" w:type="dxa"/>
            <w:tcBorders>
              <w:top w:val="nil"/>
              <w:left w:val="nil"/>
              <w:bottom w:val="single" w:sz="4"/>
              <w:right w:val="nil"/>
            </w:tcBorders>
          </w:tcPr>
          <w:p>
            <w:pPr>
              <w:pStyle w:val="0"/>
              <w:jc w:val="both"/>
            </w:pPr>
            <w:r>
              <w:rPr>
                <w:sz w:val="20"/>
              </w:rPr>
            </w:r>
          </w:p>
        </w:tc>
      </w:tr>
      <w:tr>
        <w:tc>
          <w:tcPr>
            <w:tcW w:w="340" w:type="dxa"/>
            <w:tcBorders>
              <w:top w:val="nil"/>
              <w:left w:val="nil"/>
              <w:bottom w:val="nil"/>
              <w:right w:val="nil"/>
            </w:tcBorders>
          </w:tcPr>
          <w:p>
            <w:pPr>
              <w:pStyle w:val="0"/>
              <w:jc w:val="center"/>
            </w:pPr>
            <w:r>
              <w:rPr>
                <w:sz w:val="20"/>
              </w:rPr>
            </w:r>
          </w:p>
        </w:tc>
        <w:tc>
          <w:tcPr>
            <w:tcW w:w="8748" w:type="dxa"/>
            <w:tcBorders>
              <w:top w:val="single" w:sz="4"/>
              <w:left w:val="nil"/>
              <w:bottom w:val="nil"/>
              <w:right w:val="nil"/>
            </w:tcBorders>
          </w:tcPr>
          <w:p>
            <w:pPr>
              <w:pStyle w:val="0"/>
              <w:jc w:val="center"/>
            </w:pPr>
            <w:r>
              <w:rPr>
                <w:sz w:val="20"/>
              </w:rPr>
              <w:t xml:space="preserve">(наименование стройки)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40"/>
        <w:gridCol w:w="1077"/>
        <w:gridCol w:w="1606"/>
        <w:gridCol w:w="492"/>
        <w:gridCol w:w="5556"/>
      </w:tblGrid>
      <w:tr>
        <w:tc>
          <w:tcPr>
            <w:tcW w:w="34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both"/>
            </w:pPr>
            <w:r>
              <w:rPr>
                <w:sz w:val="20"/>
              </w:rPr>
              <w:t xml:space="preserve">Заказчик</w:t>
            </w:r>
          </w:p>
        </w:tc>
        <w:tc>
          <w:tcPr>
            <w:gridSpan w:val="3"/>
            <w:tcW w:w="7654" w:type="dxa"/>
            <w:tcBorders>
              <w:top w:val="nil"/>
              <w:left w:val="nil"/>
              <w:bottom w:val="single" w:sz="4"/>
              <w:right w:val="nil"/>
            </w:tcBorders>
          </w:tcPr>
          <w:p>
            <w:pPr>
              <w:pStyle w:val="0"/>
            </w:pPr>
            <w:r>
              <w:rPr>
                <w:sz w:val="20"/>
              </w:rPr>
            </w:r>
          </w:p>
        </w:tc>
      </w:tr>
      <w:tr>
        <w:tc>
          <w:tcPr>
            <w:tcW w:w="340"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jc w:val="both"/>
            </w:pPr>
            <w:r>
              <w:rPr>
                <w:sz w:val="20"/>
              </w:rPr>
            </w:r>
          </w:p>
        </w:tc>
        <w:tc>
          <w:tcPr>
            <w:gridSpan w:val="3"/>
            <w:tcW w:w="7654" w:type="dxa"/>
            <w:tcBorders>
              <w:top w:val="single" w:sz="4"/>
              <w:left w:val="nil"/>
              <w:bottom w:val="nil"/>
              <w:right w:val="nil"/>
            </w:tcBorders>
          </w:tcPr>
          <w:p>
            <w:pPr>
              <w:pStyle w:val="0"/>
              <w:jc w:val="center"/>
            </w:pPr>
            <w:r>
              <w:rPr>
                <w:sz w:val="20"/>
              </w:rPr>
              <w:t xml:space="preserve">(наименование организации)</w:t>
            </w:r>
          </w:p>
        </w:tc>
      </w:tr>
      <w:tr>
        <w:tc>
          <w:tcPr>
            <w:tcW w:w="340" w:type="dxa"/>
            <w:vAlign w:val="bottom"/>
            <w:tcBorders>
              <w:top w:val="nil"/>
              <w:left w:val="nil"/>
              <w:bottom w:val="nil"/>
              <w:right w:val="nil"/>
            </w:tcBorders>
          </w:tcPr>
          <w:p>
            <w:pPr>
              <w:pStyle w:val="0"/>
            </w:pPr>
            <w:r>
              <w:rPr>
                <w:sz w:val="20"/>
              </w:rPr>
            </w:r>
          </w:p>
        </w:tc>
        <w:tc>
          <w:tcPr>
            <w:gridSpan w:val="3"/>
            <w:tcW w:w="3175" w:type="dxa"/>
            <w:tcBorders>
              <w:top w:val="nil"/>
              <w:left w:val="nil"/>
              <w:bottom w:val="nil"/>
              <w:right w:val="nil"/>
            </w:tcBorders>
          </w:tcPr>
          <w:p>
            <w:pPr>
              <w:pStyle w:val="0"/>
              <w:jc w:val="both"/>
            </w:pPr>
            <w:r>
              <w:rPr>
                <w:sz w:val="20"/>
              </w:rPr>
              <w:t xml:space="preserve">Изыскательская организация</w:t>
            </w:r>
          </w:p>
        </w:tc>
        <w:tc>
          <w:tcPr>
            <w:tcW w:w="5556" w:type="dxa"/>
            <w:tcBorders>
              <w:top w:val="nil"/>
              <w:left w:val="nil"/>
              <w:bottom w:val="single" w:sz="4"/>
              <w:right w:val="nil"/>
            </w:tcBorders>
          </w:tcPr>
          <w:p>
            <w:pPr>
              <w:pStyle w:val="0"/>
            </w:pPr>
            <w:r>
              <w:rPr>
                <w:sz w:val="20"/>
              </w:rPr>
            </w:r>
          </w:p>
        </w:tc>
      </w:tr>
      <w:tr>
        <w:tc>
          <w:tcPr>
            <w:tcW w:w="340" w:type="dxa"/>
            <w:tcBorders>
              <w:top w:val="nil"/>
              <w:left w:val="nil"/>
              <w:bottom w:val="nil"/>
              <w:right w:val="nil"/>
            </w:tcBorders>
          </w:tcPr>
          <w:p>
            <w:pPr>
              <w:pStyle w:val="0"/>
            </w:pPr>
            <w:r>
              <w:rPr>
                <w:sz w:val="20"/>
              </w:rPr>
            </w:r>
          </w:p>
        </w:tc>
        <w:tc>
          <w:tcPr>
            <w:gridSpan w:val="4"/>
            <w:tcW w:w="8731" w:type="dxa"/>
            <w:tcBorders>
              <w:top w:val="nil"/>
              <w:left w:val="nil"/>
              <w:bottom w:val="single" w:sz="4"/>
              <w:right w:val="nil"/>
            </w:tcBorders>
          </w:tcPr>
          <w:p>
            <w:pPr>
              <w:pStyle w:val="0"/>
              <w:jc w:val="both"/>
            </w:pPr>
            <w:r>
              <w:rPr>
                <w:sz w:val="20"/>
              </w:rPr>
            </w:r>
          </w:p>
        </w:tc>
      </w:tr>
      <w:tr>
        <w:tc>
          <w:tcPr>
            <w:tcW w:w="340" w:type="dxa"/>
            <w:tcBorders>
              <w:top w:val="nil"/>
              <w:left w:val="nil"/>
              <w:bottom w:val="nil"/>
              <w:right w:val="nil"/>
            </w:tcBorders>
          </w:tcPr>
          <w:p>
            <w:pPr>
              <w:pStyle w:val="0"/>
              <w:jc w:val="center"/>
            </w:pPr>
            <w:r>
              <w:rPr>
                <w:sz w:val="20"/>
              </w:rPr>
            </w:r>
          </w:p>
        </w:tc>
        <w:tc>
          <w:tcPr>
            <w:gridSpan w:val="4"/>
            <w:tcW w:w="8731" w:type="dxa"/>
            <w:tcBorders>
              <w:top w:val="single" w:sz="4"/>
              <w:left w:val="nil"/>
              <w:bottom w:val="nil"/>
              <w:right w:val="nil"/>
            </w:tcBorders>
          </w:tcPr>
          <w:p>
            <w:pPr>
              <w:pStyle w:val="0"/>
              <w:jc w:val="center"/>
            </w:pPr>
            <w:r>
              <w:rPr>
                <w:sz w:val="20"/>
              </w:rPr>
              <w:t xml:space="preserve">(наименование организации)</w:t>
            </w:r>
          </w:p>
        </w:tc>
      </w:tr>
      <w:tr>
        <w:tc>
          <w:tcPr>
            <w:tcW w:w="340" w:type="dxa"/>
            <w:tcBorders>
              <w:top w:val="nil"/>
              <w:left w:val="nil"/>
              <w:bottom w:val="nil"/>
              <w:right w:val="nil"/>
            </w:tcBorders>
          </w:tcPr>
          <w:p>
            <w:pPr>
              <w:pStyle w:val="0"/>
            </w:pPr>
            <w:r>
              <w:rPr>
                <w:sz w:val="20"/>
              </w:rPr>
            </w:r>
          </w:p>
        </w:tc>
        <w:tc>
          <w:tcPr>
            <w:gridSpan w:val="4"/>
            <w:tcW w:w="8731" w:type="dxa"/>
            <w:tcBorders>
              <w:top w:val="nil"/>
              <w:left w:val="nil"/>
              <w:bottom w:val="nil"/>
              <w:right w:val="nil"/>
            </w:tcBorders>
          </w:tcPr>
          <w:p>
            <w:pPr>
              <w:pStyle w:val="0"/>
              <w:jc w:val="both"/>
            </w:pPr>
            <w:r>
              <w:rPr>
                <w:sz w:val="20"/>
              </w:rPr>
            </w:r>
          </w:p>
        </w:tc>
      </w:tr>
      <w:tr>
        <w:tc>
          <w:tcPr>
            <w:tcW w:w="340" w:type="dxa"/>
            <w:vAlign w:val="bottom"/>
            <w:tcBorders>
              <w:top w:val="nil"/>
              <w:left w:val="nil"/>
              <w:bottom w:val="nil"/>
              <w:right w:val="nil"/>
            </w:tcBorders>
          </w:tcPr>
          <w:p>
            <w:pPr>
              <w:pStyle w:val="0"/>
            </w:pPr>
            <w:r>
              <w:rPr>
                <w:sz w:val="20"/>
              </w:rPr>
            </w:r>
          </w:p>
        </w:tc>
        <w:tc>
          <w:tcPr>
            <w:gridSpan w:val="2"/>
            <w:tcW w:w="2683" w:type="dxa"/>
            <w:tcBorders>
              <w:top w:val="nil"/>
              <w:left w:val="nil"/>
              <w:bottom w:val="nil"/>
              <w:right w:val="nil"/>
            </w:tcBorders>
          </w:tcPr>
          <w:p>
            <w:pPr>
              <w:pStyle w:val="0"/>
              <w:jc w:val="both"/>
            </w:pPr>
            <w:r>
              <w:rPr>
                <w:sz w:val="20"/>
              </w:rPr>
              <w:t xml:space="preserve">Проектная организация</w:t>
            </w:r>
          </w:p>
        </w:tc>
        <w:tc>
          <w:tcPr>
            <w:gridSpan w:val="2"/>
            <w:tcW w:w="6048" w:type="dxa"/>
            <w:tcBorders>
              <w:top w:val="nil"/>
              <w:left w:val="nil"/>
              <w:bottom w:val="single" w:sz="4"/>
              <w:right w:val="nil"/>
            </w:tcBorders>
          </w:tcPr>
          <w:p>
            <w:pPr>
              <w:pStyle w:val="0"/>
            </w:pPr>
            <w:r>
              <w:rPr>
                <w:sz w:val="20"/>
              </w:rPr>
            </w:r>
          </w:p>
        </w:tc>
      </w:tr>
      <w:tr>
        <w:tc>
          <w:tcPr>
            <w:tcW w:w="340" w:type="dxa"/>
            <w:tcBorders>
              <w:top w:val="nil"/>
              <w:left w:val="nil"/>
              <w:bottom w:val="nil"/>
              <w:right w:val="nil"/>
            </w:tcBorders>
          </w:tcPr>
          <w:p>
            <w:pPr>
              <w:pStyle w:val="0"/>
            </w:pPr>
            <w:r>
              <w:rPr>
                <w:sz w:val="20"/>
              </w:rPr>
            </w:r>
          </w:p>
        </w:tc>
        <w:tc>
          <w:tcPr>
            <w:gridSpan w:val="4"/>
            <w:tcW w:w="8731" w:type="dxa"/>
            <w:tcBorders>
              <w:top w:val="nil"/>
              <w:left w:val="nil"/>
              <w:bottom w:val="single" w:sz="4"/>
              <w:right w:val="nil"/>
            </w:tcBorders>
          </w:tcPr>
          <w:p>
            <w:pPr>
              <w:pStyle w:val="0"/>
              <w:jc w:val="both"/>
            </w:pPr>
            <w:r>
              <w:rPr>
                <w:sz w:val="20"/>
              </w:rPr>
            </w:r>
          </w:p>
        </w:tc>
      </w:tr>
      <w:tr>
        <w:tc>
          <w:tcPr>
            <w:tcW w:w="340" w:type="dxa"/>
            <w:tcBorders>
              <w:top w:val="nil"/>
              <w:left w:val="nil"/>
              <w:bottom w:val="nil"/>
              <w:right w:val="nil"/>
            </w:tcBorders>
          </w:tcPr>
          <w:p>
            <w:pPr>
              <w:pStyle w:val="0"/>
              <w:jc w:val="center"/>
            </w:pPr>
            <w:r>
              <w:rPr>
                <w:sz w:val="20"/>
              </w:rPr>
            </w:r>
          </w:p>
        </w:tc>
        <w:tc>
          <w:tcPr>
            <w:gridSpan w:val="4"/>
            <w:tcW w:w="8731" w:type="dxa"/>
            <w:tcBorders>
              <w:top w:val="single" w:sz="4"/>
              <w:left w:val="nil"/>
              <w:bottom w:val="nil"/>
              <w:right w:val="nil"/>
            </w:tcBorders>
          </w:tcPr>
          <w:p>
            <w:pPr>
              <w:pStyle w:val="0"/>
              <w:jc w:val="center"/>
            </w:pPr>
            <w:r>
              <w:rPr>
                <w:sz w:val="20"/>
              </w:rPr>
              <w:t xml:space="preserve">(наименование организации)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50"/>
        <w:gridCol w:w="8721"/>
      </w:tblGrid>
      <w:tr>
        <w:tc>
          <w:tcPr>
            <w:tcW w:w="350" w:type="dxa"/>
            <w:tcBorders>
              <w:top w:val="nil"/>
              <w:left w:val="nil"/>
              <w:bottom w:val="nil"/>
              <w:right w:val="nil"/>
            </w:tcBorders>
          </w:tcPr>
          <w:p>
            <w:pPr>
              <w:pStyle w:val="0"/>
              <w:jc w:val="both"/>
            </w:pPr>
            <w:r>
              <w:rPr>
                <w:sz w:val="20"/>
              </w:rPr>
            </w:r>
          </w:p>
        </w:tc>
        <w:tc>
          <w:tcPr>
            <w:tcW w:w="8721" w:type="dxa"/>
            <w:tcBorders>
              <w:top w:val="nil"/>
              <w:left w:val="nil"/>
              <w:bottom w:val="nil"/>
              <w:right w:val="nil"/>
            </w:tcBorders>
          </w:tcPr>
          <w:p>
            <w:pPr>
              <w:pStyle w:val="0"/>
              <w:jc w:val="both"/>
            </w:pPr>
            <w:r>
              <w:rPr>
                <w:sz w:val="20"/>
              </w:rPr>
              <w:t xml:space="preserve">Составлена в уровне цен на ________________ 20__ г.</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3741"/>
        <w:gridCol w:w="1700"/>
        <w:gridCol w:w="1474"/>
        <w:gridCol w:w="1474"/>
      </w:tblGrid>
      <w:tr>
        <w:tc>
          <w:tcPr>
            <w:tcW w:w="680" w:type="dxa"/>
            <w:vMerge w:val="restart"/>
          </w:tcPr>
          <w:p>
            <w:pPr>
              <w:pStyle w:val="0"/>
              <w:jc w:val="center"/>
            </w:pPr>
            <w:r>
              <w:rPr>
                <w:sz w:val="20"/>
              </w:rPr>
              <w:t xml:space="preserve">N N п/п</w:t>
            </w:r>
          </w:p>
        </w:tc>
        <w:tc>
          <w:tcPr>
            <w:tcW w:w="3741" w:type="dxa"/>
            <w:vMerge w:val="restart"/>
          </w:tcPr>
          <w:p>
            <w:pPr>
              <w:pStyle w:val="0"/>
              <w:jc w:val="center"/>
            </w:pPr>
            <w:r>
              <w:rPr>
                <w:sz w:val="20"/>
              </w:rPr>
              <w:t xml:space="preserve">Наименование смет на проектные работы и инженерные изыскания, затрат</w:t>
            </w:r>
          </w:p>
        </w:tc>
        <w:tc>
          <w:tcPr>
            <w:tcW w:w="1700" w:type="dxa"/>
            <w:vMerge w:val="restart"/>
          </w:tcPr>
          <w:p>
            <w:pPr>
              <w:pStyle w:val="0"/>
              <w:jc w:val="center"/>
            </w:pPr>
            <w:r>
              <w:rPr>
                <w:sz w:val="20"/>
              </w:rPr>
              <w:t xml:space="preserve">Обоснование</w:t>
            </w:r>
          </w:p>
        </w:tc>
        <w:tc>
          <w:tcPr>
            <w:gridSpan w:val="2"/>
            <w:tcW w:w="2948" w:type="dxa"/>
          </w:tcPr>
          <w:p>
            <w:pPr>
              <w:pStyle w:val="0"/>
              <w:jc w:val="center"/>
            </w:pPr>
            <w:r>
              <w:rPr>
                <w:sz w:val="20"/>
              </w:rPr>
              <w:t xml:space="preserve">Сметная стоимость, тыс. руб.</w:t>
            </w:r>
          </w:p>
        </w:tc>
      </w:tr>
      <w:tr>
        <w:tc>
          <w:tcPr>
            <w:vMerge w:val="continue"/>
          </w:tcPr>
          <w:p/>
        </w:tc>
        <w:tc>
          <w:tcPr>
            <w:vMerge w:val="continue"/>
          </w:tcPr>
          <w:p/>
        </w:tc>
        <w:tc>
          <w:tcPr>
            <w:vMerge w:val="continue"/>
          </w:tcPr>
          <w:p/>
        </w:tc>
        <w:tc>
          <w:tcPr>
            <w:tcW w:w="1474" w:type="dxa"/>
          </w:tcPr>
          <w:p>
            <w:pPr>
              <w:pStyle w:val="0"/>
              <w:jc w:val="center"/>
            </w:pPr>
            <w:r>
              <w:rPr>
                <w:sz w:val="20"/>
              </w:rPr>
              <w:t xml:space="preserve">инженерных изысканий</w:t>
            </w:r>
          </w:p>
        </w:tc>
        <w:tc>
          <w:tcPr>
            <w:tcW w:w="1474" w:type="dxa"/>
          </w:tcPr>
          <w:p>
            <w:pPr>
              <w:pStyle w:val="0"/>
              <w:jc w:val="center"/>
            </w:pPr>
            <w:r>
              <w:rPr>
                <w:sz w:val="20"/>
              </w:rPr>
              <w:t xml:space="preserve">проектных работ</w:t>
            </w:r>
          </w:p>
        </w:tc>
      </w:tr>
      <w:tr>
        <w:tc>
          <w:tcPr>
            <w:tcW w:w="680" w:type="dxa"/>
          </w:tcPr>
          <w:p>
            <w:pPr>
              <w:pStyle w:val="0"/>
              <w:jc w:val="center"/>
            </w:pPr>
            <w:r>
              <w:rPr>
                <w:sz w:val="20"/>
              </w:rPr>
              <w:t xml:space="preserve">1</w:t>
            </w:r>
          </w:p>
        </w:tc>
        <w:tc>
          <w:tcPr>
            <w:tcW w:w="3741" w:type="dxa"/>
          </w:tcPr>
          <w:p>
            <w:pPr>
              <w:pStyle w:val="0"/>
              <w:jc w:val="center"/>
            </w:pPr>
            <w:r>
              <w:rPr>
                <w:sz w:val="20"/>
              </w:rPr>
              <w:t xml:space="preserve">2</w:t>
            </w:r>
          </w:p>
        </w:tc>
        <w:tc>
          <w:tcPr>
            <w:tcW w:w="1700" w:type="dxa"/>
          </w:tcPr>
          <w:p>
            <w:pPr>
              <w:pStyle w:val="0"/>
              <w:jc w:val="center"/>
            </w:pPr>
            <w:r>
              <w:rPr>
                <w:sz w:val="20"/>
              </w:rPr>
              <w:t xml:space="preserve">3</w:t>
            </w:r>
          </w:p>
        </w:tc>
        <w:tc>
          <w:tcPr>
            <w:tcW w:w="1474" w:type="dxa"/>
          </w:tcPr>
          <w:p>
            <w:pPr>
              <w:pStyle w:val="0"/>
              <w:jc w:val="center"/>
            </w:pPr>
            <w:r>
              <w:rPr>
                <w:sz w:val="20"/>
              </w:rPr>
              <w:t xml:space="preserve">4</w:t>
            </w:r>
          </w:p>
        </w:tc>
        <w:tc>
          <w:tcPr>
            <w:tcW w:w="1474" w:type="dxa"/>
          </w:tcPr>
          <w:p>
            <w:pPr>
              <w:pStyle w:val="0"/>
              <w:jc w:val="center"/>
            </w:pPr>
            <w:r>
              <w:rPr>
                <w:sz w:val="20"/>
              </w:rPr>
              <w:t xml:space="preserve">5</w:t>
            </w:r>
          </w:p>
        </w:tc>
      </w:tr>
      <w:tr>
        <w:tc>
          <w:tcPr>
            <w:tcW w:w="680" w:type="dxa"/>
            <w:vAlign w:val="bottom"/>
          </w:tcPr>
          <w:p>
            <w:pPr>
              <w:pStyle w:val="0"/>
              <w:jc w:val="center"/>
            </w:pPr>
            <w:r>
              <w:rPr>
                <w:sz w:val="20"/>
              </w:rPr>
              <w:t xml:space="preserve">I</w:t>
            </w:r>
          </w:p>
        </w:tc>
        <w:tc>
          <w:tcPr>
            <w:tcW w:w="3741" w:type="dxa"/>
            <w:vAlign w:val="bottom"/>
          </w:tcPr>
          <w:p>
            <w:pPr>
              <w:pStyle w:val="0"/>
            </w:pPr>
            <w:r>
              <w:rPr>
                <w:sz w:val="20"/>
              </w:rPr>
              <w:t xml:space="preserve">Инженерные изыскания</w:t>
            </w:r>
          </w:p>
        </w:tc>
        <w:tc>
          <w:tcPr>
            <w:tcW w:w="1700" w:type="dxa"/>
            <w:vAlign w:val="center"/>
          </w:tcPr>
          <w:p>
            <w:pPr>
              <w:pStyle w:val="0"/>
            </w:pPr>
            <w:r>
              <w:rPr>
                <w:sz w:val="20"/>
              </w:rPr>
            </w:r>
          </w:p>
        </w:tc>
        <w:tc>
          <w:tcPr>
            <w:tcW w:w="1474" w:type="dxa"/>
            <w:vAlign w:val="center"/>
          </w:tcPr>
          <w:p>
            <w:pPr>
              <w:pStyle w:val="0"/>
            </w:pPr>
            <w:r>
              <w:rPr>
                <w:sz w:val="20"/>
              </w:rPr>
            </w:r>
          </w:p>
        </w:tc>
        <w:tc>
          <w:tcPr>
            <w:tcW w:w="1474" w:type="dxa"/>
            <w:vAlign w:val="center"/>
          </w:tcPr>
          <w:p>
            <w:pPr>
              <w:pStyle w:val="0"/>
            </w:pPr>
            <w:r>
              <w:rPr>
                <w:sz w:val="20"/>
              </w:rPr>
            </w:r>
          </w:p>
        </w:tc>
      </w:tr>
      <w:tr>
        <w:tc>
          <w:tcPr>
            <w:tcW w:w="680" w:type="dxa"/>
          </w:tcPr>
          <w:p>
            <w:pPr>
              <w:pStyle w:val="0"/>
            </w:pPr>
            <w:r>
              <w:rPr>
                <w:sz w:val="20"/>
              </w:rPr>
            </w:r>
          </w:p>
        </w:tc>
        <w:tc>
          <w:tcPr>
            <w:tcW w:w="3741" w:type="dxa"/>
            <w:vAlign w:val="bottom"/>
          </w:tcPr>
          <w:p>
            <w:pPr>
              <w:pStyle w:val="0"/>
            </w:pPr>
            <w:r>
              <w:rPr>
                <w:sz w:val="20"/>
              </w:rPr>
              <w:t xml:space="preserve">&lt;Наименование сметы на инженерные изыскания&gt;</w:t>
            </w:r>
          </w:p>
        </w:tc>
        <w:tc>
          <w:tcPr>
            <w:tcW w:w="1700" w:type="dxa"/>
            <w:vAlign w:val="center"/>
          </w:tcPr>
          <w:p>
            <w:pPr>
              <w:pStyle w:val="0"/>
            </w:pPr>
            <w:r>
              <w:rPr>
                <w:sz w:val="20"/>
              </w:rPr>
            </w:r>
          </w:p>
        </w:tc>
        <w:tc>
          <w:tcPr>
            <w:tcW w:w="1474" w:type="dxa"/>
            <w:vAlign w:val="center"/>
          </w:tcPr>
          <w:p>
            <w:pPr>
              <w:pStyle w:val="0"/>
              <w:jc w:val="center"/>
            </w:pPr>
            <w:r>
              <w:rPr>
                <w:sz w:val="20"/>
              </w:rPr>
              <w:t xml:space="preserve">&lt;X&gt;</w:t>
            </w:r>
          </w:p>
        </w:tc>
        <w:tc>
          <w:tcPr>
            <w:tcW w:w="1474" w:type="dxa"/>
            <w:vAlign w:val="center"/>
          </w:tcPr>
          <w:p>
            <w:pPr>
              <w:pStyle w:val="0"/>
            </w:pPr>
            <w:r>
              <w:rPr>
                <w:sz w:val="20"/>
              </w:rPr>
            </w:r>
          </w:p>
        </w:tc>
      </w:tr>
      <w:tr>
        <w:tc>
          <w:tcPr>
            <w:tcW w:w="680" w:type="dxa"/>
            <w:vAlign w:val="bottom"/>
          </w:tcPr>
          <w:p>
            <w:pPr>
              <w:pStyle w:val="0"/>
              <w:jc w:val="center"/>
            </w:pPr>
            <w:r>
              <w:rPr>
                <w:sz w:val="20"/>
              </w:rPr>
              <w:t xml:space="preserve">II</w:t>
            </w:r>
          </w:p>
        </w:tc>
        <w:tc>
          <w:tcPr>
            <w:tcW w:w="3741" w:type="dxa"/>
            <w:vAlign w:val="bottom"/>
          </w:tcPr>
          <w:p>
            <w:pPr>
              <w:pStyle w:val="0"/>
            </w:pPr>
            <w:r>
              <w:rPr>
                <w:sz w:val="20"/>
              </w:rPr>
              <w:t xml:space="preserve">Проектная документация</w:t>
            </w:r>
          </w:p>
        </w:tc>
        <w:tc>
          <w:tcPr>
            <w:tcW w:w="1700" w:type="dxa"/>
            <w:vAlign w:val="center"/>
          </w:tcPr>
          <w:p>
            <w:pPr>
              <w:pStyle w:val="0"/>
            </w:pPr>
            <w:r>
              <w:rPr>
                <w:sz w:val="20"/>
              </w:rPr>
            </w:r>
          </w:p>
        </w:tc>
        <w:tc>
          <w:tcPr>
            <w:tcW w:w="1474" w:type="dxa"/>
            <w:vAlign w:val="center"/>
          </w:tcPr>
          <w:p>
            <w:pPr>
              <w:pStyle w:val="0"/>
            </w:pPr>
            <w:r>
              <w:rPr>
                <w:sz w:val="20"/>
              </w:rPr>
            </w:r>
          </w:p>
        </w:tc>
        <w:tc>
          <w:tcPr>
            <w:tcW w:w="1474" w:type="dxa"/>
            <w:vAlign w:val="center"/>
          </w:tcPr>
          <w:p>
            <w:pPr>
              <w:pStyle w:val="0"/>
            </w:pPr>
            <w:r>
              <w:rPr>
                <w:sz w:val="20"/>
              </w:rPr>
            </w:r>
          </w:p>
        </w:tc>
      </w:tr>
      <w:tr>
        <w:tc>
          <w:tcPr>
            <w:tcW w:w="680" w:type="dxa"/>
          </w:tcPr>
          <w:p>
            <w:pPr>
              <w:pStyle w:val="0"/>
            </w:pPr>
            <w:r>
              <w:rPr>
                <w:sz w:val="20"/>
              </w:rPr>
            </w:r>
          </w:p>
        </w:tc>
        <w:tc>
          <w:tcPr>
            <w:tcW w:w="3741" w:type="dxa"/>
            <w:vAlign w:val="bottom"/>
          </w:tcPr>
          <w:p>
            <w:pPr>
              <w:pStyle w:val="0"/>
            </w:pPr>
            <w:r>
              <w:rPr>
                <w:sz w:val="20"/>
              </w:rPr>
              <w:t xml:space="preserve">&lt;Наименование сметы на проектные работы&gt;</w:t>
            </w:r>
          </w:p>
        </w:tc>
        <w:tc>
          <w:tcPr>
            <w:tcW w:w="1700" w:type="dxa"/>
            <w:vAlign w:val="center"/>
          </w:tcPr>
          <w:p>
            <w:pPr>
              <w:pStyle w:val="0"/>
            </w:pPr>
            <w:r>
              <w:rPr>
                <w:sz w:val="20"/>
              </w:rPr>
            </w:r>
          </w:p>
        </w:tc>
        <w:tc>
          <w:tcPr>
            <w:tcW w:w="1474" w:type="dxa"/>
            <w:vAlign w:val="center"/>
          </w:tcPr>
          <w:p>
            <w:pPr>
              <w:pStyle w:val="0"/>
            </w:pPr>
            <w:r>
              <w:rPr>
                <w:sz w:val="20"/>
              </w:rPr>
            </w:r>
          </w:p>
        </w:tc>
        <w:tc>
          <w:tcPr>
            <w:tcW w:w="1474" w:type="dxa"/>
            <w:vAlign w:val="center"/>
          </w:tcPr>
          <w:p>
            <w:pPr>
              <w:pStyle w:val="0"/>
              <w:jc w:val="center"/>
            </w:pPr>
            <w:r>
              <w:rPr>
                <w:sz w:val="20"/>
              </w:rPr>
              <w:t xml:space="preserve">&lt;X&gt;</w:t>
            </w:r>
          </w:p>
        </w:tc>
      </w:tr>
      <w:tr>
        <w:tc>
          <w:tcPr>
            <w:tcW w:w="680" w:type="dxa"/>
            <w:vAlign w:val="bottom"/>
          </w:tcPr>
          <w:p>
            <w:pPr>
              <w:pStyle w:val="0"/>
              <w:jc w:val="center"/>
            </w:pPr>
            <w:r>
              <w:rPr>
                <w:sz w:val="20"/>
              </w:rPr>
              <w:t xml:space="preserve">III</w:t>
            </w:r>
          </w:p>
        </w:tc>
        <w:tc>
          <w:tcPr>
            <w:tcW w:w="3741" w:type="dxa"/>
            <w:vAlign w:val="bottom"/>
          </w:tcPr>
          <w:p>
            <w:pPr>
              <w:pStyle w:val="0"/>
            </w:pPr>
            <w:r>
              <w:rPr>
                <w:sz w:val="20"/>
              </w:rPr>
              <w:t xml:space="preserve">Рабочая документация</w:t>
            </w:r>
          </w:p>
        </w:tc>
        <w:tc>
          <w:tcPr>
            <w:tcW w:w="1700" w:type="dxa"/>
            <w:vAlign w:val="center"/>
          </w:tcPr>
          <w:p>
            <w:pPr>
              <w:pStyle w:val="0"/>
            </w:pPr>
            <w:r>
              <w:rPr>
                <w:sz w:val="20"/>
              </w:rPr>
            </w:r>
          </w:p>
        </w:tc>
        <w:tc>
          <w:tcPr>
            <w:tcW w:w="1474" w:type="dxa"/>
            <w:vAlign w:val="center"/>
          </w:tcPr>
          <w:p>
            <w:pPr>
              <w:pStyle w:val="0"/>
            </w:pPr>
            <w:r>
              <w:rPr>
                <w:sz w:val="20"/>
              </w:rPr>
            </w:r>
          </w:p>
        </w:tc>
        <w:tc>
          <w:tcPr>
            <w:tcW w:w="1474" w:type="dxa"/>
            <w:vAlign w:val="center"/>
          </w:tcPr>
          <w:p>
            <w:pPr>
              <w:pStyle w:val="0"/>
            </w:pPr>
            <w:r>
              <w:rPr>
                <w:sz w:val="20"/>
              </w:rPr>
            </w:r>
          </w:p>
        </w:tc>
      </w:tr>
      <w:tr>
        <w:tc>
          <w:tcPr>
            <w:tcW w:w="680" w:type="dxa"/>
          </w:tcPr>
          <w:p>
            <w:pPr>
              <w:pStyle w:val="0"/>
            </w:pPr>
            <w:r>
              <w:rPr>
                <w:sz w:val="20"/>
              </w:rPr>
            </w:r>
          </w:p>
        </w:tc>
        <w:tc>
          <w:tcPr>
            <w:tcW w:w="3741" w:type="dxa"/>
            <w:vAlign w:val="bottom"/>
          </w:tcPr>
          <w:p>
            <w:pPr>
              <w:pStyle w:val="0"/>
            </w:pPr>
            <w:r>
              <w:rPr>
                <w:sz w:val="20"/>
              </w:rPr>
              <w:t xml:space="preserve">&lt;Наименование сметы на проектные работы&gt;</w:t>
            </w:r>
          </w:p>
        </w:tc>
        <w:tc>
          <w:tcPr>
            <w:tcW w:w="1700" w:type="dxa"/>
            <w:vAlign w:val="center"/>
          </w:tcPr>
          <w:p>
            <w:pPr>
              <w:pStyle w:val="0"/>
            </w:pPr>
            <w:r>
              <w:rPr>
                <w:sz w:val="20"/>
              </w:rPr>
            </w:r>
          </w:p>
        </w:tc>
        <w:tc>
          <w:tcPr>
            <w:tcW w:w="1474" w:type="dxa"/>
            <w:vAlign w:val="center"/>
          </w:tcPr>
          <w:p>
            <w:pPr>
              <w:pStyle w:val="0"/>
            </w:pPr>
            <w:r>
              <w:rPr>
                <w:sz w:val="20"/>
              </w:rPr>
            </w:r>
          </w:p>
        </w:tc>
        <w:tc>
          <w:tcPr>
            <w:tcW w:w="1474" w:type="dxa"/>
            <w:vAlign w:val="center"/>
          </w:tcPr>
          <w:p>
            <w:pPr>
              <w:pStyle w:val="0"/>
              <w:jc w:val="center"/>
            </w:pPr>
            <w:r>
              <w:rPr>
                <w:sz w:val="20"/>
              </w:rPr>
              <w:t xml:space="preserve">&lt;X&gt;</w:t>
            </w:r>
          </w:p>
        </w:tc>
      </w:tr>
      <w:tr>
        <w:tc>
          <w:tcPr>
            <w:tcW w:w="680" w:type="dxa"/>
          </w:tcPr>
          <w:p>
            <w:pPr>
              <w:pStyle w:val="0"/>
            </w:pPr>
            <w:r>
              <w:rPr>
                <w:sz w:val="20"/>
              </w:rPr>
            </w:r>
          </w:p>
        </w:tc>
        <w:tc>
          <w:tcPr>
            <w:tcW w:w="3741" w:type="dxa"/>
            <w:vAlign w:val="bottom"/>
          </w:tcPr>
          <w:p>
            <w:pPr>
              <w:pStyle w:val="0"/>
            </w:pPr>
            <w:r>
              <w:rPr>
                <w:sz w:val="20"/>
              </w:rPr>
              <w:t xml:space="preserve">Итого по видам работ</w:t>
            </w:r>
          </w:p>
        </w:tc>
        <w:tc>
          <w:tcPr>
            <w:tcW w:w="1700" w:type="dxa"/>
            <w:vAlign w:val="center"/>
          </w:tcPr>
          <w:p>
            <w:pPr>
              <w:pStyle w:val="0"/>
            </w:pPr>
            <w:r>
              <w:rPr>
                <w:sz w:val="20"/>
              </w:rPr>
            </w:r>
          </w:p>
        </w:tc>
        <w:tc>
          <w:tcPr>
            <w:tcW w:w="1474" w:type="dxa"/>
            <w:vAlign w:val="center"/>
          </w:tcPr>
          <w:p>
            <w:pPr>
              <w:pStyle w:val="0"/>
              <w:jc w:val="center"/>
            </w:pPr>
            <w:r>
              <w:rPr>
                <w:sz w:val="20"/>
              </w:rPr>
              <w:t xml:space="preserve">&lt;X&gt;</w:t>
            </w:r>
          </w:p>
        </w:tc>
        <w:tc>
          <w:tcPr>
            <w:tcW w:w="1474" w:type="dxa"/>
            <w:vAlign w:val="center"/>
          </w:tcPr>
          <w:p>
            <w:pPr>
              <w:pStyle w:val="0"/>
              <w:jc w:val="center"/>
            </w:pPr>
            <w:r>
              <w:rPr>
                <w:sz w:val="20"/>
              </w:rPr>
              <w:t xml:space="preserve">&lt;X&gt;</w:t>
            </w:r>
          </w:p>
        </w:tc>
      </w:tr>
      <w:tr>
        <w:tc>
          <w:tcPr>
            <w:tcW w:w="680" w:type="dxa"/>
          </w:tcPr>
          <w:p>
            <w:pPr>
              <w:pStyle w:val="0"/>
            </w:pPr>
            <w:r>
              <w:rPr>
                <w:sz w:val="20"/>
              </w:rPr>
            </w:r>
          </w:p>
        </w:tc>
        <w:tc>
          <w:tcPr>
            <w:tcW w:w="3741" w:type="dxa"/>
          </w:tcPr>
          <w:p>
            <w:pPr>
              <w:pStyle w:val="0"/>
            </w:pPr>
            <w:r>
              <w:rPr>
                <w:sz w:val="20"/>
              </w:rPr>
              <w:t xml:space="preserve">ВСЕГО</w:t>
            </w:r>
          </w:p>
        </w:tc>
        <w:tc>
          <w:tcPr>
            <w:tcW w:w="1700" w:type="dxa"/>
            <w:vAlign w:val="center"/>
          </w:tcPr>
          <w:p>
            <w:pPr>
              <w:pStyle w:val="0"/>
            </w:pPr>
            <w:r>
              <w:rPr>
                <w:sz w:val="20"/>
              </w:rPr>
            </w:r>
          </w:p>
        </w:tc>
        <w:tc>
          <w:tcPr>
            <w:gridSpan w:val="2"/>
            <w:tcW w:w="2948" w:type="dxa"/>
            <w:vAlign w:val="center"/>
          </w:tcPr>
          <w:p>
            <w:pPr>
              <w:pStyle w:val="0"/>
              <w:jc w:val="center"/>
            </w:pPr>
            <w:r>
              <w:rPr>
                <w:sz w:val="20"/>
              </w:rPr>
              <w:t xml:space="preserve">&lt;X&gt;</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644"/>
        <w:gridCol w:w="1644"/>
        <w:gridCol w:w="1077"/>
        <w:gridCol w:w="963"/>
        <w:gridCol w:w="3741"/>
      </w:tblGrid>
      <w:tr>
        <w:tc>
          <w:tcPr>
            <w:gridSpan w:val="2"/>
            <w:tcW w:w="3288" w:type="dxa"/>
            <w:tcBorders>
              <w:top w:val="nil"/>
              <w:left w:val="nil"/>
              <w:bottom w:val="nil"/>
              <w:right w:val="nil"/>
            </w:tcBorders>
          </w:tcPr>
          <w:p>
            <w:pPr>
              <w:pStyle w:val="0"/>
              <w:ind w:left="283"/>
            </w:pPr>
            <w:r>
              <w:rPr>
                <w:sz w:val="20"/>
              </w:rPr>
              <w:t xml:space="preserve">Руководитель</w:t>
            </w:r>
          </w:p>
          <w:p>
            <w:pPr>
              <w:pStyle w:val="0"/>
              <w:ind w:left="283"/>
            </w:pPr>
            <w:r>
              <w:rPr>
                <w:sz w:val="20"/>
              </w:rPr>
              <w:t xml:space="preserve">проектной организации</w:t>
            </w:r>
          </w:p>
        </w:tc>
        <w:tc>
          <w:tcPr>
            <w:gridSpan w:val="3"/>
            <w:tcW w:w="5781" w:type="dxa"/>
            <w:tcBorders>
              <w:top w:val="nil"/>
              <w:left w:val="nil"/>
              <w:bottom w:val="single" w:sz="4"/>
              <w:right w:val="nil"/>
            </w:tcBorders>
          </w:tcPr>
          <w:p>
            <w:pPr>
              <w:pStyle w:val="0"/>
            </w:pPr>
            <w:r>
              <w:rPr>
                <w:sz w:val="20"/>
              </w:rPr>
            </w:r>
          </w:p>
        </w:tc>
      </w:tr>
      <w:tr>
        <w:tc>
          <w:tcPr>
            <w:gridSpan w:val="2"/>
            <w:tcW w:w="3288" w:type="dxa"/>
            <w:tcBorders>
              <w:top w:val="nil"/>
              <w:left w:val="nil"/>
              <w:bottom w:val="nil"/>
              <w:right w:val="nil"/>
            </w:tcBorders>
          </w:tcPr>
          <w:p>
            <w:pPr>
              <w:pStyle w:val="0"/>
            </w:pPr>
            <w:r>
              <w:rPr>
                <w:sz w:val="20"/>
              </w:rPr>
            </w:r>
          </w:p>
        </w:tc>
        <w:tc>
          <w:tcPr>
            <w:gridSpan w:val="3"/>
            <w:tcW w:w="5781" w:type="dxa"/>
            <w:tcBorders>
              <w:top w:val="single" w:sz="4"/>
              <w:left w:val="nil"/>
              <w:bottom w:val="nil"/>
              <w:right w:val="nil"/>
            </w:tcBorders>
          </w:tcPr>
          <w:p>
            <w:pPr>
              <w:pStyle w:val="0"/>
              <w:jc w:val="center"/>
            </w:pPr>
            <w:r>
              <w:rPr>
                <w:sz w:val="20"/>
              </w:rPr>
              <w:t xml:space="preserve">[подпись (инициалы, фамилия)]</w:t>
            </w:r>
          </w:p>
        </w:tc>
      </w:tr>
      <w:tr>
        <w:tc>
          <w:tcPr>
            <w:gridSpan w:val="2"/>
            <w:tcW w:w="3288" w:type="dxa"/>
            <w:tcBorders>
              <w:top w:val="nil"/>
              <w:left w:val="nil"/>
              <w:bottom w:val="nil"/>
              <w:right w:val="nil"/>
            </w:tcBorders>
          </w:tcPr>
          <w:p>
            <w:pPr>
              <w:pStyle w:val="0"/>
              <w:ind w:left="283"/>
            </w:pPr>
            <w:r>
              <w:rPr>
                <w:sz w:val="20"/>
              </w:rPr>
              <w:t xml:space="preserve">Главный инженер проекта</w:t>
            </w:r>
          </w:p>
        </w:tc>
        <w:tc>
          <w:tcPr>
            <w:gridSpan w:val="3"/>
            <w:tcW w:w="5781" w:type="dxa"/>
            <w:tcBorders>
              <w:top w:val="nil"/>
              <w:left w:val="nil"/>
              <w:bottom w:val="single" w:sz="4"/>
              <w:right w:val="nil"/>
            </w:tcBorders>
          </w:tcPr>
          <w:p>
            <w:pPr>
              <w:pStyle w:val="0"/>
            </w:pPr>
            <w:r>
              <w:rPr>
                <w:sz w:val="20"/>
              </w:rPr>
            </w:r>
          </w:p>
        </w:tc>
      </w:tr>
      <w:tr>
        <w:tc>
          <w:tcPr>
            <w:gridSpan w:val="2"/>
            <w:tcW w:w="3288" w:type="dxa"/>
            <w:tcBorders>
              <w:top w:val="nil"/>
              <w:left w:val="nil"/>
              <w:bottom w:val="nil"/>
              <w:right w:val="nil"/>
            </w:tcBorders>
          </w:tcPr>
          <w:p>
            <w:pPr>
              <w:pStyle w:val="0"/>
            </w:pPr>
            <w:r>
              <w:rPr>
                <w:sz w:val="20"/>
              </w:rPr>
            </w:r>
          </w:p>
        </w:tc>
        <w:tc>
          <w:tcPr>
            <w:gridSpan w:val="3"/>
            <w:tcW w:w="5781" w:type="dxa"/>
            <w:tcBorders>
              <w:top w:val="single" w:sz="4"/>
              <w:left w:val="nil"/>
              <w:bottom w:val="nil"/>
              <w:right w:val="nil"/>
            </w:tcBorders>
          </w:tcPr>
          <w:p>
            <w:pPr>
              <w:pStyle w:val="0"/>
              <w:jc w:val="center"/>
            </w:pPr>
            <w:r>
              <w:rPr>
                <w:sz w:val="20"/>
              </w:rPr>
              <w:t xml:space="preserve">[подпись (инициалы, фамилия)]</w:t>
            </w:r>
          </w:p>
        </w:tc>
      </w:tr>
      <w:tr>
        <w:tc>
          <w:tcPr>
            <w:tcW w:w="1644" w:type="dxa"/>
            <w:tcBorders>
              <w:top w:val="nil"/>
              <w:left w:val="nil"/>
              <w:bottom w:val="nil"/>
              <w:right w:val="nil"/>
            </w:tcBorders>
          </w:tcPr>
          <w:p>
            <w:pPr>
              <w:pStyle w:val="0"/>
              <w:ind w:left="283"/>
            </w:pPr>
            <w:r>
              <w:rPr>
                <w:sz w:val="20"/>
              </w:rPr>
              <w:t xml:space="preserve">Начальник</w:t>
            </w:r>
          </w:p>
        </w:tc>
        <w:tc>
          <w:tcPr>
            <w:gridSpan w:val="2"/>
            <w:tcW w:w="2721" w:type="dxa"/>
            <w:tcBorders>
              <w:top w:val="nil"/>
              <w:left w:val="nil"/>
              <w:bottom w:val="single" w:sz="4"/>
              <w:right w:val="nil"/>
            </w:tcBorders>
          </w:tcPr>
          <w:p>
            <w:pPr>
              <w:pStyle w:val="0"/>
            </w:pPr>
            <w:r>
              <w:rPr>
                <w:sz w:val="20"/>
              </w:rPr>
            </w:r>
          </w:p>
        </w:tc>
        <w:tc>
          <w:tcPr>
            <w:tcW w:w="963" w:type="dxa"/>
            <w:tcBorders>
              <w:top w:val="nil"/>
              <w:left w:val="nil"/>
              <w:bottom w:val="nil"/>
              <w:right w:val="nil"/>
            </w:tcBorders>
          </w:tcPr>
          <w:p>
            <w:pPr>
              <w:pStyle w:val="0"/>
              <w:jc w:val="center"/>
            </w:pPr>
            <w:r>
              <w:rPr>
                <w:sz w:val="20"/>
              </w:rPr>
              <w:t xml:space="preserve">отдела</w:t>
            </w:r>
          </w:p>
        </w:tc>
        <w:tc>
          <w:tcPr>
            <w:tcW w:w="3741" w:type="dxa"/>
            <w:tcBorders>
              <w:top w:val="nil"/>
              <w:left w:val="nil"/>
              <w:bottom w:val="single" w:sz="4"/>
              <w:right w:val="nil"/>
            </w:tcBorders>
          </w:tcPr>
          <w:p>
            <w:pPr>
              <w:pStyle w:val="0"/>
            </w:pPr>
            <w:r>
              <w:rPr>
                <w:sz w:val="20"/>
              </w:rPr>
            </w:r>
          </w:p>
        </w:tc>
      </w:tr>
      <w:tr>
        <w:tc>
          <w:tcPr>
            <w:tcW w:w="1644" w:type="dxa"/>
            <w:tcBorders>
              <w:top w:val="nil"/>
              <w:left w:val="nil"/>
              <w:bottom w:val="nil"/>
              <w:right w:val="nil"/>
            </w:tcBorders>
          </w:tcPr>
          <w:p>
            <w:pPr>
              <w:pStyle w:val="0"/>
            </w:pPr>
            <w:r>
              <w:rPr>
                <w:sz w:val="20"/>
              </w:rPr>
            </w:r>
          </w:p>
        </w:tc>
        <w:tc>
          <w:tcPr>
            <w:gridSpan w:val="2"/>
            <w:tcW w:w="2721" w:type="dxa"/>
            <w:tcBorders>
              <w:top w:val="single" w:sz="4"/>
              <w:left w:val="nil"/>
              <w:bottom w:val="nil"/>
              <w:right w:val="nil"/>
            </w:tcBorders>
          </w:tcPr>
          <w:p>
            <w:pPr>
              <w:pStyle w:val="0"/>
              <w:jc w:val="center"/>
            </w:pPr>
            <w:r>
              <w:rPr>
                <w:sz w:val="20"/>
              </w:rPr>
              <w:t xml:space="preserve">(наименование)</w:t>
            </w:r>
          </w:p>
        </w:tc>
        <w:tc>
          <w:tcPr>
            <w:tcW w:w="963" w:type="dxa"/>
            <w:tcBorders>
              <w:top w:val="nil"/>
              <w:left w:val="nil"/>
              <w:bottom w:val="nil"/>
              <w:right w:val="nil"/>
            </w:tcBorders>
          </w:tcPr>
          <w:p>
            <w:pPr>
              <w:pStyle w:val="0"/>
            </w:pPr>
            <w:r>
              <w:rPr>
                <w:sz w:val="20"/>
              </w:rPr>
            </w:r>
          </w:p>
        </w:tc>
        <w:tc>
          <w:tcPr>
            <w:tcW w:w="3741" w:type="dxa"/>
            <w:tcBorders>
              <w:top w:val="single" w:sz="4"/>
              <w:left w:val="nil"/>
              <w:bottom w:val="nil"/>
              <w:right w:val="nil"/>
            </w:tcBorders>
          </w:tcPr>
          <w:p>
            <w:pPr>
              <w:pStyle w:val="0"/>
              <w:jc w:val="center"/>
            </w:pPr>
            <w:r>
              <w:rPr>
                <w:sz w:val="20"/>
              </w:rPr>
              <w:t xml:space="preserve">[подпись (инициалы, фамилия)]</w:t>
            </w:r>
          </w:p>
        </w:tc>
      </w:tr>
      <w:tr>
        <w:tc>
          <w:tcPr>
            <w:tcW w:w="1644" w:type="dxa"/>
            <w:tcBorders>
              <w:top w:val="nil"/>
              <w:left w:val="nil"/>
              <w:bottom w:val="nil"/>
              <w:right w:val="nil"/>
            </w:tcBorders>
          </w:tcPr>
          <w:p>
            <w:pPr>
              <w:pStyle w:val="0"/>
              <w:ind w:left="283"/>
            </w:pPr>
            <w:r>
              <w:rPr>
                <w:sz w:val="20"/>
              </w:rPr>
              <w:t xml:space="preserve">Заказчик</w:t>
            </w:r>
          </w:p>
        </w:tc>
        <w:tc>
          <w:tcPr>
            <w:gridSpan w:val="4"/>
            <w:tcW w:w="7425" w:type="dxa"/>
            <w:tcBorders>
              <w:top w:val="nil"/>
              <w:left w:val="nil"/>
              <w:bottom w:val="single" w:sz="4"/>
              <w:right w:val="nil"/>
            </w:tcBorders>
          </w:tcPr>
          <w:p>
            <w:pPr>
              <w:pStyle w:val="0"/>
            </w:pPr>
            <w:r>
              <w:rPr>
                <w:sz w:val="20"/>
              </w:rPr>
            </w:r>
          </w:p>
        </w:tc>
      </w:tr>
      <w:tr>
        <w:tc>
          <w:tcPr>
            <w:tcW w:w="1644" w:type="dxa"/>
            <w:tcBorders>
              <w:top w:val="nil"/>
              <w:left w:val="nil"/>
              <w:bottom w:val="nil"/>
              <w:right w:val="nil"/>
            </w:tcBorders>
          </w:tcPr>
          <w:p>
            <w:pPr>
              <w:pStyle w:val="0"/>
            </w:pPr>
            <w:r>
              <w:rPr>
                <w:sz w:val="20"/>
              </w:rPr>
            </w:r>
          </w:p>
        </w:tc>
        <w:tc>
          <w:tcPr>
            <w:gridSpan w:val="4"/>
            <w:tcW w:w="7425" w:type="dxa"/>
            <w:tcBorders>
              <w:top w:val="single" w:sz="4"/>
              <w:left w:val="nil"/>
              <w:bottom w:val="nil"/>
              <w:right w:val="nil"/>
            </w:tcBorders>
          </w:tcPr>
          <w:p>
            <w:pPr>
              <w:pStyle w:val="0"/>
              <w:jc w:val="center"/>
            </w:pPr>
            <w:r>
              <w:rPr>
                <w:sz w:val="20"/>
              </w:rPr>
              <w:t xml:space="preserve">[должность, подпись (инициалы, фамилия)]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8"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10392" w:name="P10392"/>
    <w:bookmarkEnd w:id="10392"/>
    <w:p>
      <w:pPr>
        <w:pStyle w:val="1"/>
        <w:jc w:val="both"/>
      </w:pPr>
      <w:r>
        <w:rPr>
          <w:sz w:val="20"/>
        </w:rPr>
        <w:t xml:space="preserve">                 Сопоставительная ведомость объемов работ</w:t>
      </w:r>
    </w:p>
    <w:p>
      <w:pPr>
        <w:pStyle w:val="1"/>
        <w:jc w:val="both"/>
      </w:pPr>
      <w:r>
        <w:rPr>
          <w:sz w:val="20"/>
        </w:rPr>
      </w:r>
    </w:p>
    <w:p>
      <w:pPr>
        <w:pStyle w:val="1"/>
        <w:jc w:val="both"/>
      </w:pPr>
      <w:r>
        <w:rPr>
          <w:sz w:val="20"/>
        </w:rPr>
        <w:t xml:space="preserve">Заказчик _______________________________________________</w:t>
      </w:r>
    </w:p>
    <w:p>
      <w:pPr>
        <w:pStyle w:val="1"/>
        <w:jc w:val="both"/>
      </w:pPr>
      <w:r>
        <w:rPr>
          <w:sz w:val="20"/>
        </w:rPr>
        <w:t xml:space="preserve">                           (наименование организации)</w:t>
      </w:r>
    </w:p>
    <w:p>
      <w:pPr>
        <w:pStyle w:val="1"/>
        <w:jc w:val="both"/>
      </w:pPr>
      <w:r>
        <w:rPr>
          <w:sz w:val="20"/>
        </w:rPr>
        <w:t xml:space="preserve">_____________________________________________________</w:t>
      </w:r>
    </w:p>
    <w:p>
      <w:pPr>
        <w:pStyle w:val="1"/>
        <w:jc w:val="both"/>
      </w:pPr>
      <w:r>
        <w:rPr>
          <w:sz w:val="20"/>
        </w:rPr>
        <w:t xml:space="preserve">                           (наименование стройки)</w:t>
      </w:r>
    </w:p>
    <w:p>
      <w:pPr>
        <w:pStyle w:val="1"/>
        <w:jc w:val="both"/>
      </w:pPr>
      <w:r>
        <w:rPr>
          <w:sz w:val="20"/>
        </w:rPr>
      </w:r>
    </w:p>
    <w:p>
      <w:pPr>
        <w:pStyle w:val="1"/>
        <w:jc w:val="both"/>
      </w:pPr>
      <w:r>
        <w:rPr>
          <w:sz w:val="20"/>
        </w:rPr>
        <w:t xml:space="preserve">Дата составления __ __________ 20__ г.</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1"/>
        <w:gridCol w:w="794"/>
        <w:gridCol w:w="1644"/>
        <w:gridCol w:w="1020"/>
        <w:gridCol w:w="672"/>
        <w:gridCol w:w="1325"/>
        <w:gridCol w:w="1330"/>
        <w:gridCol w:w="1402"/>
        <w:gridCol w:w="1219"/>
        <w:gridCol w:w="907"/>
        <w:gridCol w:w="1315"/>
        <w:gridCol w:w="1330"/>
      </w:tblGrid>
      <w:tr>
        <w:tc>
          <w:tcPr>
            <w:tcW w:w="581" w:type="dxa"/>
            <w:vMerge w:val="restart"/>
          </w:tcPr>
          <w:p>
            <w:pPr>
              <w:pStyle w:val="0"/>
              <w:jc w:val="center"/>
            </w:pPr>
            <w:r>
              <w:rPr>
                <w:sz w:val="20"/>
              </w:rPr>
              <w:t xml:space="preserve">N п/п</w:t>
            </w:r>
          </w:p>
        </w:tc>
        <w:tc>
          <w:tcPr>
            <w:gridSpan w:val="2"/>
            <w:tcW w:w="2438" w:type="dxa"/>
          </w:tcPr>
          <w:p>
            <w:pPr>
              <w:pStyle w:val="0"/>
              <w:jc w:val="center"/>
            </w:pPr>
            <w:r>
              <w:rPr>
                <w:sz w:val="20"/>
              </w:rPr>
              <w:t xml:space="preserve">Данные сметного расчета (сметы)</w:t>
            </w:r>
          </w:p>
        </w:tc>
        <w:tc>
          <w:tcPr>
            <w:tcW w:w="1020" w:type="dxa"/>
            <w:vMerge w:val="restart"/>
          </w:tcPr>
          <w:p>
            <w:pPr>
              <w:pStyle w:val="0"/>
              <w:jc w:val="center"/>
            </w:pPr>
            <w:r>
              <w:rPr>
                <w:sz w:val="20"/>
              </w:rPr>
              <w:t xml:space="preserve">Наименование работ и затрат</w:t>
            </w:r>
          </w:p>
        </w:tc>
        <w:tc>
          <w:tcPr>
            <w:tcW w:w="672" w:type="dxa"/>
            <w:vMerge w:val="restart"/>
          </w:tcPr>
          <w:p>
            <w:pPr>
              <w:pStyle w:val="0"/>
              <w:jc w:val="center"/>
            </w:pPr>
            <w:r>
              <w:rPr>
                <w:sz w:val="20"/>
              </w:rPr>
              <w:t xml:space="preserve">Ед. изм.</w:t>
            </w:r>
          </w:p>
        </w:tc>
        <w:tc>
          <w:tcPr>
            <w:gridSpan w:val="2"/>
            <w:tcW w:w="2655" w:type="dxa"/>
          </w:tcPr>
          <w:p>
            <w:pPr>
              <w:pStyle w:val="0"/>
              <w:jc w:val="center"/>
            </w:pPr>
            <w:r>
              <w:rPr>
                <w:sz w:val="20"/>
              </w:rPr>
              <w:t xml:space="preserve">Объем работ в сметной документации</w:t>
            </w:r>
          </w:p>
        </w:tc>
        <w:tc>
          <w:tcPr>
            <w:gridSpan w:val="2"/>
            <w:tcW w:w="2621" w:type="dxa"/>
          </w:tcPr>
          <w:p>
            <w:pPr>
              <w:pStyle w:val="0"/>
              <w:jc w:val="center"/>
            </w:pPr>
            <w:r>
              <w:rPr>
                <w:sz w:val="20"/>
              </w:rPr>
              <w:t xml:space="preserve">Изменение объемов работ</w:t>
            </w:r>
          </w:p>
        </w:tc>
        <w:tc>
          <w:tcPr>
            <w:tcW w:w="907" w:type="dxa"/>
            <w:vMerge w:val="restart"/>
          </w:tcPr>
          <w:p>
            <w:pPr>
              <w:pStyle w:val="0"/>
              <w:jc w:val="center"/>
            </w:pPr>
            <w:r>
              <w:rPr>
                <w:sz w:val="20"/>
              </w:rPr>
              <w:t xml:space="preserve">Обоснование изменений</w:t>
            </w:r>
          </w:p>
        </w:tc>
        <w:tc>
          <w:tcPr>
            <w:gridSpan w:val="2"/>
            <w:tcW w:w="2645" w:type="dxa"/>
          </w:tcPr>
          <w:p>
            <w:pPr>
              <w:pStyle w:val="0"/>
              <w:jc w:val="center"/>
            </w:pPr>
            <w:r>
              <w:rPr>
                <w:sz w:val="20"/>
              </w:rPr>
              <w:t xml:space="preserve">Ссылка на техническую документацию</w:t>
            </w:r>
          </w:p>
        </w:tc>
      </w:tr>
      <w:tr>
        <w:tc>
          <w:tcPr>
            <w:vMerge w:val="continue"/>
          </w:tcPr>
          <w:p/>
        </w:tc>
        <w:tc>
          <w:tcPr>
            <w:tcW w:w="794" w:type="dxa"/>
          </w:tcPr>
          <w:p>
            <w:pPr>
              <w:pStyle w:val="0"/>
              <w:jc w:val="center"/>
            </w:pPr>
            <w:r>
              <w:rPr>
                <w:sz w:val="20"/>
              </w:rPr>
              <w:t xml:space="preserve">номер</w:t>
            </w:r>
          </w:p>
        </w:tc>
        <w:tc>
          <w:tcPr>
            <w:tcW w:w="1644" w:type="dxa"/>
          </w:tcPr>
          <w:p>
            <w:pPr>
              <w:pStyle w:val="0"/>
              <w:jc w:val="center"/>
            </w:pPr>
            <w:r>
              <w:rPr>
                <w:sz w:val="20"/>
              </w:rPr>
              <w:t xml:space="preserve">наименование</w:t>
            </w:r>
          </w:p>
        </w:tc>
        <w:tc>
          <w:tcPr>
            <w:vMerge w:val="continue"/>
          </w:tcPr>
          <w:p/>
        </w:tc>
        <w:tc>
          <w:tcPr>
            <w:vMerge w:val="continue"/>
          </w:tcPr>
          <w:p/>
        </w:tc>
        <w:tc>
          <w:tcPr>
            <w:tcW w:w="1325" w:type="dxa"/>
          </w:tcPr>
          <w:p>
            <w:pPr>
              <w:pStyle w:val="0"/>
              <w:jc w:val="center"/>
            </w:pPr>
            <w:r>
              <w:rPr>
                <w:sz w:val="20"/>
              </w:rPr>
              <w:t xml:space="preserve">до изменений</w:t>
            </w:r>
          </w:p>
        </w:tc>
        <w:tc>
          <w:tcPr>
            <w:tcW w:w="1330" w:type="dxa"/>
          </w:tcPr>
          <w:p>
            <w:pPr>
              <w:pStyle w:val="0"/>
              <w:jc w:val="center"/>
            </w:pPr>
            <w:r>
              <w:rPr>
                <w:sz w:val="20"/>
              </w:rPr>
              <w:t xml:space="preserve">с учетом изменений</w:t>
            </w:r>
          </w:p>
        </w:tc>
        <w:tc>
          <w:tcPr>
            <w:tcW w:w="1402" w:type="dxa"/>
          </w:tcPr>
          <w:p>
            <w:pPr>
              <w:pStyle w:val="0"/>
              <w:jc w:val="center"/>
            </w:pPr>
            <w:r>
              <w:rPr>
                <w:sz w:val="20"/>
              </w:rPr>
              <w:t xml:space="preserve">увеличение</w:t>
            </w:r>
          </w:p>
        </w:tc>
        <w:tc>
          <w:tcPr>
            <w:tcW w:w="1219" w:type="dxa"/>
          </w:tcPr>
          <w:p>
            <w:pPr>
              <w:pStyle w:val="0"/>
              <w:jc w:val="center"/>
            </w:pPr>
            <w:r>
              <w:rPr>
                <w:sz w:val="20"/>
              </w:rPr>
              <w:t xml:space="preserve">снижение</w:t>
            </w:r>
          </w:p>
        </w:tc>
        <w:tc>
          <w:tcPr>
            <w:vMerge w:val="continue"/>
          </w:tcPr>
          <w:p/>
        </w:tc>
        <w:tc>
          <w:tcPr>
            <w:tcW w:w="1315" w:type="dxa"/>
          </w:tcPr>
          <w:p>
            <w:pPr>
              <w:pStyle w:val="0"/>
              <w:jc w:val="center"/>
            </w:pPr>
            <w:r>
              <w:rPr>
                <w:sz w:val="20"/>
              </w:rPr>
              <w:t xml:space="preserve">до изменений</w:t>
            </w:r>
          </w:p>
        </w:tc>
        <w:tc>
          <w:tcPr>
            <w:tcW w:w="1330" w:type="dxa"/>
          </w:tcPr>
          <w:p>
            <w:pPr>
              <w:pStyle w:val="0"/>
              <w:jc w:val="center"/>
            </w:pPr>
            <w:r>
              <w:rPr>
                <w:sz w:val="20"/>
              </w:rPr>
              <w:t xml:space="preserve">с учетом изменений</w:t>
            </w:r>
          </w:p>
        </w:tc>
      </w:tr>
      <w:tr>
        <w:tc>
          <w:tcPr>
            <w:tcW w:w="581" w:type="dxa"/>
          </w:tcPr>
          <w:p>
            <w:pPr>
              <w:pStyle w:val="0"/>
              <w:jc w:val="center"/>
            </w:pPr>
            <w:r>
              <w:rPr>
                <w:sz w:val="20"/>
              </w:rPr>
              <w:t xml:space="preserve">1</w:t>
            </w:r>
          </w:p>
        </w:tc>
        <w:tc>
          <w:tcPr>
            <w:tcW w:w="794" w:type="dxa"/>
          </w:tcPr>
          <w:p>
            <w:pPr>
              <w:pStyle w:val="0"/>
              <w:jc w:val="center"/>
            </w:pPr>
            <w:r>
              <w:rPr>
                <w:sz w:val="20"/>
              </w:rPr>
              <w:t xml:space="preserve">2</w:t>
            </w:r>
          </w:p>
        </w:tc>
        <w:tc>
          <w:tcPr>
            <w:tcW w:w="1644" w:type="dxa"/>
          </w:tcPr>
          <w:p>
            <w:pPr>
              <w:pStyle w:val="0"/>
              <w:jc w:val="center"/>
            </w:pPr>
            <w:r>
              <w:rPr>
                <w:sz w:val="20"/>
              </w:rPr>
              <w:t xml:space="preserve">3</w:t>
            </w:r>
          </w:p>
        </w:tc>
        <w:tc>
          <w:tcPr>
            <w:tcW w:w="1020" w:type="dxa"/>
          </w:tcPr>
          <w:p>
            <w:pPr>
              <w:pStyle w:val="0"/>
              <w:jc w:val="center"/>
            </w:pPr>
            <w:r>
              <w:rPr>
                <w:sz w:val="20"/>
              </w:rPr>
              <w:t xml:space="preserve">4</w:t>
            </w:r>
          </w:p>
        </w:tc>
        <w:tc>
          <w:tcPr>
            <w:tcW w:w="672" w:type="dxa"/>
          </w:tcPr>
          <w:p>
            <w:pPr>
              <w:pStyle w:val="0"/>
              <w:jc w:val="center"/>
            </w:pPr>
            <w:r>
              <w:rPr>
                <w:sz w:val="20"/>
              </w:rPr>
              <w:t xml:space="preserve">5</w:t>
            </w:r>
          </w:p>
        </w:tc>
        <w:tc>
          <w:tcPr>
            <w:tcW w:w="1325" w:type="dxa"/>
          </w:tcPr>
          <w:bookmarkStart w:id="10422" w:name="P10422"/>
          <w:bookmarkEnd w:id="10422"/>
          <w:p>
            <w:pPr>
              <w:pStyle w:val="0"/>
              <w:jc w:val="center"/>
            </w:pPr>
            <w:r>
              <w:rPr>
                <w:sz w:val="20"/>
              </w:rPr>
              <w:t xml:space="preserve">6</w:t>
            </w:r>
          </w:p>
        </w:tc>
        <w:tc>
          <w:tcPr>
            <w:tcW w:w="1330" w:type="dxa"/>
          </w:tcPr>
          <w:bookmarkStart w:id="10423" w:name="P10423"/>
          <w:bookmarkEnd w:id="10423"/>
          <w:p>
            <w:pPr>
              <w:pStyle w:val="0"/>
              <w:jc w:val="center"/>
            </w:pPr>
            <w:r>
              <w:rPr>
                <w:sz w:val="20"/>
              </w:rPr>
              <w:t xml:space="preserve">7</w:t>
            </w:r>
          </w:p>
        </w:tc>
        <w:tc>
          <w:tcPr>
            <w:tcW w:w="1402" w:type="dxa"/>
          </w:tcPr>
          <w:bookmarkStart w:id="10424" w:name="P10424"/>
          <w:bookmarkEnd w:id="10424"/>
          <w:p>
            <w:pPr>
              <w:pStyle w:val="0"/>
              <w:jc w:val="center"/>
            </w:pPr>
            <w:r>
              <w:rPr>
                <w:sz w:val="20"/>
              </w:rPr>
              <w:t xml:space="preserve">8</w:t>
            </w:r>
          </w:p>
        </w:tc>
        <w:tc>
          <w:tcPr>
            <w:tcW w:w="1219" w:type="dxa"/>
          </w:tcPr>
          <w:bookmarkStart w:id="10425" w:name="P10425"/>
          <w:bookmarkEnd w:id="10425"/>
          <w:p>
            <w:pPr>
              <w:pStyle w:val="0"/>
              <w:jc w:val="center"/>
            </w:pPr>
            <w:r>
              <w:rPr>
                <w:sz w:val="20"/>
              </w:rPr>
              <w:t xml:space="preserve">9</w:t>
            </w:r>
          </w:p>
        </w:tc>
        <w:tc>
          <w:tcPr>
            <w:tcW w:w="907" w:type="dxa"/>
          </w:tcPr>
          <w:bookmarkStart w:id="10426" w:name="P10426"/>
          <w:bookmarkEnd w:id="10426"/>
          <w:p>
            <w:pPr>
              <w:pStyle w:val="0"/>
              <w:jc w:val="center"/>
            </w:pPr>
            <w:r>
              <w:rPr>
                <w:sz w:val="20"/>
              </w:rPr>
              <w:t xml:space="preserve">10</w:t>
            </w:r>
          </w:p>
        </w:tc>
        <w:tc>
          <w:tcPr>
            <w:tcW w:w="1315" w:type="dxa"/>
          </w:tcPr>
          <w:bookmarkStart w:id="10427" w:name="P10427"/>
          <w:bookmarkEnd w:id="10427"/>
          <w:p>
            <w:pPr>
              <w:pStyle w:val="0"/>
              <w:jc w:val="center"/>
            </w:pPr>
            <w:r>
              <w:rPr>
                <w:sz w:val="20"/>
              </w:rPr>
              <w:t xml:space="preserve">11</w:t>
            </w:r>
          </w:p>
        </w:tc>
        <w:tc>
          <w:tcPr>
            <w:tcW w:w="1330" w:type="dxa"/>
          </w:tcPr>
          <w:bookmarkStart w:id="10428" w:name="P10428"/>
          <w:bookmarkEnd w:id="10428"/>
          <w:p>
            <w:pPr>
              <w:pStyle w:val="0"/>
              <w:jc w:val="center"/>
            </w:pPr>
            <w:r>
              <w:rPr>
                <w:sz w:val="20"/>
              </w:rPr>
              <w:t xml:space="preserve">12</w:t>
            </w:r>
          </w:p>
        </w:tc>
      </w:tr>
      <w:tr>
        <w:tc>
          <w:tcPr>
            <w:tcW w:w="581"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672" w:type="dxa"/>
          </w:tcPr>
          <w:p>
            <w:pPr>
              <w:pStyle w:val="0"/>
            </w:pPr>
            <w:r>
              <w:rPr>
                <w:sz w:val="20"/>
              </w:rPr>
            </w:r>
          </w:p>
        </w:tc>
        <w:tc>
          <w:tcPr>
            <w:tcW w:w="1325" w:type="dxa"/>
          </w:tcPr>
          <w:p>
            <w:pPr>
              <w:pStyle w:val="0"/>
            </w:pPr>
            <w:r>
              <w:rPr>
                <w:sz w:val="20"/>
              </w:rPr>
            </w:r>
          </w:p>
        </w:tc>
        <w:tc>
          <w:tcPr>
            <w:tcW w:w="1330" w:type="dxa"/>
          </w:tcPr>
          <w:p>
            <w:pPr>
              <w:pStyle w:val="0"/>
            </w:pPr>
            <w:r>
              <w:rPr>
                <w:sz w:val="20"/>
              </w:rPr>
            </w:r>
          </w:p>
        </w:tc>
        <w:tc>
          <w:tcPr>
            <w:tcW w:w="1402" w:type="dxa"/>
          </w:tcPr>
          <w:p>
            <w:pPr>
              <w:pStyle w:val="0"/>
            </w:pPr>
            <w:r>
              <w:rPr>
                <w:sz w:val="20"/>
              </w:rPr>
            </w:r>
          </w:p>
        </w:tc>
        <w:tc>
          <w:tcPr>
            <w:tcW w:w="1219" w:type="dxa"/>
          </w:tcPr>
          <w:p>
            <w:pPr>
              <w:pStyle w:val="0"/>
            </w:pPr>
            <w:r>
              <w:rPr>
                <w:sz w:val="20"/>
              </w:rPr>
            </w:r>
          </w:p>
        </w:tc>
        <w:tc>
          <w:tcPr>
            <w:tcW w:w="907" w:type="dxa"/>
          </w:tcPr>
          <w:p>
            <w:pPr>
              <w:pStyle w:val="0"/>
            </w:pPr>
            <w:r>
              <w:rPr>
                <w:sz w:val="20"/>
              </w:rPr>
            </w:r>
          </w:p>
        </w:tc>
        <w:tc>
          <w:tcPr>
            <w:tcW w:w="1315" w:type="dxa"/>
          </w:tcPr>
          <w:p>
            <w:pPr>
              <w:pStyle w:val="0"/>
            </w:pPr>
            <w:r>
              <w:rPr>
                <w:sz w:val="20"/>
              </w:rPr>
            </w:r>
          </w:p>
        </w:tc>
        <w:tc>
          <w:tcPr>
            <w:tcW w:w="1330" w:type="dxa"/>
          </w:tcPr>
          <w:p>
            <w:pPr>
              <w:pStyle w:val="0"/>
            </w:pPr>
            <w:r>
              <w:rPr>
                <w:sz w:val="20"/>
              </w:rPr>
            </w:r>
          </w:p>
        </w:tc>
      </w:tr>
      <w:tr>
        <w:tc>
          <w:tcPr>
            <w:tcW w:w="581"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672" w:type="dxa"/>
          </w:tcPr>
          <w:p>
            <w:pPr>
              <w:pStyle w:val="0"/>
            </w:pPr>
            <w:r>
              <w:rPr>
                <w:sz w:val="20"/>
              </w:rPr>
            </w:r>
          </w:p>
        </w:tc>
        <w:tc>
          <w:tcPr>
            <w:tcW w:w="1325" w:type="dxa"/>
          </w:tcPr>
          <w:p>
            <w:pPr>
              <w:pStyle w:val="0"/>
            </w:pPr>
            <w:r>
              <w:rPr>
                <w:sz w:val="20"/>
              </w:rPr>
            </w:r>
          </w:p>
        </w:tc>
        <w:tc>
          <w:tcPr>
            <w:tcW w:w="1330" w:type="dxa"/>
          </w:tcPr>
          <w:p>
            <w:pPr>
              <w:pStyle w:val="0"/>
            </w:pPr>
            <w:r>
              <w:rPr>
                <w:sz w:val="20"/>
              </w:rPr>
            </w:r>
          </w:p>
        </w:tc>
        <w:tc>
          <w:tcPr>
            <w:tcW w:w="1402" w:type="dxa"/>
          </w:tcPr>
          <w:p>
            <w:pPr>
              <w:pStyle w:val="0"/>
            </w:pPr>
            <w:r>
              <w:rPr>
                <w:sz w:val="20"/>
              </w:rPr>
            </w:r>
          </w:p>
        </w:tc>
        <w:tc>
          <w:tcPr>
            <w:tcW w:w="1219" w:type="dxa"/>
          </w:tcPr>
          <w:p>
            <w:pPr>
              <w:pStyle w:val="0"/>
            </w:pPr>
            <w:r>
              <w:rPr>
                <w:sz w:val="20"/>
              </w:rPr>
            </w:r>
          </w:p>
        </w:tc>
        <w:tc>
          <w:tcPr>
            <w:tcW w:w="907" w:type="dxa"/>
          </w:tcPr>
          <w:p>
            <w:pPr>
              <w:pStyle w:val="0"/>
            </w:pPr>
            <w:r>
              <w:rPr>
                <w:sz w:val="20"/>
              </w:rPr>
            </w:r>
          </w:p>
        </w:tc>
        <w:tc>
          <w:tcPr>
            <w:tcW w:w="1315" w:type="dxa"/>
          </w:tcPr>
          <w:p>
            <w:pPr>
              <w:pStyle w:val="0"/>
            </w:pPr>
            <w:r>
              <w:rPr>
                <w:sz w:val="20"/>
              </w:rPr>
            </w:r>
          </w:p>
        </w:tc>
        <w:tc>
          <w:tcPr>
            <w:tcW w:w="1330" w:type="dxa"/>
          </w:tcPr>
          <w:p>
            <w:pPr>
              <w:pStyle w:val="0"/>
            </w:pPr>
            <w:r>
              <w:rPr>
                <w:sz w:val="20"/>
              </w:rPr>
            </w:r>
          </w:p>
        </w:tc>
      </w:tr>
      <w:tr>
        <w:tc>
          <w:tcPr>
            <w:tcW w:w="581"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020" w:type="dxa"/>
          </w:tcPr>
          <w:p>
            <w:pPr>
              <w:pStyle w:val="0"/>
            </w:pPr>
            <w:r>
              <w:rPr>
                <w:sz w:val="20"/>
              </w:rPr>
            </w:r>
          </w:p>
        </w:tc>
        <w:tc>
          <w:tcPr>
            <w:tcW w:w="672" w:type="dxa"/>
          </w:tcPr>
          <w:p>
            <w:pPr>
              <w:pStyle w:val="0"/>
            </w:pPr>
            <w:r>
              <w:rPr>
                <w:sz w:val="20"/>
              </w:rPr>
            </w:r>
          </w:p>
        </w:tc>
        <w:tc>
          <w:tcPr>
            <w:tcW w:w="1325" w:type="dxa"/>
          </w:tcPr>
          <w:p>
            <w:pPr>
              <w:pStyle w:val="0"/>
            </w:pPr>
            <w:r>
              <w:rPr>
                <w:sz w:val="20"/>
              </w:rPr>
            </w:r>
          </w:p>
        </w:tc>
        <w:tc>
          <w:tcPr>
            <w:tcW w:w="1330" w:type="dxa"/>
          </w:tcPr>
          <w:p>
            <w:pPr>
              <w:pStyle w:val="0"/>
            </w:pPr>
            <w:r>
              <w:rPr>
                <w:sz w:val="20"/>
              </w:rPr>
            </w:r>
          </w:p>
        </w:tc>
        <w:tc>
          <w:tcPr>
            <w:tcW w:w="1402" w:type="dxa"/>
          </w:tcPr>
          <w:p>
            <w:pPr>
              <w:pStyle w:val="0"/>
            </w:pPr>
            <w:r>
              <w:rPr>
                <w:sz w:val="20"/>
              </w:rPr>
            </w:r>
          </w:p>
        </w:tc>
        <w:tc>
          <w:tcPr>
            <w:tcW w:w="1219" w:type="dxa"/>
          </w:tcPr>
          <w:p>
            <w:pPr>
              <w:pStyle w:val="0"/>
            </w:pPr>
            <w:r>
              <w:rPr>
                <w:sz w:val="20"/>
              </w:rPr>
            </w:r>
          </w:p>
        </w:tc>
        <w:tc>
          <w:tcPr>
            <w:tcW w:w="907" w:type="dxa"/>
          </w:tcPr>
          <w:p>
            <w:pPr>
              <w:pStyle w:val="0"/>
            </w:pPr>
            <w:r>
              <w:rPr>
                <w:sz w:val="20"/>
              </w:rPr>
            </w:r>
          </w:p>
        </w:tc>
        <w:tc>
          <w:tcPr>
            <w:tcW w:w="1315" w:type="dxa"/>
          </w:tcPr>
          <w:p>
            <w:pPr>
              <w:pStyle w:val="0"/>
            </w:pPr>
            <w:r>
              <w:rPr>
                <w:sz w:val="20"/>
              </w:rPr>
            </w:r>
          </w:p>
        </w:tc>
        <w:tc>
          <w:tcPr>
            <w:tcW w:w="1330" w:type="dxa"/>
          </w:tcPr>
          <w:p>
            <w:pPr>
              <w:pStyle w:val="0"/>
            </w:pPr>
            <w:r>
              <w:rPr>
                <w:sz w:val="20"/>
              </w:rPr>
            </w:r>
          </w:p>
        </w:tc>
      </w:tr>
    </w:tbl>
    <w:p>
      <w:pPr>
        <w:pStyle w:val="0"/>
        <w:jc w:val="both"/>
      </w:pPr>
      <w:r>
        <w:rPr>
          <w:sz w:val="20"/>
        </w:rPr>
      </w:r>
    </w:p>
    <w:p>
      <w:pPr>
        <w:pStyle w:val="1"/>
        <w:jc w:val="both"/>
      </w:pPr>
      <w:r>
        <w:rPr>
          <w:sz w:val="20"/>
        </w:rPr>
        <w:t xml:space="preserve">    Составил _________________________________________</w:t>
      </w:r>
    </w:p>
    <w:p>
      <w:pPr>
        <w:pStyle w:val="1"/>
        <w:jc w:val="both"/>
      </w:pPr>
      <w:r>
        <w:rPr>
          <w:sz w:val="20"/>
        </w:rPr>
        <w:t xml:space="preserve">              [должность, подпись (инициалы, фамилия)]</w:t>
      </w:r>
    </w:p>
    <w:p>
      <w:pPr>
        <w:pStyle w:val="1"/>
        <w:jc w:val="both"/>
      </w:pPr>
      <w:r>
        <w:rPr>
          <w:sz w:val="20"/>
        </w:rPr>
        <w:t xml:space="preserve">    Проверил _________________________________________</w:t>
      </w:r>
    </w:p>
    <w:p>
      <w:pPr>
        <w:pStyle w:val="1"/>
        <w:jc w:val="both"/>
      </w:pPr>
      <w:r>
        <w:rPr>
          <w:sz w:val="20"/>
        </w:rPr>
        <w:t xml:space="preserve">              [должность, подпись (инициалы, фамилия)]</w:t>
      </w:r>
    </w:p>
    <w:p>
      <w:pPr>
        <w:pStyle w:val="1"/>
        <w:jc w:val="both"/>
      </w:pPr>
      <w:r>
        <w:rPr>
          <w:sz w:val="20"/>
        </w:rPr>
      </w:r>
    </w:p>
    <w:p>
      <w:pPr>
        <w:pStyle w:val="1"/>
        <w:jc w:val="both"/>
      </w:pPr>
      <w:r>
        <w:rPr>
          <w:sz w:val="20"/>
        </w:rPr>
        <w:t xml:space="preserve">Примечание</w:t>
      </w:r>
    </w:p>
    <w:p>
      <w:pPr>
        <w:pStyle w:val="1"/>
        <w:jc w:val="both"/>
      </w:pPr>
      <w:r>
        <w:rPr>
          <w:sz w:val="20"/>
        </w:rPr>
        <w:t xml:space="preserve">    1. В </w:t>
      </w:r>
      <w:hyperlink w:history="0" w:anchor="P10426" w:tooltip="10">
        <w:r>
          <w:rPr>
            <w:sz w:val="20"/>
            <w:color w:val="0000ff"/>
          </w:rPr>
          <w:t xml:space="preserve">графе 10</w:t>
        </w:r>
      </w:hyperlink>
      <w:r>
        <w:rPr>
          <w:sz w:val="20"/>
        </w:rPr>
        <w:t xml:space="preserve"> указываются причины изменений объемов работ.</w:t>
      </w:r>
    </w:p>
    <w:p>
      <w:pPr>
        <w:pStyle w:val="1"/>
        <w:jc w:val="both"/>
      </w:pPr>
      <w:r>
        <w:rPr>
          <w:sz w:val="20"/>
        </w:rPr>
        <w:t xml:space="preserve">    2.  В  </w:t>
      </w:r>
      <w:hyperlink w:history="0" w:anchor="P10427" w:tooltip="11">
        <w:r>
          <w:rPr>
            <w:sz w:val="20"/>
            <w:color w:val="0000ff"/>
          </w:rPr>
          <w:t xml:space="preserve">графах  11</w:t>
        </w:r>
      </w:hyperlink>
      <w:r>
        <w:rPr>
          <w:sz w:val="20"/>
        </w:rPr>
        <w:t xml:space="preserve">  и  </w:t>
      </w:r>
      <w:hyperlink w:history="0" w:anchor="P10428" w:tooltip="12">
        <w:r>
          <w:rPr>
            <w:sz w:val="20"/>
            <w:color w:val="0000ff"/>
          </w:rPr>
          <w:t xml:space="preserve">12</w:t>
        </w:r>
      </w:hyperlink>
      <w:r>
        <w:rPr>
          <w:sz w:val="20"/>
        </w:rPr>
        <w:t xml:space="preserve">  указываются  ссылки  на соответствующие листы</w:t>
      </w:r>
    </w:p>
    <w:p>
      <w:pPr>
        <w:pStyle w:val="1"/>
        <w:jc w:val="both"/>
      </w:pPr>
      <w:r>
        <w:rPr>
          <w:sz w:val="20"/>
        </w:rPr>
        <w:t xml:space="preserve">ведомостей  объемов  работ  или  листы  проектной  и (или) иной технической</w:t>
      </w:r>
    </w:p>
    <w:p>
      <w:pPr>
        <w:pStyle w:val="1"/>
        <w:jc w:val="both"/>
      </w:pPr>
      <w:r>
        <w:rPr>
          <w:sz w:val="20"/>
        </w:rPr>
        <w:t xml:space="preserve">документации с указанием шифра соответствующего тома.</w:t>
      </w:r>
    </w:p>
    <w:p>
      <w:pPr>
        <w:pStyle w:val="1"/>
        <w:jc w:val="both"/>
      </w:pPr>
      <w:r>
        <w:rPr>
          <w:sz w:val="20"/>
        </w:rPr>
        <w:t xml:space="preserve">    3.  При  внесении  изменений  в  сметную  документацию 2 и более раза в</w:t>
      </w:r>
    </w:p>
    <w:p>
      <w:pPr>
        <w:pStyle w:val="1"/>
        <w:jc w:val="both"/>
      </w:pPr>
      <w:r>
        <w:rPr>
          <w:sz w:val="20"/>
        </w:rPr>
        <w:t xml:space="preserve">сопоставительной  ведомости  объемов  работ  приводятся сведения по каждому</w:t>
      </w:r>
    </w:p>
    <w:p>
      <w:pPr>
        <w:pStyle w:val="1"/>
        <w:jc w:val="both"/>
      </w:pPr>
      <w:r>
        <w:rPr>
          <w:sz w:val="20"/>
        </w:rPr>
        <w:t xml:space="preserve">изменению  с добавлением дополнительных граф 6.n и 7.n к </w:t>
      </w:r>
      <w:hyperlink w:history="0" w:anchor="P10422" w:tooltip="6">
        <w:r>
          <w:rPr>
            <w:sz w:val="20"/>
            <w:color w:val="0000ff"/>
          </w:rPr>
          <w:t xml:space="preserve">графам 6</w:t>
        </w:r>
      </w:hyperlink>
      <w:r>
        <w:rPr>
          <w:sz w:val="20"/>
        </w:rPr>
        <w:t xml:space="preserve"> и </w:t>
      </w:r>
      <w:hyperlink w:history="0" w:anchor="P10423" w:tooltip="7">
        <w:r>
          <w:rPr>
            <w:sz w:val="20"/>
            <w:color w:val="0000ff"/>
          </w:rPr>
          <w:t xml:space="preserve">7</w:t>
        </w:r>
      </w:hyperlink>
      <w:r>
        <w:rPr>
          <w:sz w:val="20"/>
        </w:rPr>
        <w:t xml:space="preserve">, граф</w:t>
      </w:r>
    </w:p>
    <w:p>
      <w:pPr>
        <w:pStyle w:val="1"/>
        <w:jc w:val="both"/>
      </w:pPr>
      <w:r>
        <w:rPr>
          <w:sz w:val="20"/>
        </w:rPr>
        <w:t xml:space="preserve">8.n  и 9.n к </w:t>
      </w:r>
      <w:hyperlink w:history="0" w:anchor="P10424" w:tooltip="8">
        <w:r>
          <w:rPr>
            <w:sz w:val="20"/>
            <w:color w:val="0000ff"/>
          </w:rPr>
          <w:t xml:space="preserve">графам 8</w:t>
        </w:r>
      </w:hyperlink>
      <w:r>
        <w:rPr>
          <w:sz w:val="20"/>
        </w:rPr>
        <w:t xml:space="preserve"> и </w:t>
      </w:r>
      <w:hyperlink w:history="0" w:anchor="P10425" w:tooltip="9">
        <w:r>
          <w:rPr>
            <w:sz w:val="20"/>
            <w:color w:val="0000ff"/>
          </w:rPr>
          <w:t xml:space="preserve">9</w:t>
        </w:r>
      </w:hyperlink>
      <w:r>
        <w:rPr>
          <w:sz w:val="20"/>
        </w:rPr>
        <w:t xml:space="preserve">, а также граф 11.n и 12.n к графам 11 и 12, где n</w:t>
      </w:r>
    </w:p>
    <w:p>
      <w:pPr>
        <w:pStyle w:val="1"/>
        <w:jc w:val="both"/>
      </w:pPr>
      <w:r>
        <w:rPr>
          <w:sz w:val="20"/>
        </w:rPr>
        <w:t xml:space="preserve">- номер изменений в сметную документацию.</w:t>
      </w:r>
    </w:p>
    <w:p>
      <w:pPr>
        <w:sectPr>
          <w:headerReference w:type="default" r:id="rId198"/>
          <w:headerReference w:type="first" r:id="rId198"/>
          <w:footerReference w:type="default" r:id="rId199"/>
          <w:footerReference w:type="first" r:id="rId199"/>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Методике определения</w:t>
      </w:r>
    </w:p>
    <w:p>
      <w:pPr>
        <w:pStyle w:val="0"/>
        <w:jc w:val="right"/>
      </w:pPr>
      <w:r>
        <w:rPr>
          <w:sz w:val="20"/>
        </w:rPr>
        <w:t xml:space="preserve">сметной стоимости строительства,</w:t>
      </w:r>
    </w:p>
    <w:p>
      <w:pPr>
        <w:pStyle w:val="0"/>
        <w:jc w:val="right"/>
      </w:pPr>
      <w:r>
        <w:rPr>
          <w:sz w:val="20"/>
        </w:rPr>
        <w:t xml:space="preserve">реконструкции, капитального ремонта,</w:t>
      </w:r>
    </w:p>
    <w:p>
      <w:pPr>
        <w:pStyle w:val="0"/>
        <w:jc w:val="right"/>
      </w:pPr>
      <w:r>
        <w:rPr>
          <w:sz w:val="20"/>
        </w:rPr>
        <w:t xml:space="preserve">сноса объектов капитального</w:t>
      </w:r>
    </w:p>
    <w:p>
      <w:pPr>
        <w:pStyle w:val="0"/>
        <w:jc w:val="right"/>
      </w:pPr>
      <w:r>
        <w:rPr>
          <w:sz w:val="20"/>
        </w:rPr>
        <w:t xml:space="preserve">строительства, работ по сохранению</w:t>
      </w:r>
    </w:p>
    <w:p>
      <w:pPr>
        <w:pStyle w:val="0"/>
        <w:jc w:val="right"/>
      </w:pPr>
      <w:r>
        <w:rPr>
          <w:sz w:val="20"/>
        </w:rPr>
        <w:t xml:space="preserve">объектов культурного наследия</w:t>
      </w:r>
    </w:p>
    <w:p>
      <w:pPr>
        <w:pStyle w:val="0"/>
        <w:jc w:val="right"/>
      </w:pPr>
      <w:r>
        <w:rPr>
          <w:sz w:val="20"/>
        </w:rPr>
        <w:t xml:space="preserve">(памятников истории и культуры)</w:t>
      </w:r>
    </w:p>
    <w:p>
      <w:pPr>
        <w:pStyle w:val="0"/>
        <w:jc w:val="right"/>
      </w:pPr>
      <w:r>
        <w:rPr>
          <w:sz w:val="20"/>
        </w:rPr>
        <w:t xml:space="preserve">народов Российской Федерации</w:t>
      </w:r>
    </w:p>
    <w:p>
      <w:pPr>
        <w:pStyle w:val="0"/>
        <w:jc w:val="right"/>
      </w:pPr>
      <w:r>
        <w:rPr>
          <w:sz w:val="20"/>
        </w:rPr>
        <w:t xml:space="preserve">на территории Российской Федерации,</w:t>
      </w:r>
    </w:p>
    <w:p>
      <w:pPr>
        <w:pStyle w:val="0"/>
        <w:jc w:val="right"/>
      </w:pPr>
      <w:r>
        <w:rPr>
          <w:sz w:val="20"/>
        </w:rPr>
        <w:t xml:space="preserve">утвержденной приказом Министерства</w:t>
      </w:r>
    </w:p>
    <w:p>
      <w:pPr>
        <w:pStyle w:val="0"/>
        <w:jc w:val="right"/>
      </w:pPr>
      <w:r>
        <w:rPr>
          <w:sz w:val="20"/>
        </w:rPr>
        <w:t xml:space="preserve">строительства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от 4 августа 2020 г. N 421/пр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9" w:tooltip="Приказ Минстроя России от 07.07.2022 N 557/пр &quot;О внесении изменений в 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ую приказом Министерства строительства и жилищно-коммунального хозяйства Российской Федерации от 4 августа 2020 г. N 421/пр&quot; (Зарегистрировано в Минюст {КонсультантПлюс}">
              <w:r>
                <w:rPr>
                  <w:sz w:val="20"/>
                  <w:color w:val="0000ff"/>
                </w:rPr>
                <w:t xml:space="preserve">Приказа</w:t>
              </w:r>
            </w:hyperlink>
            <w:r>
              <w:rPr>
                <w:sz w:val="20"/>
                <w:color w:val="392c69"/>
              </w:rPr>
              <w:t xml:space="preserve"> Минстроя России от 07.07.2022 N 557/пр)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right"/>
      </w:pPr>
      <w:r>
        <w:rPr>
          <w:sz w:val="20"/>
        </w:rPr>
        <w:t xml:space="preserve">(рекомендуемый образец)</w:t>
      </w:r>
    </w:p>
    <w:p>
      <w:pPr>
        <w:pStyle w:val="0"/>
        <w:jc w:val="both"/>
      </w:pPr>
      <w:r>
        <w:rPr>
          <w:sz w:val="20"/>
        </w:rPr>
      </w:r>
    </w:p>
    <w:bookmarkStart w:id="10505" w:name="P10505"/>
    <w:bookmarkEnd w:id="10505"/>
    <w:p>
      <w:pPr>
        <w:pStyle w:val="1"/>
        <w:jc w:val="both"/>
      </w:pPr>
      <w:r>
        <w:rPr>
          <w:sz w:val="20"/>
        </w:rPr>
        <w:t xml:space="preserve">          Сопоставительная ведомость изменения сметной стоимости</w:t>
      </w:r>
    </w:p>
    <w:p>
      <w:pPr>
        <w:pStyle w:val="1"/>
        <w:jc w:val="both"/>
      </w:pPr>
      <w:r>
        <w:rPr>
          <w:sz w:val="20"/>
        </w:rPr>
      </w:r>
    </w:p>
    <w:p>
      <w:pPr>
        <w:pStyle w:val="1"/>
        <w:jc w:val="both"/>
      </w:pPr>
      <w:r>
        <w:rPr>
          <w:sz w:val="20"/>
        </w:rPr>
        <w:t xml:space="preserve">Заказчик 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стройки)</w:t>
      </w:r>
    </w:p>
    <w:p>
      <w:pPr>
        <w:pStyle w:val="1"/>
        <w:jc w:val="both"/>
      </w:pPr>
      <w:r>
        <w:rPr>
          <w:sz w:val="20"/>
        </w:rPr>
        <w:t xml:space="preserve">Дата составления __ _________ 20__ 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737"/>
        <w:gridCol w:w="1644"/>
        <w:gridCol w:w="1531"/>
        <w:gridCol w:w="1644"/>
        <w:gridCol w:w="1361"/>
        <w:gridCol w:w="1585"/>
      </w:tblGrid>
      <w:tr>
        <w:tc>
          <w:tcPr>
            <w:tcW w:w="566" w:type="dxa"/>
            <w:vMerge w:val="restart"/>
          </w:tcPr>
          <w:p>
            <w:pPr>
              <w:pStyle w:val="0"/>
              <w:jc w:val="center"/>
            </w:pPr>
            <w:r>
              <w:rPr>
                <w:sz w:val="20"/>
              </w:rPr>
              <w:t xml:space="preserve">N п/п</w:t>
            </w:r>
          </w:p>
        </w:tc>
        <w:tc>
          <w:tcPr>
            <w:gridSpan w:val="2"/>
            <w:tcW w:w="2381" w:type="dxa"/>
          </w:tcPr>
          <w:p>
            <w:pPr>
              <w:pStyle w:val="0"/>
              <w:jc w:val="center"/>
            </w:pPr>
            <w:r>
              <w:rPr>
                <w:sz w:val="20"/>
              </w:rPr>
              <w:t xml:space="preserve">Данные сметного расчета (сметы)</w:t>
            </w:r>
          </w:p>
        </w:tc>
        <w:tc>
          <w:tcPr>
            <w:gridSpan w:val="2"/>
            <w:tcW w:w="3175" w:type="dxa"/>
          </w:tcPr>
          <w:p>
            <w:pPr>
              <w:pStyle w:val="0"/>
              <w:jc w:val="center"/>
            </w:pPr>
            <w:r>
              <w:rPr>
                <w:sz w:val="20"/>
              </w:rPr>
              <w:t xml:space="preserve">Сметная стоимость, тыс. руб.</w:t>
            </w:r>
          </w:p>
        </w:tc>
        <w:tc>
          <w:tcPr>
            <w:tcW w:w="1361" w:type="dxa"/>
            <w:vMerge w:val="restart"/>
          </w:tcPr>
          <w:p>
            <w:pPr>
              <w:pStyle w:val="0"/>
              <w:jc w:val="center"/>
            </w:pPr>
            <w:r>
              <w:rPr>
                <w:sz w:val="20"/>
              </w:rPr>
              <w:t xml:space="preserve">Разница в сметной стоимости, тыс. руб.</w:t>
            </w:r>
          </w:p>
        </w:tc>
        <w:tc>
          <w:tcPr>
            <w:tcW w:w="1585" w:type="dxa"/>
            <w:vMerge w:val="restart"/>
          </w:tcPr>
          <w:p>
            <w:pPr>
              <w:pStyle w:val="0"/>
              <w:jc w:val="center"/>
            </w:pPr>
            <w:r>
              <w:rPr>
                <w:sz w:val="20"/>
              </w:rPr>
              <w:t xml:space="preserve">Обоснование изменений сметной стоимости</w:t>
            </w:r>
          </w:p>
        </w:tc>
      </w:tr>
      <w:tr>
        <w:tc>
          <w:tcPr>
            <w:vMerge w:val="continue"/>
          </w:tcPr>
          <w:p/>
        </w:tc>
        <w:tc>
          <w:tcPr>
            <w:tcW w:w="737" w:type="dxa"/>
          </w:tcPr>
          <w:p>
            <w:pPr>
              <w:pStyle w:val="0"/>
              <w:jc w:val="center"/>
            </w:pPr>
            <w:r>
              <w:rPr>
                <w:sz w:val="20"/>
              </w:rPr>
              <w:t xml:space="preserve">шифр</w:t>
            </w:r>
          </w:p>
        </w:tc>
        <w:tc>
          <w:tcPr>
            <w:tcW w:w="1644" w:type="dxa"/>
          </w:tcPr>
          <w:p>
            <w:pPr>
              <w:pStyle w:val="0"/>
              <w:jc w:val="center"/>
            </w:pPr>
            <w:r>
              <w:rPr>
                <w:sz w:val="20"/>
              </w:rPr>
              <w:t xml:space="preserve">наименование</w:t>
            </w:r>
          </w:p>
        </w:tc>
        <w:tc>
          <w:tcPr>
            <w:tcW w:w="1531" w:type="dxa"/>
          </w:tcPr>
          <w:p>
            <w:pPr>
              <w:pStyle w:val="0"/>
              <w:jc w:val="center"/>
            </w:pPr>
            <w:r>
              <w:rPr>
                <w:sz w:val="20"/>
              </w:rPr>
              <w:t xml:space="preserve">подлежащая включению</w:t>
            </w:r>
          </w:p>
        </w:tc>
        <w:tc>
          <w:tcPr>
            <w:tcW w:w="1644" w:type="dxa"/>
          </w:tcPr>
          <w:p>
            <w:pPr>
              <w:pStyle w:val="0"/>
              <w:jc w:val="center"/>
            </w:pPr>
            <w:r>
              <w:rPr>
                <w:sz w:val="20"/>
              </w:rPr>
              <w:t xml:space="preserve">подлежащая исключению</w:t>
            </w:r>
          </w:p>
        </w:tc>
        <w:tc>
          <w:tcPr>
            <w:vMerge w:val="continue"/>
          </w:tcPr>
          <w:p/>
        </w:tc>
        <w:tc>
          <w:tcPr>
            <w:vMerge w:val="continue"/>
          </w:tcPr>
          <w:p/>
        </w:tc>
      </w:tr>
      <w:tr>
        <w:tc>
          <w:tcPr>
            <w:tcW w:w="566" w:type="dxa"/>
          </w:tcPr>
          <w:p>
            <w:pPr>
              <w:pStyle w:val="0"/>
              <w:jc w:val="center"/>
            </w:pPr>
            <w:r>
              <w:rPr>
                <w:sz w:val="20"/>
              </w:rPr>
              <w:t xml:space="preserve">1</w:t>
            </w:r>
          </w:p>
        </w:tc>
        <w:tc>
          <w:tcPr>
            <w:tcW w:w="737" w:type="dxa"/>
          </w:tcPr>
          <w:bookmarkStart w:id="10523" w:name="P10523"/>
          <w:bookmarkEnd w:id="10523"/>
          <w:p>
            <w:pPr>
              <w:pStyle w:val="0"/>
              <w:jc w:val="center"/>
            </w:pPr>
            <w:r>
              <w:rPr>
                <w:sz w:val="20"/>
              </w:rPr>
              <w:t xml:space="preserve">2</w:t>
            </w:r>
          </w:p>
        </w:tc>
        <w:tc>
          <w:tcPr>
            <w:tcW w:w="1644" w:type="dxa"/>
          </w:tcPr>
          <w:bookmarkStart w:id="10524" w:name="P10524"/>
          <w:bookmarkEnd w:id="10524"/>
          <w:p>
            <w:pPr>
              <w:pStyle w:val="0"/>
              <w:jc w:val="center"/>
            </w:pPr>
            <w:r>
              <w:rPr>
                <w:sz w:val="20"/>
              </w:rPr>
              <w:t xml:space="preserve">3</w:t>
            </w:r>
          </w:p>
        </w:tc>
        <w:tc>
          <w:tcPr>
            <w:tcW w:w="1531" w:type="dxa"/>
          </w:tcPr>
          <w:bookmarkStart w:id="10525" w:name="P10525"/>
          <w:bookmarkEnd w:id="10525"/>
          <w:p>
            <w:pPr>
              <w:pStyle w:val="0"/>
              <w:jc w:val="center"/>
            </w:pPr>
            <w:r>
              <w:rPr>
                <w:sz w:val="20"/>
              </w:rPr>
              <w:t xml:space="preserve">4</w:t>
            </w:r>
          </w:p>
        </w:tc>
        <w:tc>
          <w:tcPr>
            <w:tcW w:w="1644" w:type="dxa"/>
          </w:tcPr>
          <w:bookmarkStart w:id="10526" w:name="P10526"/>
          <w:bookmarkEnd w:id="10526"/>
          <w:p>
            <w:pPr>
              <w:pStyle w:val="0"/>
              <w:jc w:val="center"/>
            </w:pPr>
            <w:r>
              <w:rPr>
                <w:sz w:val="20"/>
              </w:rPr>
              <w:t xml:space="preserve">5</w:t>
            </w:r>
          </w:p>
        </w:tc>
        <w:tc>
          <w:tcPr>
            <w:tcW w:w="1361" w:type="dxa"/>
          </w:tcPr>
          <w:bookmarkStart w:id="10527" w:name="P10527"/>
          <w:bookmarkEnd w:id="10527"/>
          <w:p>
            <w:pPr>
              <w:pStyle w:val="0"/>
              <w:jc w:val="center"/>
            </w:pPr>
            <w:r>
              <w:rPr>
                <w:sz w:val="20"/>
              </w:rPr>
              <w:t xml:space="preserve">6</w:t>
            </w:r>
          </w:p>
        </w:tc>
        <w:tc>
          <w:tcPr>
            <w:tcW w:w="1585" w:type="dxa"/>
          </w:tcPr>
          <w:bookmarkStart w:id="10528" w:name="P10528"/>
          <w:bookmarkEnd w:id="10528"/>
          <w:p>
            <w:pPr>
              <w:pStyle w:val="0"/>
              <w:jc w:val="center"/>
            </w:pPr>
            <w:r>
              <w:rPr>
                <w:sz w:val="20"/>
              </w:rPr>
              <w:t xml:space="preserve">7</w:t>
            </w:r>
          </w:p>
        </w:tc>
      </w:tr>
      <w:tr>
        <w:tc>
          <w:tcPr>
            <w:tcW w:w="566"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531" w:type="dxa"/>
          </w:tcPr>
          <w:p>
            <w:pPr>
              <w:pStyle w:val="0"/>
            </w:pPr>
            <w:r>
              <w:rPr>
                <w:sz w:val="20"/>
              </w:rPr>
            </w:r>
          </w:p>
        </w:tc>
        <w:tc>
          <w:tcPr>
            <w:tcW w:w="1644" w:type="dxa"/>
          </w:tcPr>
          <w:p>
            <w:pPr>
              <w:pStyle w:val="0"/>
            </w:pPr>
            <w:r>
              <w:rPr>
                <w:sz w:val="20"/>
              </w:rPr>
            </w:r>
          </w:p>
        </w:tc>
        <w:tc>
          <w:tcPr>
            <w:tcW w:w="1361" w:type="dxa"/>
          </w:tcPr>
          <w:p>
            <w:pPr>
              <w:pStyle w:val="0"/>
            </w:pPr>
            <w:r>
              <w:rPr>
                <w:sz w:val="20"/>
              </w:rPr>
            </w:r>
          </w:p>
        </w:tc>
        <w:tc>
          <w:tcPr>
            <w:tcW w:w="1585" w:type="dxa"/>
          </w:tcPr>
          <w:p>
            <w:pPr>
              <w:pStyle w:val="0"/>
            </w:pPr>
            <w:r>
              <w:rPr>
                <w:sz w:val="20"/>
              </w:rPr>
            </w:r>
          </w:p>
        </w:tc>
      </w:tr>
    </w:tbl>
    <w:p>
      <w:pPr>
        <w:pStyle w:val="0"/>
        <w:jc w:val="both"/>
      </w:pPr>
      <w:r>
        <w:rPr>
          <w:sz w:val="20"/>
        </w:rPr>
      </w:r>
    </w:p>
    <w:p>
      <w:pPr>
        <w:pStyle w:val="1"/>
        <w:jc w:val="both"/>
      </w:pPr>
      <w:r>
        <w:rPr>
          <w:sz w:val="20"/>
        </w:rPr>
        <w:t xml:space="preserve">    Составил ________________________________________</w:t>
      </w:r>
    </w:p>
    <w:p>
      <w:pPr>
        <w:pStyle w:val="1"/>
        <w:jc w:val="both"/>
      </w:pPr>
      <w:r>
        <w:rPr>
          <w:sz w:val="20"/>
        </w:rPr>
        <w:t xml:space="preserve">             [должность, подпись (инициалы, фамилия)]</w:t>
      </w:r>
    </w:p>
    <w:p>
      <w:pPr>
        <w:pStyle w:val="1"/>
        <w:jc w:val="both"/>
      </w:pPr>
      <w:r>
        <w:rPr>
          <w:sz w:val="20"/>
        </w:rPr>
        <w:t xml:space="preserve">    Проверил ________________________________________</w:t>
      </w:r>
    </w:p>
    <w:p>
      <w:pPr>
        <w:pStyle w:val="1"/>
        <w:jc w:val="both"/>
      </w:pPr>
      <w:r>
        <w:rPr>
          <w:sz w:val="20"/>
        </w:rPr>
        <w:t xml:space="preserve">             [должность, подпись (инициалы, фамилия)]</w:t>
      </w:r>
    </w:p>
    <w:p>
      <w:pPr>
        <w:pStyle w:val="1"/>
        <w:jc w:val="both"/>
      </w:pPr>
      <w:r>
        <w:rPr>
          <w:sz w:val="20"/>
        </w:rPr>
      </w:r>
    </w:p>
    <w:p>
      <w:pPr>
        <w:pStyle w:val="1"/>
        <w:jc w:val="both"/>
      </w:pPr>
      <w:r>
        <w:rPr>
          <w:sz w:val="20"/>
        </w:rPr>
        <w:t xml:space="preserve">Примечание</w:t>
      </w:r>
    </w:p>
    <w:p>
      <w:pPr>
        <w:pStyle w:val="1"/>
        <w:jc w:val="both"/>
      </w:pPr>
      <w:r>
        <w:rPr>
          <w:sz w:val="20"/>
        </w:rPr>
        <w:t xml:space="preserve">    1.  При  детализации изменений в разрезе глав сводного сметного расчета</w:t>
      </w:r>
    </w:p>
    <w:p>
      <w:pPr>
        <w:pStyle w:val="1"/>
        <w:jc w:val="both"/>
      </w:pPr>
      <w:r>
        <w:rPr>
          <w:sz w:val="20"/>
        </w:rPr>
        <w:t xml:space="preserve">стоимости строительства в </w:t>
      </w:r>
      <w:hyperlink w:history="0" w:anchor="P10523" w:tooltip="2">
        <w:r>
          <w:rPr>
            <w:sz w:val="20"/>
            <w:color w:val="0000ff"/>
          </w:rPr>
          <w:t xml:space="preserve">графе 2</w:t>
        </w:r>
      </w:hyperlink>
      <w:r>
        <w:rPr>
          <w:sz w:val="20"/>
        </w:rPr>
        <w:t xml:space="preserve"> указывается номер главы сводного сметного</w:t>
      </w:r>
    </w:p>
    <w:p>
      <w:pPr>
        <w:pStyle w:val="1"/>
        <w:jc w:val="both"/>
      </w:pPr>
      <w:r>
        <w:rPr>
          <w:sz w:val="20"/>
        </w:rPr>
        <w:t xml:space="preserve">расчета стоимости строительства, а в </w:t>
      </w:r>
      <w:hyperlink w:history="0" w:anchor="P10524" w:tooltip="3">
        <w:r>
          <w:rPr>
            <w:sz w:val="20"/>
            <w:color w:val="0000ff"/>
          </w:rPr>
          <w:t xml:space="preserve">графе 3</w:t>
        </w:r>
      </w:hyperlink>
      <w:r>
        <w:rPr>
          <w:sz w:val="20"/>
        </w:rPr>
        <w:t xml:space="preserve"> - ее наименование.</w:t>
      </w:r>
    </w:p>
    <w:p>
      <w:pPr>
        <w:pStyle w:val="1"/>
        <w:jc w:val="both"/>
      </w:pPr>
      <w:r>
        <w:rPr>
          <w:sz w:val="20"/>
        </w:rPr>
        <w:t xml:space="preserve">    2. В </w:t>
      </w:r>
      <w:hyperlink w:history="0" w:anchor="P10527" w:tooltip="6">
        <w:r>
          <w:rPr>
            <w:sz w:val="20"/>
            <w:color w:val="0000ff"/>
          </w:rPr>
          <w:t xml:space="preserve">графе 6</w:t>
        </w:r>
      </w:hyperlink>
      <w:r>
        <w:rPr>
          <w:sz w:val="20"/>
        </w:rPr>
        <w:t xml:space="preserve"> указывается разница показателей </w:t>
      </w:r>
      <w:hyperlink w:history="0" w:anchor="P10525" w:tooltip="4">
        <w:r>
          <w:rPr>
            <w:sz w:val="20"/>
            <w:color w:val="0000ff"/>
          </w:rPr>
          <w:t xml:space="preserve">граф 4</w:t>
        </w:r>
      </w:hyperlink>
      <w:r>
        <w:rPr>
          <w:sz w:val="20"/>
        </w:rPr>
        <w:t xml:space="preserve"> и </w:t>
      </w:r>
      <w:hyperlink w:history="0" w:anchor="P10526" w:tooltip="5">
        <w:r>
          <w:rPr>
            <w:sz w:val="20"/>
            <w:color w:val="0000ff"/>
          </w:rPr>
          <w:t xml:space="preserve">5</w:t>
        </w:r>
      </w:hyperlink>
      <w:r>
        <w:rPr>
          <w:sz w:val="20"/>
        </w:rPr>
        <w:t xml:space="preserve">.</w:t>
      </w:r>
    </w:p>
    <w:p>
      <w:pPr>
        <w:pStyle w:val="1"/>
        <w:jc w:val="both"/>
      </w:pPr>
      <w:r>
        <w:rPr>
          <w:sz w:val="20"/>
        </w:rPr>
        <w:t xml:space="preserve">    3. В </w:t>
      </w:r>
      <w:hyperlink w:history="0" w:anchor="P10528" w:tooltip="7">
        <w:r>
          <w:rPr>
            <w:sz w:val="20"/>
            <w:color w:val="0000ff"/>
          </w:rPr>
          <w:t xml:space="preserve">графе 7</w:t>
        </w:r>
      </w:hyperlink>
      <w:r>
        <w:rPr>
          <w:sz w:val="20"/>
        </w:rPr>
        <w:t xml:space="preserve"> указываются причины внесенных изменений.</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Минстроя России от 04.08.2020 N 421/пр</w:t>
            <w:br/>
            <w:t>(ред. от 07.07.2022)</w:t>
            <w:br/>
            <w:t>"Об утверждении Методики определения сметной стоимост...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06.10.2022</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Минстроя России от 04.08.2020 N 421/пр</w:t>
            <w:br/>
            <w:t>(ред. от 07.07.2022)</w:t>
            <w:br/>
            <w:t>"Об утверждении Методики определения сметной стоимост...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30FB83C277AD4868E87A2A0F7EA1B483069635F142D0F3780EE0399ECAAFFA0A81B42EAFBA577EB950EC7ECAAC481ED1E4D438EBD4B30CE260OAL" TargetMode = "External"/>
	<Relationship Id="rId8" Type="http://schemas.openxmlformats.org/officeDocument/2006/relationships/hyperlink" Target="consultantplus://offline/ref=30FB83C277AD4868E87A2A0F7EA1B483069437F540DEF3780EE0399ECAAFFA0A81B42EADBA5476B202B66ECEE51D15CFE3CA27E9CAB360OEL" TargetMode = "External"/>
	<Relationship Id="rId9" Type="http://schemas.openxmlformats.org/officeDocument/2006/relationships/hyperlink" Target="consultantplus://offline/ref=30FB83C277AD4868E87A2A0F7EA1B483069437F540DEF3780EE0399ECAAFFA0A81B42EAFB35F7BB202B66ECEE51D15CFE3CA27E9CAB360OEL" TargetMode = "External"/>
	<Relationship Id="rId10" Type="http://schemas.openxmlformats.org/officeDocument/2006/relationships/hyperlink" Target="consultantplus://offline/ref=30FB83C277AD4868E87A2A0F7EA1B483069437F540DEF3780EE0399ECAAFFA0A81B42EACBA5777B202B66ECEE51D15CFE3CA27E9CAB360OEL" TargetMode = "External"/>
	<Relationship Id="rId11" Type="http://schemas.openxmlformats.org/officeDocument/2006/relationships/hyperlink" Target="consultantplus://offline/ref=30FB83C277AD4868E87A2A0F7EA1B483069635FF45D3F3780EE0399ECAAFFA0A81B42EAFBA577CB054EC7ECAAC481ED1E4D438EBD4B30CE260OAL" TargetMode = "External"/>
	<Relationship Id="rId12" Type="http://schemas.openxmlformats.org/officeDocument/2006/relationships/hyperlink" Target="consultantplus://offline/ref=30FB83C277AD4868E87A2A0F7EA1B483069635F142D0F3780EE0399ECAAFFA0A81B42EAFBA577EB950EC7ECAAC481ED1E4D438EBD4B30CE260OAL" TargetMode = "External"/>
	<Relationship Id="rId13" Type="http://schemas.openxmlformats.org/officeDocument/2006/relationships/hyperlink" Target="consultantplus://offline/ref=30FB83C277AD4868E87A2A0F7EA1B483069437F540DEF3780EE0399ECAAFFA0A81B42EADBA5476B202B66ECEE51D15CFE3CA27E9CAB360OEL" TargetMode = "External"/>
	<Relationship Id="rId14" Type="http://schemas.openxmlformats.org/officeDocument/2006/relationships/hyperlink" Target="consultantplus://offline/ref=30FB83C277AD4868E87A2A0F7EA1B483069437F540DEF3780EE0399ECAAFFA0A81B42EAFBA5676B150EC7ECAAC481ED1E4D438EBD4B30CE260OAL" TargetMode = "External"/>
	<Relationship Id="rId15" Type="http://schemas.openxmlformats.org/officeDocument/2006/relationships/hyperlink" Target="consultantplus://offline/ref=30FB83C277AD4868E87A2A0F7EA1B483069635F142D0F3780EE0399ECAAFFA0A81B42EAFBA577EB857EC7ECAAC481ED1E4D438EBD4B30CE260OAL" TargetMode = "External"/>
	<Relationship Id="rId16" Type="http://schemas.openxmlformats.org/officeDocument/2006/relationships/hyperlink" Target="consultantplus://offline/ref=30FB83C277AD4868E87A2A0F7EA1B483069535F241D6F3780EE0399ECAAFFA0A81B42EAFBA577EB85FEC7ECAAC481ED1E4D438EBD4B30CE260OAL" TargetMode = "External"/>
	<Relationship Id="rId17" Type="http://schemas.openxmlformats.org/officeDocument/2006/relationships/hyperlink" Target="consultantplus://offline/ref=30FB83C277AD4868E87A2A0F7EA1B483019332FF49DFF3780EE0399ECAAFFA0A93B476A3BA5160B856F9289BEA61OFL" TargetMode = "External"/>
	<Relationship Id="rId18" Type="http://schemas.openxmlformats.org/officeDocument/2006/relationships/hyperlink" Target="consultantplus://offline/ref=30FB83C277AD4868E87A2A0F7EA1B483019633F045D1F3780EE0399ECAAFFA0A81B42EAFBA577EB95EEC7ECAAC481ED1E4D438EBD4B30CE260OAL" TargetMode = "External"/>
	<Relationship Id="rId19" Type="http://schemas.openxmlformats.org/officeDocument/2006/relationships/hyperlink" Target="consultantplus://offline/ref=30FB83C277AD4868E87A2A0F7EA1B483069635F142D0F3780EE0399ECAAFFA0A81B42EAFBA577EB854EC7ECAAC481ED1E4D438EBD4B30CE260OAL" TargetMode = "External"/>
	<Relationship Id="rId20" Type="http://schemas.openxmlformats.org/officeDocument/2006/relationships/hyperlink" Target="consultantplus://offline/ref=30FB83C277AD4868E87A2A0F7EA1B483069635F142D0F3780EE0399ECAAFFA0A81B42EAFBA577EB853EC7ECAAC481ED1E4D438EBD4B30CE260OAL" TargetMode = "External"/>
	<Relationship Id="rId21" Type="http://schemas.openxmlformats.org/officeDocument/2006/relationships/hyperlink" Target="consultantplus://offline/ref=30FB83C277AD4868E87A2A0F7EA1B483009D37FE41D0F3780EE0399ECAAFFA0A81B42EAFBA577EB854EC7ECAAC481ED1E4D438EBD4B30CE260OAL" TargetMode = "External"/>
	<Relationship Id="rId22" Type="http://schemas.openxmlformats.org/officeDocument/2006/relationships/hyperlink" Target="consultantplus://offline/ref=30FB83C277AD4868E87A2A0F7EA1B483069635F142D0F3780EE0399ECAAFFA0A81B42EAFBA577EB851EC7ECAAC481ED1E4D438EBD4B30CE260OAL" TargetMode = "External"/>
	<Relationship Id="rId23" Type="http://schemas.openxmlformats.org/officeDocument/2006/relationships/hyperlink" Target="consultantplus://offline/ref=30FB83C277AD4868E87A2A0F7EA1B483069635F142D0F3780EE0399ECAAFFA0A81B42EAFBA577EBB54EC7ECAAC481ED1E4D438EBD4B30CE260OAL" TargetMode = "External"/>
	<Relationship Id="rId24" Type="http://schemas.openxmlformats.org/officeDocument/2006/relationships/hyperlink" Target="consultantplus://offline/ref=30FB83C277AD4868E87A2A0F7EA1B483069635F142D0F3780EE0399ECAAFFA0A81B42EAFBA577EBB55EC7ECAAC481ED1E4D438EBD4B30CE260OAL" TargetMode = "External"/>
	<Relationship Id="rId25" Type="http://schemas.openxmlformats.org/officeDocument/2006/relationships/hyperlink" Target="consultantplus://offline/ref=30FB83C277AD4868E87A2A0F7EA1B483069635F142D0F3780EE0399ECAAFFA0A81B42EAFBA577EBB53EC7ECAAC481ED1E4D438EBD4B30CE260OAL" TargetMode = "External"/>
	<Relationship Id="rId26" Type="http://schemas.openxmlformats.org/officeDocument/2006/relationships/hyperlink" Target="consultantplus://offline/ref=30FB83C277AD4868E87A2A0F7EA1B483019239F541DFF3780EE0399ECAAFFA0A81B42EAFBA577EB854EC7ECAAC481ED1E4D438EBD4B30CE260OAL" TargetMode = "External"/>
	<Relationship Id="rId27" Type="http://schemas.openxmlformats.org/officeDocument/2006/relationships/hyperlink" Target="consultantplus://offline/ref=30FB83C277AD4868E87A2A0F7EA1B483069635F142D0F3780EE0399ECAAFFA0A81B42EAFBA577EBB51EC7ECAAC481ED1E4D438EBD4B30CE260OAL" TargetMode = "External"/>
	<Relationship Id="rId28" Type="http://schemas.openxmlformats.org/officeDocument/2006/relationships/hyperlink" Target="consultantplus://offline/ref=30FB83C277AD4868E87A2A0F7EA1B483069534FF45D4F3780EE0399ECAAFFA0A93B476A3BA5160B856F9289BEA61OFL" TargetMode = "External"/>
	<Relationship Id="rId29" Type="http://schemas.openxmlformats.org/officeDocument/2006/relationships/hyperlink" Target="consultantplus://offline/ref=30FB83C277AD4868E87A2A0F7EA1B483069635F142D0F3780EE0399ECAAFFA0A81B42EAFBA577EBB5EEC7ECAAC481ED1E4D438EBD4B30CE260OAL" TargetMode = "External"/>
	<Relationship Id="rId30" Type="http://schemas.openxmlformats.org/officeDocument/2006/relationships/hyperlink" Target="consultantplus://offline/ref=30FB83C277AD4868E87A2A0F7EA1B483069635F142D0F3780EE0399ECAAFFA0A81B42EAFBA577EBA5EEC7ECAAC481ED1E4D438EBD4B30CE260OAL" TargetMode = "External"/>
	<Relationship Id="rId31" Type="http://schemas.openxmlformats.org/officeDocument/2006/relationships/hyperlink" Target="consultantplus://offline/ref=30FB83C277AD4868E87A2A0F7EA1B483069635F142D0F3780EE0399ECAAFFA0A81B42EAFBA577EBA5FEC7ECAAC481ED1E4D438EBD4B30CE260OAL" TargetMode = "External"/>
	<Relationship Id="rId32" Type="http://schemas.openxmlformats.org/officeDocument/2006/relationships/hyperlink" Target="consultantplus://offline/ref=30FB83C277AD4868E87A2A0F7EA1B483069635F142D0F3780EE0399ECAAFFA0A81B42EAFBA577EBD57EC7ECAAC481ED1E4D438EBD4B30CE260OAL" TargetMode = "External"/>
	<Relationship Id="rId33" Type="http://schemas.openxmlformats.org/officeDocument/2006/relationships/hyperlink" Target="consultantplus://offline/ref=30FB83C277AD4868E87A2A0F7EA1B483069635F142D0F3780EE0399ECAAFFA0A81B42EAFBA577EBD55EC7ECAAC481ED1E4D438EBD4B30CE260OAL" TargetMode = "External"/>
	<Relationship Id="rId34" Type="http://schemas.openxmlformats.org/officeDocument/2006/relationships/hyperlink" Target="consultantplus://offline/ref=30FB83C277AD4868E87A2A0F7EA1B483069534FF45D4F3780EE0399ECAAFFA0A93B476A3BA5160B856F9289BEA61OFL" TargetMode = "External"/>
	<Relationship Id="rId35" Type="http://schemas.openxmlformats.org/officeDocument/2006/relationships/hyperlink" Target="consultantplus://offline/ref=30FB83C277AD4868E87A2A0F7EA1B483069635F142D0F3780EE0399ECAAFFA0A81B42EAFBA577EBD52EC7ECAAC481ED1E4D438EBD4B30CE260OAL" TargetMode = "External"/>
	<Relationship Id="rId36" Type="http://schemas.openxmlformats.org/officeDocument/2006/relationships/hyperlink" Target="consultantplus://offline/ref=30FB83C277AD4868E87A2A0F7EA1B483069635F142D0F3780EE0399ECAAFFA0A81B42EAFBA577EBD5EEC7ECAAC481ED1E4D438EBD4B30CE260OAL" TargetMode = "External"/>
	<Relationship Id="rId37" Type="http://schemas.openxmlformats.org/officeDocument/2006/relationships/hyperlink" Target="consultantplus://offline/ref=30FB83C277AD4868E87A2A0F7EA1B483069635F142D0F3780EE0399ECAAFFA0A81B42EAFBA577EBC56EC7ECAAC481ED1E4D438EBD4B30CE260OAL" TargetMode = "External"/>
	<Relationship Id="rId38" Type="http://schemas.openxmlformats.org/officeDocument/2006/relationships/hyperlink" Target="consultantplus://offline/ref=30FB83C277AD4868E87A2A0F7EA1B483069635F142D0F3780EE0399ECAAFFA0A81B42EAFBA577EBC57EC7ECAAC481ED1E4D438EBD4B30CE260OAL" TargetMode = "External"/>
	<Relationship Id="rId39" Type="http://schemas.openxmlformats.org/officeDocument/2006/relationships/hyperlink" Target="consultantplus://offline/ref=30FB83C277AD4868E87A2A0F7EA1B483069635F142D0F3780EE0399ECAAFFA0A81B42EAFBA577EBC53EC7ECAAC481ED1E4D438EBD4B30CE260OAL" TargetMode = "External"/>
	<Relationship Id="rId40" Type="http://schemas.openxmlformats.org/officeDocument/2006/relationships/hyperlink" Target="consultantplus://offline/ref=30FB83C277AD4868E87A2A0F7EA1B483069635F142D0F3780EE0399ECAAFFA0A81B42EAFBA577EBC50EC7ECAAC481ED1E4D438EBD4B30CE260OAL" TargetMode = "External"/>
	<Relationship Id="rId41" Type="http://schemas.openxmlformats.org/officeDocument/2006/relationships/hyperlink" Target="consultantplus://offline/ref=30FB83C277AD4868E87A2A0F7EA1B483069635F142D0F3780EE0399ECAAFFA0A81B42EAFBA577EBC5FEC7ECAAC481ED1E4D438EBD4B30CE260OAL" TargetMode = "External"/>
	<Relationship Id="rId42" Type="http://schemas.openxmlformats.org/officeDocument/2006/relationships/hyperlink" Target="consultantplus://offline/ref=30FB83C277AD4868E87A2A0F7EA1B483069635F142D0F3780EE0399ECAAFFA0A81B42EAFBA577EBF56EC7ECAAC481ED1E4D438EBD4B30CE260OAL" TargetMode = "External"/>
	<Relationship Id="rId43" Type="http://schemas.openxmlformats.org/officeDocument/2006/relationships/hyperlink" Target="consultantplus://offline/ref=30FB83C277AD4868E87A2A0F7EA1B483069635F142D0F3780EE0399ECAAFFA0A81B42EAFBA577EBF57EC7ECAAC481ED1E4D438EBD4B30CE260OAL" TargetMode = "External"/>
	<Relationship Id="rId44" Type="http://schemas.openxmlformats.org/officeDocument/2006/relationships/hyperlink" Target="consultantplus://offline/ref=30FB83C277AD4868E87A2A0F7EA1B483069635F142D0F3780EE0399ECAAFFA0A81B42EAFBA577EBF55EC7ECAAC481ED1E4D438EBD4B30CE260OAL" TargetMode = "External"/>
	<Relationship Id="rId45" Type="http://schemas.openxmlformats.org/officeDocument/2006/relationships/hyperlink" Target="consultantplus://offline/ref=30FB83C277AD4868E87A2A0F7EA1B483069635F142D0F3780EE0399ECAAFFA0A81B42EAFBA577EBF53EC7ECAAC481ED1E4D438EBD4B30CE260OAL" TargetMode = "External"/>
	<Relationship Id="rId46" Type="http://schemas.openxmlformats.org/officeDocument/2006/relationships/hyperlink" Target="consultantplus://offline/ref=30FB83C277AD4868E87A2A0F7EA1B483069635F142D0F3780EE0399ECAAFFA0A81B42EAFBA577EBF50EC7ECAAC481ED1E4D438EBD4B30CE260OAL" TargetMode = "External"/>
	<Relationship Id="rId47" Type="http://schemas.openxmlformats.org/officeDocument/2006/relationships/hyperlink" Target="consultantplus://offline/ref=30FB83C277AD4868E87A2A0F7EA1B483069635F142D0F3780EE0399ECAAFFA0A81B42EAFBA577EBF51EC7ECAAC481ED1E4D438EBD4B30CE260OAL" TargetMode = "External"/>
	<Relationship Id="rId48" Type="http://schemas.openxmlformats.org/officeDocument/2006/relationships/hyperlink" Target="consultantplus://offline/ref=30FB83C277AD4868E87A2A0F7EA1B483069635F142D0F3780EE0399ECAAFFA0A81B42EAFBA577EBF5EEC7ECAAC481ED1E4D438EBD4B30CE260OAL" TargetMode = "External"/>
	<Relationship Id="rId49" Type="http://schemas.openxmlformats.org/officeDocument/2006/relationships/hyperlink" Target="consultantplus://offline/ref=30FB83C277AD4868E87A2A0F7EA1B483069635F143D1F3780EE0399ECAAFFA0A81B42EAAB9577FBC53EC7ECAAC481ED1E4D438EBD4B30CE260OAL" TargetMode = "External"/>
	<Relationship Id="rId50" Type="http://schemas.openxmlformats.org/officeDocument/2006/relationships/hyperlink" Target="consultantplus://offline/ref=30FB83C277AD4868E87A2A0F7EA1B483069635F142D0F3780EE0399ECAAFFA0A81B42EAFBA577EBF5FEC7ECAAC481ED1E4D438EBD4B30CE260OAL" TargetMode = "External"/>
	<Relationship Id="rId51" Type="http://schemas.openxmlformats.org/officeDocument/2006/relationships/hyperlink" Target="consultantplus://offline/ref=30FB83C277AD4868E87A2A0F7EA1B483069635F143D1F3780EE0399ECAAFFA0A81B42EAAB9577FBC53EC7ECAAC481ED1E4D438EBD4B30CE260OAL" TargetMode = "External"/>
	<Relationship Id="rId52" Type="http://schemas.openxmlformats.org/officeDocument/2006/relationships/hyperlink" Target="consultantplus://offline/ref=30FB83C277AD4868E87A2A0F7EA1B483069635F142D0F3780EE0399ECAAFFA0A81B42EAFBA577EBE57EC7ECAAC481ED1E4D438EBD4B30CE260OAL" TargetMode = "External"/>
	<Relationship Id="rId53" Type="http://schemas.openxmlformats.org/officeDocument/2006/relationships/hyperlink" Target="consultantplus://offline/ref=30FB83C277AD4868E87A2A0F7EA1B483069635F142D0F3780EE0399ECAAFFA0A81B42EAFBA577EBE55EC7ECAAC481ED1E4D438EBD4B30CE260OAL" TargetMode = "External"/>
	<Relationship Id="rId54" Type="http://schemas.openxmlformats.org/officeDocument/2006/relationships/hyperlink" Target="consultantplus://offline/ref=30FB83C277AD4868E87A2A0F7EA1B483019332FF49DFF3780EE0399ECAAFFA0A93B476A3BA5160B856F9289BEA61OFL" TargetMode = "External"/>
	<Relationship Id="rId55" Type="http://schemas.openxmlformats.org/officeDocument/2006/relationships/hyperlink" Target="consultantplus://offline/ref=30FB83C277AD4868E87A2A0F7EA1B483009633F344DEF3780EE0399ECAAFFA0A81B42EAFBA577EB852EC7ECAAC481ED1E4D438EBD4B30CE260OAL" TargetMode = "External"/>
	<Relationship Id="rId56" Type="http://schemas.openxmlformats.org/officeDocument/2006/relationships/hyperlink" Target="consultantplus://offline/ref=30FB83C277AD4868E87A2A0F7EA1B483069635F142D0F3780EE0399ECAAFFA0A81B42EAFBA577EBE52EC7ECAAC481ED1E4D438EBD4B30CE260OAL" TargetMode = "External"/>
	<Relationship Id="rId57" Type="http://schemas.openxmlformats.org/officeDocument/2006/relationships/hyperlink" Target="consultantplus://offline/ref=30FB83C277AD4868E87A2A0F7EA1B483069635F142D0F3780EE0399ECAAFFA0A81B42EAFBA577EBE51EC7ECAAC481ED1E4D438EBD4B30CE260OAL" TargetMode = "External"/>
	<Relationship Id="rId58" Type="http://schemas.openxmlformats.org/officeDocument/2006/relationships/hyperlink" Target="consultantplus://offline/ref=30FB83C277AD4868E87A2A0F7EA1B483069635F142D0F3780EE0399ECAAFFA0A81B42EAFBA577EBE5EEC7ECAAC481ED1E4D438EBD4B30CE260OAL" TargetMode = "External"/>
	<Relationship Id="rId59" Type="http://schemas.openxmlformats.org/officeDocument/2006/relationships/hyperlink" Target="consultantplus://offline/ref=30FB83C277AD4868E87A2A0F7EA1B483069635F142D0F3780EE0399ECAAFFA0A81B42EAFBA577EBE5FEC7ECAAC481ED1E4D438EBD4B30CE260OAL" TargetMode = "External"/>
	<Relationship Id="rId60" Type="http://schemas.openxmlformats.org/officeDocument/2006/relationships/hyperlink" Target="consultantplus://offline/ref=30FB83C277AD4868E87A2A0F7EA1B483069635F142D0F3780EE0399ECAAFFA0A81B42EAFBA577EB157EC7ECAAC481ED1E4D438EBD4B30CE260OAL" TargetMode = "External"/>
	<Relationship Id="rId61" Type="http://schemas.openxmlformats.org/officeDocument/2006/relationships/hyperlink" Target="consultantplus://offline/ref=30FB83C277AD4868E87A2A0F7EA1B483019D32F046D1F3780EE0399ECAAFFA0A81B42EAFBA577EB856EC7ECAAC481ED1E4D438EBD4B30CE260OAL" TargetMode = "External"/>
	<Relationship Id="rId62" Type="http://schemas.openxmlformats.org/officeDocument/2006/relationships/hyperlink" Target="consultantplus://offline/ref=30FB83C277AD4868E87A2A0F7EA1B483069635F142D0F3780EE0399ECAAFFA0A81B42EAFBA577EB152EC7ECAAC481ED1E4D438EBD4B30CE260OAL" TargetMode = "External"/>
	<Relationship Id="rId63" Type="http://schemas.openxmlformats.org/officeDocument/2006/relationships/hyperlink" Target="consultantplus://offline/ref=30FB83C277AD4868E87A2A0F7EA1B483019D32F046D1F3780EE0399ECAAFFA0A81B42EACB1032FFD03EA2A9DF61C13CFE0CA3B6EO9L" TargetMode = "External"/>
	<Relationship Id="rId64" Type="http://schemas.openxmlformats.org/officeDocument/2006/relationships/hyperlink" Target="consultantplus://offline/ref=30FB83C277AD4868E87A2A0F7EA1B483019D32F046D1F3780EE0399ECAAFFA0A81B42EABB1032FFD03EA2A9DF61C13CFE0CA3B6EO9L" TargetMode = "External"/>
	<Relationship Id="rId65" Type="http://schemas.openxmlformats.org/officeDocument/2006/relationships/hyperlink" Target="consultantplus://offline/ref=30FB83C277AD4868E87A2A0F7EA1B483019D32F046D1F3780EE0399ECAAFFA0A81B42EA9B1032FFD03EA2A9DF61C13CFE0CA3B6EO9L" TargetMode = "External"/>
	<Relationship Id="rId66" Type="http://schemas.openxmlformats.org/officeDocument/2006/relationships/hyperlink" Target="consultantplus://offline/ref=30FB83C277AD4868E87A2A0F7EA1B483019D32F046D1F3780EE0399ECAAFFA0A81B42EAFBA5C2AE812B2279BEE0312D1FCC839E96CO8L" TargetMode = "External"/>
	<Relationship Id="rId67" Type="http://schemas.openxmlformats.org/officeDocument/2006/relationships/hyperlink" Target="consultantplus://offline/ref=30FB83C277AD4868E87A2A0F7EA1B483019D32F046D1F3780EE0399ECAAFFA0A81B42EAFB85C2AE812B2279BEE0312D1FCC839E96CO8L" TargetMode = "External"/>
	<Relationship Id="rId68" Type="http://schemas.openxmlformats.org/officeDocument/2006/relationships/hyperlink" Target="consultantplus://offline/ref=30FB83C277AD4868E87A2A0F7EA1B483019D32F046D1F3780EE0399ECAAFFA0A81B42EAFB25C2AE812B2279BEE0312D1FCC839E96CO8L" TargetMode = "External"/>
	<Relationship Id="rId69" Type="http://schemas.openxmlformats.org/officeDocument/2006/relationships/hyperlink" Target="consultantplus://offline/ref=30FB83C277AD4868E87A2A0F7EA1B483019D32F046D1F3780EE0399ECAAFFA0A81B42EAFB35C2AE812B2279BEE0312D1FCC839E96CO8L" TargetMode = "External"/>
	<Relationship Id="rId70" Type="http://schemas.openxmlformats.org/officeDocument/2006/relationships/hyperlink" Target="consultantplus://offline/ref=30FB83C277AD4868E87A2A0F7EA1B483019D32F046D1F3780EE0399ECAAFFA0A81B42EACBA5C2AE812B2279BEE0312D1FCC839E96CO8L" TargetMode = "External"/>
	<Relationship Id="rId71" Type="http://schemas.openxmlformats.org/officeDocument/2006/relationships/hyperlink" Target="consultantplus://offline/ref=30FB83C277AD4868E87A2A0F7EA1B483069635F142D0F3780EE0399ECAAFFA0A81B42EAFBA577EB153EC7ECAAC481ED1E4D438EBD4B30CE260OAL" TargetMode = "External"/>
	<Relationship Id="rId72" Type="http://schemas.openxmlformats.org/officeDocument/2006/relationships/hyperlink" Target="consultantplus://offline/ref=30FB83C277AD4868E87A2A0F7EA1B483069635F142D0F3780EE0399ECAAFFA0A81B42EAFBA577EB15FEC7ECAAC481ED1E4D438EBD4B30CE260OAL" TargetMode = "External"/>
	<Relationship Id="rId73" Type="http://schemas.openxmlformats.org/officeDocument/2006/relationships/hyperlink" Target="consultantplus://offline/ref=30FB83C277AD4868E87A2A0F7EA1B483069635F142D0F3780EE0399ECAAFFA0A81B42EAFBA577EB052EC7ECAAC481ED1E4D438EBD4B30CE260OAL" TargetMode = "External"/>
	<Relationship Id="rId74" Type="http://schemas.openxmlformats.org/officeDocument/2006/relationships/hyperlink" Target="consultantplus://offline/ref=30FB83C277AD4868E87A2A0F7EA1B483019135FF48D4F3780EE0399ECAAFFA0A81B42EAFBA577FBC5EEC7ECAAC481ED1E4D438EBD4B30CE260OAL" TargetMode = "External"/>
	<Relationship Id="rId75" Type="http://schemas.openxmlformats.org/officeDocument/2006/relationships/hyperlink" Target="consultantplus://offline/ref=30FB83C277AD4868E87A2A0F7EA1B483019534F244D7F3780EE0399ECAAFFA0A81B42EAFBA577EB053EC7ECAAC481ED1E4D438EBD4B30CE260OAL" TargetMode = "External"/>
	<Relationship Id="rId76" Type="http://schemas.openxmlformats.org/officeDocument/2006/relationships/hyperlink" Target="consultantplus://offline/ref=30FB83C277AD4868E87A2A0F7EA1B483069635F142D0F3780EE0399ECAAFFA0A81B42EAFBA577EB05FEC7ECAAC481ED1E4D438EBD4B30CE260OAL" TargetMode = "External"/>
	<Relationship Id="rId77" Type="http://schemas.openxmlformats.org/officeDocument/2006/relationships/hyperlink" Target="consultantplus://offline/ref=30FB83C277AD4868E87A2A0F7EA1B483069635F142D0F3780EE0399ECAAFFA0A81B42EAFBA577FB95EEC7ECAAC481ED1E4D438EBD4B30CE260OAL" TargetMode = "External"/>
	<Relationship Id="rId78" Type="http://schemas.openxmlformats.org/officeDocument/2006/relationships/hyperlink" Target="consultantplus://offline/ref=30FB83C277AD4868E87A2A0F7EA1B483069635F142D0F3780EE0399ECAAFFA0A81B42EAFBA577FB856EC7ECAAC481ED1E4D438EBD4B30CE260OAL" TargetMode = "External"/>
	<Relationship Id="rId79" Type="http://schemas.openxmlformats.org/officeDocument/2006/relationships/hyperlink" Target="consultantplus://offline/ref=30FB83C277AD4868E87A2A0F7EA1B483069635F142D0F3780EE0399ECAAFFA0A81B42EAFBA577FB857EC7ECAAC481ED1E4D438EBD4B30CE260OAL" TargetMode = "External"/>
	<Relationship Id="rId80" Type="http://schemas.openxmlformats.org/officeDocument/2006/relationships/hyperlink" Target="consultantplus://offline/ref=30FB83C277AD4868E87A2A0F7EA1B483069635F142D0F3780EE0399ECAAFFA0A81B42EAFBA577FB854EC7ECAAC481ED1E4D438EBD4B30CE260OAL" TargetMode = "External"/>
	<Relationship Id="rId81" Type="http://schemas.openxmlformats.org/officeDocument/2006/relationships/hyperlink" Target="consultantplus://offline/ref=30FB83C277AD4868E87A2A0F7EA1B483069635F142D0F3780EE0399ECAAFFA0A81B42EAFBA577FB853EC7ECAAC481ED1E4D438EBD4B30CE260OAL" TargetMode = "External"/>
	<Relationship Id="rId82" Type="http://schemas.openxmlformats.org/officeDocument/2006/relationships/hyperlink" Target="consultantplus://offline/ref=30FB83C277AD4868E87A2A0F7EA1B483069635F142D0F3780EE0399ECAAFFA0A81B42EAFBA577FB850EC7ECAAC481ED1E4D438EBD4B30CE260OAL" TargetMode = "External"/>
	<Relationship Id="rId83" Type="http://schemas.openxmlformats.org/officeDocument/2006/relationships/hyperlink" Target="consultantplus://offline/ref=30FB83C277AD4868E87A2A0F7EA1B483069635F142D0F3780EE0399ECAAFFA0A81B42EAFBA577FB851EC7ECAAC481ED1E4D438EBD4B30CE260OAL" TargetMode = "External"/>
	<Relationship Id="rId84" Type="http://schemas.openxmlformats.org/officeDocument/2006/relationships/hyperlink" Target="consultantplus://offline/ref=30FB83C277AD4868E87A2A0F7EA1B483069635F142D0F3780EE0399ECAAFFA0A81B42EAFBA577FB85FEC7ECAAC481ED1E4D438EBD4B30CE260OAL" TargetMode = "External"/>
	<Relationship Id="rId85" Type="http://schemas.openxmlformats.org/officeDocument/2006/relationships/hyperlink" Target="consultantplus://offline/ref=30FB83C277AD4868E87A2A0F7EA1B483069635F142D0F3780EE0399ECAAFFA0A81B42EAFBA577FBB56EC7ECAAC481ED1E4D438EBD4B30CE260OAL" TargetMode = "External"/>
	<Relationship Id="rId86" Type="http://schemas.openxmlformats.org/officeDocument/2006/relationships/hyperlink" Target="consultantplus://offline/ref=30FB83C277AD4868E87A2A0F7EA1B483069635F142D0F3780EE0399ECAAFFA0A81B42EAFBA577FBB57EC7ECAAC481ED1E4D438EBD4B30CE260OAL" TargetMode = "External"/>
	<Relationship Id="rId87" Type="http://schemas.openxmlformats.org/officeDocument/2006/relationships/hyperlink" Target="consultantplus://offline/ref=30FB83C277AD4868E87A2A0F7EA1B483069635F142D0F3780EE0399ECAAFFA0A81B42EAFBA577FBB55EC7ECAAC481ED1E4D438EBD4B30CE260OAL" TargetMode = "External"/>
	<Relationship Id="rId88" Type="http://schemas.openxmlformats.org/officeDocument/2006/relationships/image" Target="media/image2.wmf"/>
	<Relationship Id="rId89" Type="http://schemas.openxmlformats.org/officeDocument/2006/relationships/image" Target="media/image3.wmf"/>
	<Relationship Id="rId90" Type="http://schemas.openxmlformats.org/officeDocument/2006/relationships/hyperlink" Target="consultantplus://offline/ref=30FB83C277AD4868E87A2A0F7EA1B483069635F142D0F3780EE0399ECAAFFA0A81B42EAFBA577FBB53EC7ECAAC481ED1E4D438EBD4B30CE260OAL" TargetMode = "External"/>
	<Relationship Id="rId91" Type="http://schemas.openxmlformats.org/officeDocument/2006/relationships/image" Target="media/image4.wmf"/>
	<Relationship Id="rId92" Type="http://schemas.openxmlformats.org/officeDocument/2006/relationships/hyperlink" Target="consultantplus://offline/ref=30FB83C277AD4868E87A2A0F7EA1B483069635F142D0F3780EE0399ECAAFFA0A81B42EAFBA577FBB50EC7ECAAC481ED1E4D438EBD4B30CE260OAL" TargetMode = "External"/>
	<Relationship Id="rId93" Type="http://schemas.openxmlformats.org/officeDocument/2006/relationships/hyperlink" Target="consultantplus://offline/ref=30FB83C277AD4868E87A2A0F7EA1B483069635F142D0F3780EE0399ECAAFFA0A81B42EAFBA577FBB51EC7ECAAC481ED1E4D438EBD4B30CE260OAL" TargetMode = "External"/>
	<Relationship Id="rId94" Type="http://schemas.openxmlformats.org/officeDocument/2006/relationships/image" Target="media/image5.wmf"/>
	<Relationship Id="rId95" Type="http://schemas.openxmlformats.org/officeDocument/2006/relationships/hyperlink" Target="consultantplus://offline/ref=30FB83C277AD4868E87A2A0F7EA1B483069635F142D0F3780EE0399ECAAFFA0A81B42EAFBA577FBB5FEC7ECAAC481ED1E4D438EBD4B30CE260OAL" TargetMode = "External"/>
	<Relationship Id="rId96" Type="http://schemas.openxmlformats.org/officeDocument/2006/relationships/hyperlink" Target="consultantplus://offline/ref=30FB83C277AD4868E87A2A0F7EA1B483069635F142D0F3780EE0399ECAAFFA0A81B42EAFBA577FBA56EC7ECAAC481ED1E4D438EBD4B30CE260OAL" TargetMode = "External"/>
	<Relationship Id="rId97" Type="http://schemas.openxmlformats.org/officeDocument/2006/relationships/hyperlink" Target="consultantplus://offline/ref=30FB83C277AD4868E87A2A0F7EA1B483069635F142D0F3780EE0399ECAAFFA0A81B42EAFBA577FBA57EC7ECAAC481ED1E4D438EBD4B30CE260OAL" TargetMode = "External"/>
	<Relationship Id="rId98" Type="http://schemas.openxmlformats.org/officeDocument/2006/relationships/hyperlink" Target="consultantplus://offline/ref=30FB83C277AD4868E87A2A0F7EA1B483069635F142D0F3780EE0399ECAAFFA0A81B42EAFBA577FBA54EC7ECAAC481ED1E4D438EBD4B30CE260OAL" TargetMode = "External"/>
	<Relationship Id="rId99" Type="http://schemas.openxmlformats.org/officeDocument/2006/relationships/hyperlink" Target="consultantplus://offline/ref=30FB83C277AD4868E87A2A0F7EA1B483069635F142D0F3780EE0399ECAAFFA0A81B42EAFBA577FBA55EC7ECAAC481ED1E4D438EBD4B30CE260OAL" TargetMode = "External"/>
	<Relationship Id="rId100" Type="http://schemas.openxmlformats.org/officeDocument/2006/relationships/image" Target="media/image6.wmf"/>
	<Relationship Id="rId101" Type="http://schemas.openxmlformats.org/officeDocument/2006/relationships/hyperlink" Target="consultantplus://offline/ref=30FB83C277AD4868E87A2A0F7EA1B483069635F142D0F3780EE0399ECAAFFA0A81B42EAFBA577FBA52EC7ECAAC481ED1E4D438EBD4B30CE260OAL" TargetMode = "External"/>
	<Relationship Id="rId102" Type="http://schemas.openxmlformats.org/officeDocument/2006/relationships/hyperlink" Target="consultantplus://offline/ref=30FB83C277AD4868E87A2A0F7EA1B483069635F142D0F3780EE0399ECAAFFA0A81B42EAFBA577FBA53EC7ECAAC481ED1E4D438EBD4B30CE260OAL" TargetMode = "External"/>
	<Relationship Id="rId103" Type="http://schemas.openxmlformats.org/officeDocument/2006/relationships/image" Target="media/image7.wmf"/>
	<Relationship Id="rId104" Type="http://schemas.openxmlformats.org/officeDocument/2006/relationships/hyperlink" Target="consultantplus://offline/ref=30FB83C277AD4868E87A2A0F7EA1B483069635F142D0F3780EE0399ECAAFFA0A81B42EAFBA577FBA50EC7ECAAC481ED1E4D438EBD4B30CE260OAL" TargetMode = "External"/>
	<Relationship Id="rId105" Type="http://schemas.openxmlformats.org/officeDocument/2006/relationships/hyperlink" Target="consultantplus://offline/ref=30FB83C277AD4868E87A2A0F7EA1B483069635F142D0F3780EE0399ECAAFFA0A81B42EAFBA577FBA51EC7ECAAC481ED1E4D438EBD4B30CE260OAL" TargetMode = "External"/>
	<Relationship Id="rId106" Type="http://schemas.openxmlformats.org/officeDocument/2006/relationships/image" Target="media/image8.wmf"/>
	<Relationship Id="rId107" Type="http://schemas.openxmlformats.org/officeDocument/2006/relationships/image" Target="media/image9.wmf"/>
	<Relationship Id="rId108" Type="http://schemas.openxmlformats.org/officeDocument/2006/relationships/hyperlink" Target="consultantplus://offline/ref=30FB83C277AD4868E87A2A0F7EA1B483069635F142D0F3780EE0399ECAAFFA0A81B42EAFBA577FBA5FEC7ECAAC481ED1E4D438EBD4B30CE260OAL" TargetMode = "External"/>
	<Relationship Id="rId109" Type="http://schemas.openxmlformats.org/officeDocument/2006/relationships/image" Target="media/image10.wmf"/>
	<Relationship Id="rId110" Type="http://schemas.openxmlformats.org/officeDocument/2006/relationships/hyperlink" Target="consultantplus://offline/ref=30FB83C277AD4868E87A2A0F7EA1B483069635F142D0F3780EE0399ECAAFFA0A81B42EAFBA577FBD56EC7ECAAC481ED1E4D438EBD4B30CE260OAL" TargetMode = "External"/>
	<Relationship Id="rId111" Type="http://schemas.openxmlformats.org/officeDocument/2006/relationships/image" Target="media/image11.wmf"/>
	<Relationship Id="rId112" Type="http://schemas.openxmlformats.org/officeDocument/2006/relationships/hyperlink" Target="consultantplus://offline/ref=30FB83C277AD4868E87A2A0F7EA1B483069635F142D0F3780EE0399ECAAFFA0A81B42EAFBA577FBD57EC7ECAAC481ED1E4D438EBD4B30CE260OAL" TargetMode = "External"/>
	<Relationship Id="rId113" Type="http://schemas.openxmlformats.org/officeDocument/2006/relationships/image" Target="media/image12.wmf"/>
	<Relationship Id="rId114" Type="http://schemas.openxmlformats.org/officeDocument/2006/relationships/image" Target="media/image13.wmf"/>
	<Relationship Id="rId115" Type="http://schemas.openxmlformats.org/officeDocument/2006/relationships/hyperlink" Target="consultantplus://offline/ref=30FB83C277AD4868E87A2A0F7EA1B483069635F142D0F3780EE0399ECAAFFA0A81B42EAFBA577FBD55EC7ECAAC481ED1E4D438EBD4B30CE260OAL" TargetMode = "External"/>
	<Relationship Id="rId116" Type="http://schemas.openxmlformats.org/officeDocument/2006/relationships/image" Target="media/image14.wmf"/>
	<Relationship Id="rId117" Type="http://schemas.openxmlformats.org/officeDocument/2006/relationships/image" Target="media/image15.wmf"/>
	<Relationship Id="rId118" Type="http://schemas.openxmlformats.org/officeDocument/2006/relationships/image" Target="media/image16.wmf"/>
	<Relationship Id="rId119" Type="http://schemas.openxmlformats.org/officeDocument/2006/relationships/hyperlink" Target="consultantplus://offline/ref=30FB83C277AD4868E87A2A0F7EA1B483069635F142D0F3780EE0399ECAAFFA0A81B42EAFBA577FBF55EC7ECAAC481ED1E4D438EBD4B30CE260OAL" TargetMode = "External"/>
	<Relationship Id="rId120" Type="http://schemas.openxmlformats.org/officeDocument/2006/relationships/image" Target="media/image17.wmf"/>
	<Relationship Id="rId121" Type="http://schemas.openxmlformats.org/officeDocument/2006/relationships/hyperlink" Target="consultantplus://offline/ref=30FB83C277AD4868E87A2A0F7EA1B483069635F142D0F3780EE0399ECAAFFA0A81B42EAFBA577FBF52EC7ECAAC481ED1E4D438EBD4B30CE260OAL" TargetMode = "External"/>
	<Relationship Id="rId122" Type="http://schemas.openxmlformats.org/officeDocument/2006/relationships/hyperlink" Target="consultantplus://offline/ref=30FB83C277AD4868E87A2A0F7EA1B483069635F142D0F3780EE0399ECAAFFA0A81B42EAFBA577FBF53EC7ECAAC481ED1E4D438EBD4B30CE260OAL" TargetMode = "External"/>
	<Relationship Id="rId123" Type="http://schemas.openxmlformats.org/officeDocument/2006/relationships/hyperlink" Target="consultantplus://offline/ref=30FB83C277AD4868E87A2A0F7EA1B483069635F142D0F3780EE0399ECAAFFA0A81B42EAFBA577FBF51EC7ECAAC481ED1E4D438EBD4B30CE260OAL" TargetMode = "External"/>
	<Relationship Id="rId124" Type="http://schemas.openxmlformats.org/officeDocument/2006/relationships/hyperlink" Target="consultantplus://offline/ref=30FB83C277AD4868E87A2A0F7EA1B483069635F142D0F3780EE0399ECAAFFA0A81B42EAFBA577FBF5FEC7ECAAC481ED1E4D438EBD4B30CE260OAL" TargetMode = "External"/>
	<Relationship Id="rId125" Type="http://schemas.openxmlformats.org/officeDocument/2006/relationships/hyperlink" Target="consultantplus://offline/ref=30FB83C277AD4868E87A2A0F7EA1B483069635F142D0F3780EE0399ECAAFFA0A81B42EAFBA577FBE57EC7ECAAC481ED1E4D438EBD4B30CE260OAL" TargetMode = "External"/>
	<Relationship Id="rId126" Type="http://schemas.openxmlformats.org/officeDocument/2006/relationships/hyperlink" Target="consultantplus://offline/ref=30FB83C277AD4868E87A2A0F7EA1B483069635F142D0F3780EE0399ECAAFFA0A81B42EAFBA577FBE53EC7ECAAC481ED1E4D438EBD4B30CE260OAL" TargetMode = "External"/>
	<Relationship Id="rId127" Type="http://schemas.openxmlformats.org/officeDocument/2006/relationships/hyperlink" Target="consultantplus://offline/ref=30FB83C277AD4868E87A2A0F7EA1B483069635F142D0F3780EE0399ECAAFFA0A81B42EAFBA577FBE50EC7ECAAC481ED1E4D438EBD4B30CE260OAL" TargetMode = "External"/>
	<Relationship Id="rId128" Type="http://schemas.openxmlformats.org/officeDocument/2006/relationships/hyperlink" Target="consultantplus://offline/ref=30FB83C277AD4868E87A2A0F7EA1B483069635F142D0F3780EE0399ECAAFFA0A81B42EAFBA577FBE51EC7ECAAC481ED1E4D438EBD4B30CE260OAL" TargetMode = "External"/>
	<Relationship Id="rId129" Type="http://schemas.openxmlformats.org/officeDocument/2006/relationships/hyperlink" Target="consultantplus://offline/ref=30FB83C277AD4868E87A2A0F7EA1B483069635F142D0F3780EE0399ECAAFFA0A81B42EAFBA577FBE5EEC7ECAAC481ED1E4D438EBD4B30CE260OAL" TargetMode = "External"/>
	<Relationship Id="rId130" Type="http://schemas.openxmlformats.org/officeDocument/2006/relationships/hyperlink" Target="consultantplus://offline/ref=30FB83C277AD4868E87A2A0F7EA1B483069635F142D0F3780EE0399ECAAFFA0A81B42EAFBA577FB156EC7ECAAC481ED1E4D438EBD4B30CE260OAL" TargetMode = "External"/>
	<Relationship Id="rId131" Type="http://schemas.openxmlformats.org/officeDocument/2006/relationships/hyperlink" Target="consultantplus://offline/ref=30FB83C277AD4868E87A2A0F7EA1B483069635F142D0F3780EE0399ECAAFFA0A81B42EAFBA577FB157EC7ECAAC481ED1E4D438EBD4B30CE260OAL" TargetMode = "External"/>
	<Relationship Id="rId132" Type="http://schemas.openxmlformats.org/officeDocument/2006/relationships/hyperlink" Target="consultantplus://offline/ref=30FB83C277AD4868E87A2A0F7EA1B483069635F142D0F3780EE0399ECAAFFA0A81B42EAFBA577FB155EC7ECAAC481ED1E4D438EBD4B30CE260OAL" TargetMode = "External"/>
	<Relationship Id="rId133" Type="http://schemas.openxmlformats.org/officeDocument/2006/relationships/hyperlink" Target="consultantplus://offline/ref=30FB83C277AD4868E87A2A0F7EA1B483069635F142D0F3780EE0399ECAAFFA0A81B42EAFBA577FB15EEC7ECAAC481ED1E4D438EBD4B30CE260OAL" TargetMode = "External"/>
	<Relationship Id="rId134" Type="http://schemas.openxmlformats.org/officeDocument/2006/relationships/hyperlink" Target="consultantplus://offline/ref=30FB83C277AD4868E87A2A0F7EA1B483069635F142D0F3780EE0399ECAAFFA0A81B42EAFBA577FB056EC7ECAAC481ED1E4D438EBD4B30CE260OAL" TargetMode = "External"/>
	<Relationship Id="rId135" Type="http://schemas.openxmlformats.org/officeDocument/2006/relationships/hyperlink" Target="consultantplus://offline/ref=30FB83C277AD4868E87A2A0F7EA1B483069635F142D0F3780EE0399ECAAFFA0A81B42EAFBA577FB054EC7ECAAC481ED1E4D438EBD4B30CE260OAL" TargetMode = "External"/>
	<Relationship Id="rId136" Type="http://schemas.openxmlformats.org/officeDocument/2006/relationships/hyperlink" Target="consultantplus://offline/ref=30FB83C277AD4868E87A2A0F7EA1B483069635F142D0F3780EE0399ECAAFFA0A81B42EAFBA577FB055EC7ECAAC481ED1E4D438EBD4B30CE260OAL" TargetMode = "External"/>
	<Relationship Id="rId137" Type="http://schemas.openxmlformats.org/officeDocument/2006/relationships/hyperlink" Target="consultantplus://offline/ref=30FB83C277AD4868E87A2A0F7EA1B483069635F142D0F3780EE0399ECAAFFA0A81B42EAFBA577FB053EC7ECAAC481ED1E4D438EBD4B30CE260OAL" TargetMode = "External"/>
	<Relationship Id="rId138" Type="http://schemas.openxmlformats.org/officeDocument/2006/relationships/hyperlink" Target="consultantplus://offline/ref=30FB83C277AD4868E87A2A0F7EA1B483069535F241D6F3780EE0399ECAAFFA0A81B42EAFBA577EB85FEC7ECAAC481ED1E4D438EBD4B30CE260OAL" TargetMode = "External"/>
	<Relationship Id="rId139" Type="http://schemas.openxmlformats.org/officeDocument/2006/relationships/hyperlink" Target="consultantplus://offline/ref=30FB83C277AD4868E87A2A0F7EA1B483069635F142D0F3780EE0399ECAAFFA0A81B42EAFBA577FB050EC7ECAAC481ED1E4D438EBD4B30CE260OAL" TargetMode = "External"/>
	<Relationship Id="rId140" Type="http://schemas.openxmlformats.org/officeDocument/2006/relationships/hyperlink" Target="consultantplus://offline/ref=30FB83C277AD4868E87A2A0F7EA1B483069635F142D0F3780EE0399ECAAFFA0A81B42EAFBA577FB05EEC7ECAAC481ED1E4D438EBD4B30CE260OAL" TargetMode = "External"/>
	<Relationship Id="rId141" Type="http://schemas.openxmlformats.org/officeDocument/2006/relationships/hyperlink" Target="consultantplus://offline/ref=30FB83C277AD4868E87A2A0F7EA1B483069635F142D0F3780EE0399ECAAFFA0A81B42EAFBA577FB05FEC7ECAAC481ED1E4D438EBD4B30CE260OAL" TargetMode = "External"/>
	<Relationship Id="rId142" Type="http://schemas.openxmlformats.org/officeDocument/2006/relationships/hyperlink" Target="consultantplus://offline/ref=30FB83C277AD4868E87A2A0F7EA1B483019236F341D0F3780EE0399ECAAFFA0A81B42EAFBA577EB05EEC7ECAAC481ED1E4D438EBD4B30CE260OAL" TargetMode = "External"/>
	<Relationship Id="rId143" Type="http://schemas.openxmlformats.org/officeDocument/2006/relationships/hyperlink" Target="consultantplus://offline/ref=30FB83C277AD4868E87A2A0F7EA1B483019236F341D0F3780EE0399ECAAFFA0A81B42EAFBA577FB852EC7ECAAC481ED1E4D438EBD4B30CE260OAL" TargetMode = "External"/>
	<Relationship Id="rId144" Type="http://schemas.openxmlformats.org/officeDocument/2006/relationships/hyperlink" Target="consultantplus://offline/ref=30FB83C277AD4868E87A2A0F7EA1B483069635F142D0F3780EE0399ECAAFFA0A81B42EAFBA577CB957EC7ECAAC481ED1E4D438EBD4B30CE260OAL" TargetMode = "External"/>
	<Relationship Id="rId145" Type="http://schemas.openxmlformats.org/officeDocument/2006/relationships/hyperlink" Target="consultantplus://offline/ref=30FB83C277AD4868E87A2A0F7EA1B483069635F142D0F3780EE0399ECAAFFA0A81B42EAFBA577CB950EC7ECAAC481ED1E4D438EBD4B30CE260OAL" TargetMode = "External"/>
	<Relationship Id="rId146" Type="http://schemas.openxmlformats.org/officeDocument/2006/relationships/hyperlink" Target="consultantplus://offline/ref=30FB83C277AD4868E87A2A0F7EA1B483069635F142D0F3780EE0399ECAAFFA0A81B42EAFBA577CB951EC7ECAAC481ED1E4D438EBD4B30CE260OAL" TargetMode = "External"/>
	<Relationship Id="rId147" Type="http://schemas.openxmlformats.org/officeDocument/2006/relationships/hyperlink" Target="consultantplus://offline/ref=30FB83C277AD4868E87A2A0F7EA1B483069635F142D0F3780EE0399ECAAFFA0A81B42EAFBA577CB854EC7ECAAC481ED1E4D438EBD4B30CE260OAL" TargetMode = "External"/>
	<Relationship Id="rId148" Type="http://schemas.openxmlformats.org/officeDocument/2006/relationships/hyperlink" Target="consultantplus://offline/ref=30FB83C277AD4868E87A2A0F7EA1B483069635F142D0F3780EE0399ECAAFFA0A81B42EAFBA577CB855EC7ECAAC481ED1E4D438EBD4B30CE260OAL" TargetMode = "External"/>
	<Relationship Id="rId149" Type="http://schemas.openxmlformats.org/officeDocument/2006/relationships/hyperlink" Target="consultantplus://offline/ref=30FB83C277AD4868E87A2A0F7EA1B483069437F540DEF3780EE0399ECAAFFA0A81B42EAFB95E75ED07A37F96E81B0DD0E2D43BEBC86BO3L" TargetMode = "External"/>
	<Relationship Id="rId150" Type="http://schemas.openxmlformats.org/officeDocument/2006/relationships/hyperlink" Target="consultantplus://offline/ref=30FB83C277AD4868E87A2A0F7EA1B483069635F142D0F3780EE0399ECAAFFA0A81B42EAFBA577CB852EC7ECAAC481ED1E4D438EBD4B30CE260OAL" TargetMode = "External"/>
	<Relationship Id="rId151" Type="http://schemas.openxmlformats.org/officeDocument/2006/relationships/hyperlink" Target="consultantplus://offline/ref=30FB83C277AD4868E87A2A0F7EA1B483069635F142D0F3780EE0399ECAAFFA0A81B42EAFBA577CB850EC7ECAAC481ED1E4D438EBD4B30CE260OAL" TargetMode = "External"/>
	<Relationship Id="rId152" Type="http://schemas.openxmlformats.org/officeDocument/2006/relationships/hyperlink" Target="consultantplus://offline/ref=30FB83C277AD4868E87A2A0F7EA1B483069635F142D0F3780EE0399ECAAFFA0A81B42EAFBA577CB85EEC7ECAAC481ED1E4D438EBD4B30CE260OAL" TargetMode = "External"/>
	<Relationship Id="rId153" Type="http://schemas.openxmlformats.org/officeDocument/2006/relationships/hyperlink" Target="consultantplus://offline/ref=30FB83C277AD4868E87A2A0F7EA1B483039431F049D7F3780EE0399ECAAFFA0A81B42EAFBA577EBD5FEC7ECAAC481ED1E4D438EBD4B30CE260OAL" TargetMode = "External"/>
	<Relationship Id="rId154" Type="http://schemas.openxmlformats.org/officeDocument/2006/relationships/hyperlink" Target="consultantplus://offline/ref=30FB83C277AD4868E87A2A0F7EA1B483069635F142D0F3780EE0399ECAAFFA0A81B42EAFBA577CBB56EC7ECAAC481ED1E4D438EBD4B30CE260OAL" TargetMode = "External"/>
	<Relationship Id="rId155" Type="http://schemas.openxmlformats.org/officeDocument/2006/relationships/hyperlink" Target="consultantplus://offline/ref=30FB83C277AD4868E87A2A0F7EA1B483069635F142D0F3780EE0399ECAAFFA0A81B42EAFBA577CBB57EC7ECAAC481ED1E4D438EBD4B30CE260OAL" TargetMode = "External"/>
	<Relationship Id="rId156" Type="http://schemas.openxmlformats.org/officeDocument/2006/relationships/hyperlink" Target="consultantplus://offline/ref=30FB83C277AD4868E87A2A0F7EA1B483069635F142D0F3780EE0399ECAAFFA0A81B42EAFBA577CBB52EC7ECAAC481ED1E4D438EBD4B30CE260OAL" TargetMode = "External"/>
	<Relationship Id="rId157" Type="http://schemas.openxmlformats.org/officeDocument/2006/relationships/hyperlink" Target="consultantplus://offline/ref=30FB83C277AD4868E87A2A0F7EA1B483069635F142D0F3780EE0399ECAAFFA0A81B42EAFBA577CBB50EC7ECAAC481ED1E4D438EBD4B30CE260OAL" TargetMode = "External"/>
	<Relationship Id="rId158" Type="http://schemas.openxmlformats.org/officeDocument/2006/relationships/hyperlink" Target="consultantplus://offline/ref=30FB83C277AD4868E87A2A0F7EA1B483069635F142D0F3780EE0399ECAAFFA0A81B42EAFBA577CBB51EC7ECAAC481ED1E4D438EBD4B30CE260OAL" TargetMode = "External"/>
	<Relationship Id="rId159" Type="http://schemas.openxmlformats.org/officeDocument/2006/relationships/hyperlink" Target="consultantplus://offline/ref=30FB83C277AD4868E87A2A0F7EA1B483069635F142D0F3780EE0399ECAAFFA0A81B42EAFBA577CBB5EEC7ECAAC481ED1E4D438EBD4B30CE260OAL" TargetMode = "External"/>
	<Relationship Id="rId160" Type="http://schemas.openxmlformats.org/officeDocument/2006/relationships/hyperlink" Target="consultantplus://offline/ref=30FB83C277AD4868E87A2A0F7EA1B483069535F241D2F3780EE0399ECAAFFA0A93B476A3BA5160B856F9289BEA61OFL" TargetMode = "External"/>
	<Relationship Id="rId161" Type="http://schemas.openxmlformats.org/officeDocument/2006/relationships/hyperlink" Target="consultantplus://offline/ref=30FB83C277AD4868E87A2A0F7EA1B483019032F147D4F3780EE0399ECAAFFA0A93B476A3BA5160B856F9289BEA61OFL" TargetMode = "External"/>
	<Relationship Id="rId162" Type="http://schemas.openxmlformats.org/officeDocument/2006/relationships/hyperlink" Target="consultantplus://offline/ref=30FB83C277AD4868E87A2A0F7EA1B483069530FE45D7F3780EE0399ECAAFFA0A93B476A3BA5160B856F9289BEA61OFL" TargetMode = "External"/>
	<Relationship Id="rId163" Type="http://schemas.openxmlformats.org/officeDocument/2006/relationships/hyperlink" Target="consultantplus://offline/ref=30FB83C277AD4868E87A2A0F7EA1B483069530FE45D4F3780EE0399ECAAFFA0A93B476A3BA5160B856F9289BEA61OFL" TargetMode = "External"/>
	<Relationship Id="rId164" Type="http://schemas.openxmlformats.org/officeDocument/2006/relationships/hyperlink" Target="consultantplus://offline/ref=30FB83C277AD4868E87A2A0F7EA1B483019D35FF49D7F3780EE0399ECAAFFA0A81B42EAFBA577EB95EEC7ECAAC481ED1E4D438EBD4B30CE260OAL" TargetMode = "External"/>
	<Relationship Id="rId165" Type="http://schemas.openxmlformats.org/officeDocument/2006/relationships/hyperlink" Target="consultantplus://offline/ref=30FB83C277AD4868E87A2A0F7EA1B483069635F142D0F3780EE0399ECAAFFA0A81B42EAFBA577CBB5FEC7ECAAC481ED1E4D438EBD4B30CE260OAL" TargetMode = "External"/>
	<Relationship Id="rId166" Type="http://schemas.openxmlformats.org/officeDocument/2006/relationships/hyperlink" Target="consultantplus://offline/ref=30FB83C277AD4868E87A2A0F7EA1B483069635F142D0F3780EE0399ECAAFFA0A81B42EAFBA577CBA56EC7ECAAC481ED1E4D438EBD4B30CE260OAL" TargetMode = "External"/>
	<Relationship Id="rId167" Type="http://schemas.openxmlformats.org/officeDocument/2006/relationships/hyperlink" Target="consultantplus://offline/ref=30FB83C277AD4868E87A2A0F7EA1B483069437F540DEF3780EE0399ECAAFFA0A81B42EACBA5777B202B66ECEE51D15CFE3CA27E9CAB360OEL" TargetMode = "External"/>
	<Relationship Id="rId168" Type="http://schemas.openxmlformats.org/officeDocument/2006/relationships/hyperlink" Target="consultantplus://offline/ref=30FB83C277AD4868E87A2A0F7EA1B483069437F540DEF3780EE0399ECAAFFA0A81B42EACBA5777B202B66ECEE51D15CFE3CA27E9CAB360OEL" TargetMode = "External"/>
	<Relationship Id="rId169" Type="http://schemas.openxmlformats.org/officeDocument/2006/relationships/hyperlink" Target="consultantplus://offline/ref=30FB83C277AD4868E87A2A0F7EA1B483069437F540DEF3780EE0399ECAAFFA0A81B42EAFB95E75ED07A37F96E81B0DD0E2D43BEBC86BO3L" TargetMode = "External"/>
	<Relationship Id="rId170" Type="http://schemas.openxmlformats.org/officeDocument/2006/relationships/hyperlink" Target="consultantplus://offline/ref=30FB83C277AD4868E87A2A0F7EA1B483069635F142D0F3780EE0399ECAAFFA0A81B42EAFBA577CBA54EC7ECAAC481ED1E4D438EBD4B30CE260OAL" TargetMode = "External"/>
	<Relationship Id="rId171" Type="http://schemas.openxmlformats.org/officeDocument/2006/relationships/hyperlink" Target="consultantplus://offline/ref=30FB83C277AD4868E87A2A0F7EA1B483069635F142D0F3780EE0399ECAAFFA0A81B42EAFBA577CBA55EC7ECAAC481ED1E4D438EBD4B30CE260OAL" TargetMode = "External"/>
	<Relationship Id="rId172" Type="http://schemas.openxmlformats.org/officeDocument/2006/relationships/hyperlink" Target="consultantplus://offline/ref=30FB83C277AD4868E87A2A0F7EA1B483069632F343D0F3780EE0399ECAAFFA0A81B42EAFBA577EB156EC7ECAAC481ED1E4D438EBD4B30CE260OAL" TargetMode = "External"/>
	<Relationship Id="rId173" Type="http://schemas.openxmlformats.org/officeDocument/2006/relationships/hyperlink" Target="consultantplus://offline/ref=30FB83C277AD4868E87A2A0F7EA1B483069635F142D0F3780EE0399ECAAFFA0A81B42EAFBA577CBA53EC7ECAAC481ED1E4D438EBD4B30CE260OAL" TargetMode = "External"/>
	<Relationship Id="rId174" Type="http://schemas.openxmlformats.org/officeDocument/2006/relationships/hyperlink" Target="consultantplus://offline/ref=30FB83C277AD4868E87A2A0F7EA1B483069635F142D0F3780EE0399ECAAFFA0A81B42EAFBA577CBA53EC7ECAAC481ED1E4D438EBD4B30CE260OAL" TargetMode = "External"/>
	<Relationship Id="rId175" Type="http://schemas.openxmlformats.org/officeDocument/2006/relationships/hyperlink" Target="consultantplus://offline/ref=30FB83C277AD4868E87A2A0F7EA1B483069632F343D0F3780EE0399ECAAFFA0A81B42EA8B3527DB202B66ECEE51D15CFE3CA27E9CAB360OEL" TargetMode = "External"/>
	<Relationship Id="rId176" Type="http://schemas.openxmlformats.org/officeDocument/2006/relationships/hyperlink" Target="consultantplus://offline/ref=30FB83C277AD4868E87A2A0F7EA1B483069635F142D0F3780EE0399ECAAFFA0A81B42EAFBA577CBA50EC7ECAAC481ED1E4D438EBD4B30CE260OAL" TargetMode = "External"/>
	<Relationship Id="rId177" Type="http://schemas.openxmlformats.org/officeDocument/2006/relationships/hyperlink" Target="consultantplus://offline/ref=30FB83C277AD4868E87A2A0F7EA1B483069534FF45D4F3780EE0399ECAAFFA0A93B476A3BA5160B856F9289BEA61OFL" TargetMode = "External"/>
	<Relationship Id="rId178" Type="http://schemas.openxmlformats.org/officeDocument/2006/relationships/hyperlink" Target="consultantplus://offline/ref=30FB83C277AD4868E87A2A0F7EA1B483069635F142D0F3780EE0399ECAAFFA0A81B42EAFBA577CBA5EEC7ECAAC481ED1E4D438EBD4B30CE260OAL" TargetMode = "External"/>
	<Relationship Id="rId179" Type="http://schemas.openxmlformats.org/officeDocument/2006/relationships/hyperlink" Target="consultantplus://offline/ref=30FB83C277AD4868E87A2A0F7EA1B483069634F043D2F3780EE0399ECAAFFA0A81B42EAFBA517EBB5EEC7ECAAC481ED1E4D438EBD4B30CE260OAL" TargetMode = "External"/>
	<Relationship Id="rId180" Type="http://schemas.openxmlformats.org/officeDocument/2006/relationships/hyperlink" Target="consultantplus://offline/ref=30FB83C277AD4868E87A2A0F7EA1B483069635F142D0F3780EE0399ECAAFFA0A81B42EAFBA577CBD57EC7ECAAC481ED1E4D438EBD4B30CE260OAL" TargetMode = "External"/>
	<Relationship Id="rId181" Type="http://schemas.openxmlformats.org/officeDocument/2006/relationships/hyperlink" Target="consultantplus://offline/ref=30FB83C277AD4868E87A2A0F7EA1B483069635F142D0F3780EE0399ECAAFFA0A81B42EAFBA577CBD54EC7ECAAC481ED1E4D438EBD4B30CE260OAL" TargetMode = "External"/>
	<Relationship Id="rId182" Type="http://schemas.openxmlformats.org/officeDocument/2006/relationships/hyperlink" Target="consultantplus://offline/ref=30FB83C277AD4868E87A2A0F7EA1B483069635F142D0F3780EE0399ECAAFFA0A81B42EAFBA577CBD55EC7ECAAC481ED1E4D438EBD4B30CE260OAL" TargetMode = "External"/>
	<Relationship Id="rId183" Type="http://schemas.openxmlformats.org/officeDocument/2006/relationships/hyperlink" Target="consultantplus://offline/ref=30FB83C277AD4868E87A2A0F7EA1B483069635F142D0F3780EE0399ECAAFFA0A81B42EAFBA577CBD53EC7ECAAC481ED1E4D438EBD4B30CE260OAL" TargetMode = "External"/>
	<Relationship Id="rId184" Type="http://schemas.openxmlformats.org/officeDocument/2006/relationships/hyperlink" Target="consultantplus://offline/ref=30FB83C277AD4868E87A2A0F7EA1B483069635F142D0F3780EE0399ECAAFFA0A81B42EAFBA577CBD51EC7ECAAC481ED1E4D438EBD4B30CE260OAL" TargetMode = "External"/>
	<Relationship Id="rId185" Type="http://schemas.openxmlformats.org/officeDocument/2006/relationships/hyperlink" Target="consultantplus://offline/ref=30FB83C277AD4868E87A2A0F7EA1B483069534FE48D5F3780EE0399ECAAFFA0A81B42EAFBA577EB95EEC7ECAAC481ED1E4D438EBD4B30CE260OAL" TargetMode = "External"/>
	<Relationship Id="rId186" Type="http://schemas.openxmlformats.org/officeDocument/2006/relationships/hyperlink" Target="consultantplus://offline/ref=30FB83C277AD4868E87A2A0F7EA1B483069635F142D0F3780EE0399ECAAFFA0A81B42EAFBA577CBD5FEC7ECAAC481ED1E4D438EBD4B30CE260OAL" TargetMode = "External"/>
	<Relationship Id="rId187" Type="http://schemas.openxmlformats.org/officeDocument/2006/relationships/hyperlink" Target="consultantplus://offline/ref=30FB83C277AD4868E87A2A0F7EA1B483069635F142D0F3780EE0399ECAAFFA0A81B42EAFBA577CBC57EC7ECAAC481ED1E4D438EBD4B30CE260OAL" TargetMode = "External"/>
	<Relationship Id="rId188" Type="http://schemas.openxmlformats.org/officeDocument/2006/relationships/hyperlink" Target="consultantplus://offline/ref=30FB83C277AD4868E87A2A0F7EA1B483069534FE48D5F3780EE0399ECAAFFA0A81B42EAFBA577EB95EEC7ECAAC481ED1E4D438EBD4B30CE260OAL" TargetMode = "External"/>
	<Relationship Id="rId189" Type="http://schemas.openxmlformats.org/officeDocument/2006/relationships/hyperlink" Target="consultantplus://offline/ref=30FB83C277AD4868E87A2A0F7EA1B483069534FE48D5F3780EE0399ECAAFFA0A81B42EAFBA577EBA50EC7ECAAC481ED1E4D438EBD4B30CE260OAL" TargetMode = "External"/>
	<Relationship Id="rId190" Type="http://schemas.openxmlformats.org/officeDocument/2006/relationships/hyperlink" Target="consultantplus://offline/ref=30FB83C277AD4868E87A2A0F7EA1B483069534FE48D5F3780EE0399ECAAFFA0A81B42EAFBA577EBA5FEC7ECAAC481ED1E4D438EBD4B30CE260OAL" TargetMode = "External"/>
	<Relationship Id="rId191" Type="http://schemas.openxmlformats.org/officeDocument/2006/relationships/hyperlink" Target="consultantplus://offline/ref=30FB83C277AD4868E87A2A0F7EA1B483069635F142D0F3780EE0399ECAAFFA0A81B42EAFBA577CBC55EC7ECAAC481ED1E4D438EBD4B30CE260OAL" TargetMode = "External"/>
	<Relationship Id="rId192" Type="http://schemas.openxmlformats.org/officeDocument/2006/relationships/hyperlink" Target="consultantplus://offline/ref=30FB83C277AD4868E87A2A0F7EA1B483069635F142D0F3780EE0399ECAAFFA0A81B42EAFBA577CBC52EC7ECAAC481ED1E4D438EBD4B30CE260OAL" TargetMode = "External"/>
	<Relationship Id="rId193" Type="http://schemas.openxmlformats.org/officeDocument/2006/relationships/hyperlink" Target="consultantplus://offline/ref=30FB83C277AD4868E87A231D7CA1B483039138F740DDAE7206B9359CCDA0A50F86A52EAEBC497FB948E52A996EOAL" TargetMode = "External"/>
	<Relationship Id="rId194" Type="http://schemas.openxmlformats.org/officeDocument/2006/relationships/hyperlink" Target="consultantplus://offline/ref=30FB83C277AD4868E87A231D7CA1B483039138F740DDAE7206B9359CCDA0A50F86A52EAEBC497FB948E52A996EOAL" TargetMode = "External"/>
	<Relationship Id="rId195" Type="http://schemas.openxmlformats.org/officeDocument/2006/relationships/hyperlink" Target="consultantplus://offline/ref=30FB83C277AD4868E87A2A0F7EA1B483069534FF45D4F3780EE0399ECAAFFA0A81B42EAFBA577EB950EC7ECAAC481ED1E4D438EBD4B30CE260OAL" TargetMode = "External"/>
	<Relationship Id="rId196" Type="http://schemas.openxmlformats.org/officeDocument/2006/relationships/hyperlink" Target="consultantplus://offline/ref=30FB83C277AD4868E87A2A0F7EA1B483019D32F046D1F3780EE0399ECAAFFA0A81B42EAFBA577EB856EC7ECAAC481ED1E4D438EBD4B30CE260OAL" TargetMode = "External"/>
	<Relationship Id="rId197" Type="http://schemas.openxmlformats.org/officeDocument/2006/relationships/hyperlink" Target="consultantplus://offline/ref=30FB83C277AD4868E87A2A0F7EA1B483069635F142D0F3780EE0399ECAAFFA0A81B42EAFBA577DB95FEC7ECAAC481ED1E4D438EBD4B30CE260OAL" TargetMode = "External"/>
	<Relationship Id="rId198" Type="http://schemas.openxmlformats.org/officeDocument/2006/relationships/header" Target="header2.xml"/>
	<Relationship Id="rId199" Type="http://schemas.openxmlformats.org/officeDocument/2006/relationships/footer" Target="footer2.xml"/>
	<Relationship Id="rId200" Type="http://schemas.openxmlformats.org/officeDocument/2006/relationships/hyperlink" Target="consultantplus://offline/ref=30FB83C277AD4868E87A2A0F7EA1B483069635F142D0F3780EE0399ECAAFFA0A81B42EAFBA577DB856EC7ECAAC481ED1E4D438EBD4B30CE260OAL" TargetMode = "External"/>
	<Relationship Id="rId201" Type="http://schemas.openxmlformats.org/officeDocument/2006/relationships/hyperlink" Target="consultantplus://offline/ref=30FB83C277AD4868E87A2A0F7EA1B483019D32F046D1F3780EE0399ECAAFFA0A81B42EAFBA577CB154EC7ECAAC481ED1E4D438EBD4B30CE260OAL" TargetMode = "External"/>
	<Relationship Id="rId202" Type="http://schemas.openxmlformats.org/officeDocument/2006/relationships/hyperlink" Target="consultantplus://offline/ref=30FB83C277AD4868E87A2A0F7EA1B483069534FF45D4F3780EE0399ECAAFFA0A81B42EA6B85C2AE812B2279BEE0312D1FCC839E96CO8L" TargetMode = "External"/>
	<Relationship Id="rId203" Type="http://schemas.openxmlformats.org/officeDocument/2006/relationships/hyperlink" Target="consultantplus://offline/ref=30FB83C277AD4868E87A2A0F7EA1B483019D32F046D1F3780EE0399ECAAFFA0A81B42EAFBA577CB154EC7ECAAC481ED1E4D438EBD4B30CE260OAL" TargetMode = "External"/>
	<Relationship Id="rId204" Type="http://schemas.openxmlformats.org/officeDocument/2006/relationships/hyperlink" Target="consultantplus://offline/ref=30FB83C277AD4868E87A2A0F7EA1B483069534FF45D4F3780EE0399ECAAFFA0A81B42EA6B85C2AE812B2279BEE0312D1FCC839E96CO8L" TargetMode = "External"/>
	<Relationship Id="rId205" Type="http://schemas.openxmlformats.org/officeDocument/2006/relationships/hyperlink" Target="consultantplus://offline/ref=30FB83C277AD4868E87A2A0F7EA1B483019D32F046D1F3780EE0399ECAAFFA0A81B42EAFBA577CB154EC7ECAAC481ED1E4D438EBD4B30CE260OAL" TargetMode = "External"/>
	<Relationship Id="rId206" Type="http://schemas.openxmlformats.org/officeDocument/2006/relationships/hyperlink" Target="consultantplus://offline/ref=30FB83C277AD4868E87A2A0F7EA1B483069534FF45D4F3780EE0399ECAAFFA0A81B42EA6B85C2AE812B2279BEE0312D1FCC839E96CO8L" TargetMode = "External"/>
	<Relationship Id="rId207" Type="http://schemas.openxmlformats.org/officeDocument/2006/relationships/hyperlink" Target="consultantplus://offline/ref=30FB83C277AD4868E87A2A0F7EA1B483019D32F046D1F3780EE0399ECAAFFA0A81B42EAFBA577CB154EC7ECAAC481ED1E4D438EBD4B30CE260OAL" TargetMode = "External"/>
	<Relationship Id="rId208" Type="http://schemas.openxmlformats.org/officeDocument/2006/relationships/hyperlink" Target="consultantplus://offline/ref=30FB83C277AD4868E87A2A0F7EA1B483069534FF45D4F3780EE0399ECAAFFA0A81B42EA6B85C2AE812B2279BEE0312D1FCC839E96CO8L" TargetMode = "External"/>
	<Relationship Id="rId209" Type="http://schemas.openxmlformats.org/officeDocument/2006/relationships/hyperlink" Target="consultantplus://offline/ref=30FB83C277AD4868E87A2A0F7EA1B483069635F142D0F3780EE0399ECAAFFA0A81B42EAFBA577DB857EC7ECAAC481ED1E4D438EBD4B30CE260OAL" TargetMode = "External"/>
	<Relationship Id="rId210" Type="http://schemas.openxmlformats.org/officeDocument/2006/relationships/hyperlink" Target="consultantplus://offline/ref=30FB83C277AD4868E87A2A0F7EA1B483019D32F046D1F3780EE0399ECAAFFA0A81B42EAFBA577CB154EC7ECAAC481ED1E4D438EBD4B30CE260OAL" TargetMode = "External"/>
	<Relationship Id="rId211" Type="http://schemas.openxmlformats.org/officeDocument/2006/relationships/hyperlink" Target="consultantplus://offline/ref=30FB83C277AD4868E87A2A0F7EA1B483069534FF45D4F3780EE0399ECAAFFA0A81B42EA6B85C2AE812B2279BEE0312D1FCC839E96CO8L" TargetMode = "External"/>
	<Relationship Id="rId212" Type="http://schemas.openxmlformats.org/officeDocument/2006/relationships/hyperlink" Target="consultantplus://offline/ref=30FB83C277AD4868E87A2A0F7EA1B483069635F142D0F3780EE0399ECAAFFA0A81B42EAFBA577DB854EC7ECAAC481ED1E4D438EBD4B30CE260OAL" TargetMode = "External"/>
	<Relationship Id="rId213" Type="http://schemas.openxmlformats.org/officeDocument/2006/relationships/hyperlink" Target="consultantplus://offline/ref=30FB83C277AD4868E87A2A0F7EA1B483069534FF45D4F3780EE0399ECAAFFA0A81B42EA6B85C2AE812B2279BEE0312D1FCC839E96CO8L" TargetMode = "External"/>
	<Relationship Id="rId214" Type="http://schemas.openxmlformats.org/officeDocument/2006/relationships/hyperlink" Target="consultantplus://offline/ref=30FB83C277AD4868E87A2A0F7EA1B483069635F142D0F3780EE0399ECAAFFA0A81B42EAFBA577DB855EC7ECAAC481ED1E4D438EBD4B30CE260OAL" TargetMode = "External"/>
	<Relationship Id="rId215" Type="http://schemas.openxmlformats.org/officeDocument/2006/relationships/hyperlink" Target="consultantplus://offline/ref=30FB83C277AD4868E87A2A0F7EA1B483069635F142D0F3780EE0399ECAAFFA0A81B42EAFBA577DB852EC7ECAAC481ED1E4D438EBD4B30CE260OAL" TargetMode = "External"/>
	<Relationship Id="rId216" Type="http://schemas.openxmlformats.org/officeDocument/2006/relationships/hyperlink" Target="consultantplus://offline/ref=30FB83C277AD4868E87A2A0F7EA1B483069635F142D0F3780EE0399ECAAFFA0A81B42EAFBA577DB853EC7ECAAC481ED1E4D438EBD4B30CE260OAL" TargetMode = "External"/>
	<Relationship Id="rId217" Type="http://schemas.openxmlformats.org/officeDocument/2006/relationships/hyperlink" Target="consultantplus://offline/ref=30FB83C277AD4868E87A2A0F7EA1B483069635F142D0F3780EE0399ECAAFFA0A81B42EAFBA577DB850EC7ECAAC481ED1E4D438EBD4B30CE260OAL" TargetMode = "External"/>
	<Relationship Id="rId218" Type="http://schemas.openxmlformats.org/officeDocument/2006/relationships/hyperlink" Target="consultantplus://offline/ref=30FB83C277AD4868E87A2A0F7EA1B483069532FE49DEF3780EE0399ECAAFFA0A93B476A3BA5160B856F9289BEA61OFL" TargetMode = "External"/>
	<Relationship Id="rId219" Type="http://schemas.openxmlformats.org/officeDocument/2006/relationships/hyperlink" Target="consultantplus://offline/ref=30FB83C277AD4868E87A2A0F7EA1B483019637F445D5F3780EE0399ECAAFFA0A81B42EAFBA577EB95EEC7ECAAC481ED1E4D438EBD4B30CE260OAL" TargetMode = "External"/>
	<Relationship Id="rId220" Type="http://schemas.openxmlformats.org/officeDocument/2006/relationships/hyperlink" Target="consultantplus://offline/ref=30FB83C277AD4868E87A2A0F7EA1B483069632F744D6F3780EE0399ECAAFFA0A81B42EAFBA567EBF51EC7ECAAC481ED1E4D438EBD4B30CE260OAL" TargetMode = "External"/>
	<Relationship Id="rId221" Type="http://schemas.openxmlformats.org/officeDocument/2006/relationships/hyperlink" Target="consultantplus://offline/ref=30FB83C277AD4868E87A2A0F7EA1B483069433F749D7F3780EE0399ECAAFFA0A81B42EAFBA577EBB54EC7ECAAC481ED1E4D438EBD4B30CE260OAL" TargetMode = "External"/>
	<Relationship Id="rId222" Type="http://schemas.openxmlformats.org/officeDocument/2006/relationships/hyperlink" Target="consultantplus://offline/ref=30FB83C277AD4868E87A2A0F7EA1B483069433F749D7F3780EE0399ECAAFFA0A81B42EAFBA577EBB54EC7ECAAC481ED1E4D438EBD4B30CE260OAL" TargetMode = "External"/>
	<Relationship Id="rId223" Type="http://schemas.openxmlformats.org/officeDocument/2006/relationships/hyperlink" Target="consultantplus://offline/ref=30FB83C277AD4868E87A2A0F7EA1B483069632F647DFF3780EE0399ECAAFFA0A93B476A3BA5160B856F9289BEA61OFL" TargetMode = "External"/>
	<Relationship Id="rId224" Type="http://schemas.openxmlformats.org/officeDocument/2006/relationships/hyperlink" Target="consultantplus://offline/ref=30FB83C277AD4868E87A2A0F7EA1B483069632F647DFF3780EE0399ECAAFFA0A93B476A3BA5160B856F9289BEA61OFL" TargetMode = "External"/>
	<Relationship Id="rId225" Type="http://schemas.openxmlformats.org/officeDocument/2006/relationships/hyperlink" Target="consultantplus://offline/ref=30FB83C277AD4868E87A2A0F7EA1B483039431F049D7F3780EE0399ECAAFFA0A81B42EAFBA577EB854EC7ECAAC481ED1E4D438EBD4B30CE260OAL" TargetMode = "External"/>
	<Relationship Id="rId226" Type="http://schemas.openxmlformats.org/officeDocument/2006/relationships/hyperlink" Target="consultantplus://offline/ref=30FB83C277AD4868E87A2A0F7EA1B483069632F545D2F3780EE0399ECAAFFA0A81B42EAFB2577BB202B66ECEE51D15CFE3CA27E9CAB360OEL" TargetMode = "External"/>
	<Relationship Id="rId227" Type="http://schemas.openxmlformats.org/officeDocument/2006/relationships/hyperlink" Target="consultantplus://offline/ref=30FB83C277AD4868E87A2A0F7EA1B483069635F142D0F3780EE0399ECAAFFA0A81B42EAFBA577DB851EC7ECAAC481ED1E4D438EBD4B30CE260OAL" TargetMode = "External"/>
	<Relationship Id="rId228" Type="http://schemas.openxmlformats.org/officeDocument/2006/relationships/hyperlink" Target="consultantplus://offline/ref=30FB83C277AD4868E87A2A0F7EA1B483069635F142D0F3780EE0399ECAAFFA0A81B42EAFBA577DB85EEC7ECAAC481ED1E4D438EBD4B30CE260OAL" TargetMode = "External"/>
	<Relationship Id="rId229" Type="http://schemas.openxmlformats.org/officeDocument/2006/relationships/hyperlink" Target="consultantplus://offline/ref=30FB83C277AD4868E87A2A0F7EA1B483069635F142D0F3780EE0399ECAAFFA0A81B42EAFBA577DB85FEC7ECAAC481ED1E4D438EBD4B30CE260OAL"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Минстроя России от 04.08.2020 N 421/пр
(ред. от 07.07.2022)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(Зарегистрировано в Минюсте России 23.09.2020 N 59986)</dc:title>
  <dcterms:created xsi:type="dcterms:W3CDTF">2022-10-06T11:14:57Z</dcterms:created>
</cp:coreProperties>
</file>