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D4D" w:rsidRDefault="00E47D4D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47D4D" w:rsidRDefault="00E47D4D">
      <w:pPr>
        <w:pStyle w:val="ConsPlusNormal"/>
        <w:jc w:val="both"/>
        <w:outlineLvl w:val="0"/>
      </w:pPr>
    </w:p>
    <w:p w:rsidR="00E47D4D" w:rsidRDefault="00E47D4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47D4D" w:rsidRDefault="00E47D4D">
      <w:pPr>
        <w:pStyle w:val="ConsPlusTitle"/>
        <w:jc w:val="center"/>
      </w:pPr>
    </w:p>
    <w:p w:rsidR="00E47D4D" w:rsidRDefault="00E47D4D">
      <w:pPr>
        <w:pStyle w:val="ConsPlusTitle"/>
        <w:jc w:val="center"/>
      </w:pPr>
      <w:r>
        <w:t>ПОСТАНОВЛЕНИЕ</w:t>
      </w:r>
    </w:p>
    <w:p w:rsidR="00E47D4D" w:rsidRDefault="00E47D4D">
      <w:pPr>
        <w:pStyle w:val="ConsPlusTitle"/>
        <w:jc w:val="center"/>
      </w:pPr>
      <w:r>
        <w:t>от 17 августа 2021 г. N 1357</w:t>
      </w:r>
    </w:p>
    <w:p w:rsidR="00E47D4D" w:rsidRDefault="00E47D4D">
      <w:pPr>
        <w:pStyle w:val="ConsPlusTitle"/>
        <w:jc w:val="center"/>
      </w:pPr>
    </w:p>
    <w:p w:rsidR="00E47D4D" w:rsidRDefault="00E47D4D">
      <w:pPr>
        <w:pStyle w:val="ConsPlusTitle"/>
        <w:jc w:val="center"/>
      </w:pPr>
      <w:r>
        <w:t>ОБ УТВЕРЖДЕНИИ ПРАВИЛ</w:t>
      </w:r>
    </w:p>
    <w:p w:rsidR="00E47D4D" w:rsidRDefault="00E47D4D">
      <w:pPr>
        <w:pStyle w:val="ConsPlusTitle"/>
        <w:jc w:val="center"/>
      </w:pPr>
      <w:r>
        <w:t>ПРЕДОСТАВЛЕНИЯ СУБСИДИИ АКЦИОНЕРНОМУ ОБЩЕСТВУ "ПОЧТА БАНК"</w:t>
      </w:r>
    </w:p>
    <w:p w:rsidR="00E47D4D" w:rsidRDefault="00E47D4D">
      <w:pPr>
        <w:pStyle w:val="ConsPlusTitle"/>
        <w:jc w:val="center"/>
      </w:pPr>
      <w:r>
        <w:t>НА ФИНАНСОВОЕ ОБЕСПЕЧЕНИЕ РЕАЛИЗАЦИИ В РОССИЙСКОЙ ФЕДЕРАЦИИ</w:t>
      </w:r>
    </w:p>
    <w:p w:rsidR="00E47D4D" w:rsidRDefault="00E47D4D">
      <w:pPr>
        <w:pStyle w:val="ConsPlusTitle"/>
        <w:jc w:val="center"/>
      </w:pPr>
      <w:r>
        <w:t>ПРОГРАММЫ СОЦИАЛЬНОЙ ПОДДЕРЖКИ МОЛОДЕЖИ В ВОЗРАСТЕ</w:t>
      </w:r>
    </w:p>
    <w:p w:rsidR="00E47D4D" w:rsidRDefault="00E47D4D">
      <w:pPr>
        <w:pStyle w:val="ConsPlusTitle"/>
        <w:jc w:val="center"/>
      </w:pPr>
      <w:r>
        <w:t>ОТ 14 ДО 22 ЛЕТ ДЛЯ ПОВЫШЕНИЯ ДОСТУПНОСТИ</w:t>
      </w:r>
    </w:p>
    <w:p w:rsidR="00E47D4D" w:rsidRDefault="00E47D4D">
      <w:pPr>
        <w:pStyle w:val="ConsPlusTitle"/>
        <w:jc w:val="center"/>
      </w:pPr>
      <w:r>
        <w:t>ОРГАНИЗАЦИЙ КУЛЬТУРЫ</w:t>
      </w:r>
    </w:p>
    <w:p w:rsidR="00E47D4D" w:rsidRDefault="00E47D4D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47D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D4D" w:rsidRDefault="00E47D4D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D4D" w:rsidRDefault="00E47D4D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7D4D" w:rsidRDefault="00E47D4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7D4D" w:rsidRDefault="00E47D4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31.08.2021 </w:t>
            </w:r>
            <w:hyperlink r:id="rId5" w:history="1">
              <w:r>
                <w:rPr>
                  <w:color w:val="0000FF"/>
                </w:rPr>
                <w:t>N 1450</w:t>
              </w:r>
            </w:hyperlink>
            <w:r>
              <w:rPr>
                <w:color w:val="392C69"/>
              </w:rPr>
              <w:t>,</w:t>
            </w:r>
          </w:p>
          <w:p w:rsidR="00E47D4D" w:rsidRDefault="00E47D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28.12.2021 </w:t>
            </w:r>
            <w:hyperlink r:id="rId6" w:history="1">
              <w:r>
                <w:rPr>
                  <w:color w:val="0000FF"/>
                </w:rPr>
                <w:t>N 2509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D4D" w:rsidRDefault="00E47D4D">
            <w:pPr>
              <w:spacing w:after="1" w:line="0" w:lineRule="atLeast"/>
            </w:pPr>
          </w:p>
        </w:tc>
      </w:tr>
    </w:tbl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субсидии акционерному обществу "Почта Банк" на финансовое обеспечение реализации в Российской Федерации программы социальной поддержки молодежи в возрасте от 14 до 22 лет для повышения доступности организаций культуры.</w:t>
      </w:r>
    </w:p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jc w:val="right"/>
      </w:pPr>
      <w:r>
        <w:t>Председатель Правительства</w:t>
      </w:r>
    </w:p>
    <w:p w:rsidR="00E47D4D" w:rsidRDefault="00E47D4D">
      <w:pPr>
        <w:pStyle w:val="ConsPlusNormal"/>
        <w:jc w:val="right"/>
      </w:pPr>
      <w:r>
        <w:t>Российской Федерации</w:t>
      </w:r>
    </w:p>
    <w:p w:rsidR="00E47D4D" w:rsidRDefault="00E47D4D">
      <w:pPr>
        <w:pStyle w:val="ConsPlusNormal"/>
        <w:jc w:val="right"/>
      </w:pPr>
      <w:r>
        <w:t>М.МИШУСТИН</w:t>
      </w:r>
    </w:p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jc w:val="right"/>
        <w:outlineLvl w:val="0"/>
      </w:pPr>
      <w:r>
        <w:t>Утверждены</w:t>
      </w:r>
    </w:p>
    <w:p w:rsidR="00E47D4D" w:rsidRDefault="00E47D4D">
      <w:pPr>
        <w:pStyle w:val="ConsPlusNormal"/>
        <w:jc w:val="right"/>
      </w:pPr>
      <w:r>
        <w:t>постановлением Правительства</w:t>
      </w:r>
    </w:p>
    <w:p w:rsidR="00E47D4D" w:rsidRDefault="00E47D4D">
      <w:pPr>
        <w:pStyle w:val="ConsPlusNormal"/>
        <w:jc w:val="right"/>
      </w:pPr>
      <w:r>
        <w:t>Российской Федерации</w:t>
      </w:r>
    </w:p>
    <w:p w:rsidR="00E47D4D" w:rsidRDefault="00E47D4D">
      <w:pPr>
        <w:pStyle w:val="ConsPlusNormal"/>
        <w:jc w:val="right"/>
      </w:pPr>
      <w:r>
        <w:t>от 17 августа 2021 г. N 1357</w:t>
      </w:r>
    </w:p>
    <w:p w:rsidR="00E47D4D" w:rsidRDefault="00E47D4D">
      <w:pPr>
        <w:pStyle w:val="ConsPlusNormal"/>
        <w:jc w:val="both"/>
      </w:pPr>
    </w:p>
    <w:p w:rsidR="00E47D4D" w:rsidRDefault="00E47D4D">
      <w:pPr>
        <w:pStyle w:val="ConsPlusTitle"/>
        <w:jc w:val="center"/>
      </w:pPr>
      <w:bookmarkStart w:id="0" w:name="P32"/>
      <w:bookmarkEnd w:id="0"/>
      <w:r>
        <w:t>ПРАВИЛА</w:t>
      </w:r>
    </w:p>
    <w:p w:rsidR="00E47D4D" w:rsidRDefault="00E47D4D">
      <w:pPr>
        <w:pStyle w:val="ConsPlusTitle"/>
        <w:jc w:val="center"/>
      </w:pPr>
      <w:r>
        <w:t>ПРЕДОСТАВЛЕНИЯ СУБСИДИИ АКЦИОНЕРНОМУ ОБЩЕСТВУ "ПОЧТА БАНК"</w:t>
      </w:r>
    </w:p>
    <w:p w:rsidR="00E47D4D" w:rsidRDefault="00E47D4D">
      <w:pPr>
        <w:pStyle w:val="ConsPlusTitle"/>
        <w:jc w:val="center"/>
      </w:pPr>
      <w:r>
        <w:t>НА ФИНАНСОВОЕ ОБЕСПЕЧЕНИЕ РЕАЛИЗАЦИИ В РОССИЙСКОЙ ФЕДЕРАЦИИ</w:t>
      </w:r>
    </w:p>
    <w:p w:rsidR="00E47D4D" w:rsidRDefault="00E47D4D">
      <w:pPr>
        <w:pStyle w:val="ConsPlusTitle"/>
        <w:jc w:val="center"/>
      </w:pPr>
      <w:r>
        <w:t>ПРОГРАММЫ СОЦИАЛЬНОЙ ПОДДЕРЖКИ МОЛОДЕЖИ В ВОЗРАСТЕ</w:t>
      </w:r>
    </w:p>
    <w:p w:rsidR="00E47D4D" w:rsidRDefault="00E47D4D">
      <w:pPr>
        <w:pStyle w:val="ConsPlusTitle"/>
        <w:jc w:val="center"/>
      </w:pPr>
      <w:r>
        <w:t>ОТ 14 ДО 22 ЛЕТ ДЛЯ ПОВЫШЕНИЯ ДОСТУПНОСТИ</w:t>
      </w:r>
    </w:p>
    <w:p w:rsidR="00E47D4D" w:rsidRDefault="00E47D4D">
      <w:pPr>
        <w:pStyle w:val="ConsPlusTitle"/>
        <w:jc w:val="center"/>
      </w:pPr>
      <w:r>
        <w:t>ОРГАНИЗАЦИЙ КУЛЬТУРЫ</w:t>
      </w:r>
    </w:p>
    <w:p w:rsidR="00E47D4D" w:rsidRDefault="00E47D4D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47D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D4D" w:rsidRDefault="00E47D4D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D4D" w:rsidRDefault="00E47D4D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7D4D" w:rsidRDefault="00E47D4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7D4D" w:rsidRDefault="00E47D4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31.08.2021 </w:t>
            </w:r>
            <w:hyperlink r:id="rId7" w:history="1">
              <w:r>
                <w:rPr>
                  <w:color w:val="0000FF"/>
                </w:rPr>
                <w:t>N 1450</w:t>
              </w:r>
            </w:hyperlink>
            <w:r>
              <w:rPr>
                <w:color w:val="392C69"/>
              </w:rPr>
              <w:t>,</w:t>
            </w:r>
          </w:p>
          <w:p w:rsidR="00E47D4D" w:rsidRDefault="00E47D4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28.12.2021 </w:t>
            </w:r>
            <w:hyperlink r:id="rId8" w:history="1">
              <w:r>
                <w:rPr>
                  <w:color w:val="0000FF"/>
                </w:rPr>
                <w:t>N 2509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D4D" w:rsidRDefault="00E47D4D">
            <w:pPr>
              <w:spacing w:after="1" w:line="0" w:lineRule="atLeast"/>
            </w:pPr>
          </w:p>
        </w:tc>
      </w:tr>
    </w:tbl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ind w:firstLine="540"/>
        <w:jc w:val="both"/>
      </w:pPr>
      <w:bookmarkStart w:id="1" w:name="P42"/>
      <w:bookmarkEnd w:id="1"/>
      <w:r>
        <w:t xml:space="preserve">1. Настоящие Правила устанавливают цели, условия и порядок предоставления из федерального бюджета субсидии акционерному обществу "Почта Банк" на финансовое </w:t>
      </w:r>
      <w:r>
        <w:lastRenderedPageBreak/>
        <w:t>обеспечение реализации программы социальной поддержки молодежи в возрасте от 14 до 22 лет для повышения доступности организаций культуры (далее - субсидия).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Субсидия предоставляется в целях повышения доступности организаций культуры для молодежи от 14 до 22 лет на посещение культурных мероприятий, организуемых организациями культуры.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2. В настоящих Правилах используются следующие понятия: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"</w:t>
      </w:r>
      <w:proofErr w:type="spellStart"/>
      <w:r>
        <w:t>благополучатель</w:t>
      </w:r>
      <w:proofErr w:type="spellEnd"/>
      <w:r>
        <w:t>" - физическое лицо - гражданин Российской Федерации в возрасте от 14 до 22 лет;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"карта" - предоплаченная банковская карта "Пушкинская карта", выпущенная оператором на имя </w:t>
      </w:r>
      <w:proofErr w:type="spellStart"/>
      <w:r>
        <w:t>благополучателя</w:t>
      </w:r>
      <w:proofErr w:type="spellEnd"/>
      <w:r>
        <w:t xml:space="preserve"> с лимитом финансовых средств в размере, определенном Правительством Российской Федерации на текущий финансовый год. Информация о способе получения карты и лимитах финансовых средств для покупки </w:t>
      </w:r>
      <w:proofErr w:type="spellStart"/>
      <w:r>
        <w:t>благополучателем</w:t>
      </w:r>
      <w:proofErr w:type="spellEnd"/>
      <w:r>
        <w:t xml:space="preserve"> билетов на посещение организаций культуры размещается на платформе "</w:t>
      </w:r>
      <w:proofErr w:type="spellStart"/>
      <w:r>
        <w:t>PRO.Культура.РФ</w:t>
      </w:r>
      <w:proofErr w:type="spellEnd"/>
      <w:r>
        <w:t>";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"мероприятие" - мероприятие (в том числе показ фильма), проводимое организацией культуры для его посещения </w:t>
      </w:r>
      <w:proofErr w:type="spellStart"/>
      <w:r>
        <w:t>благополучателем</w:t>
      </w:r>
      <w:proofErr w:type="spellEnd"/>
      <w:r>
        <w:t>, включенное в реестр мероприятий;</w:t>
      </w:r>
    </w:p>
    <w:p w:rsidR="00E47D4D" w:rsidRDefault="00E47D4D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28.12.2021 N 2509)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"оператор" - акционерное общество "Почта Банк" (ОГРН 1023200000010, ИНН 3232005484, лицензия Банка России от 9 апреля 2020 г. N 650, место нахождения: Российская Федерация, 107061, г. Москва, Преображенская пл., д. 8);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"организации культуры" - театры, организации кинопоказа (кинотеатры), концертные организации, музеи, иные культурно-досуговые учреждения, библиотеки и образовательные организации в сфере культуры (федеральные, региональные или муниципальные учреждения и организации культуры независимо от организационно-правовой формы), самостоятельно или с привлечением третьих лиц, в том числе билетных операторов (</w:t>
      </w:r>
      <w:proofErr w:type="spellStart"/>
      <w:r>
        <w:t>агрегаторов</w:t>
      </w:r>
      <w:proofErr w:type="spellEnd"/>
      <w:r>
        <w:t>), предоставляющие гражданам возможность посещения организуемых ими мероприятий;</w:t>
      </w:r>
    </w:p>
    <w:p w:rsidR="00E47D4D" w:rsidRDefault="00E47D4D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28.12.2021 N 2509)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"перечень фильмов" - формируемый Министерством культуры Российской Федерации перечень национальных фильмов, созданных при поддержке Министерства культуры Российской Федерации и (или) Федерального фонда социальной и экономической поддержки отечественной кинематографии, а также аудиовизуальных произведений, созданных на территории, относившейся к Российской империи или СССР;</w:t>
      </w:r>
    </w:p>
    <w:p w:rsidR="00E47D4D" w:rsidRDefault="00E47D4D">
      <w:pPr>
        <w:pStyle w:val="ConsPlusNormal"/>
        <w:jc w:val="both"/>
      </w:pPr>
      <w:r>
        <w:t xml:space="preserve">(абзац введен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28.12.2021 N 2509)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"платформа "</w:t>
      </w:r>
      <w:proofErr w:type="spellStart"/>
      <w:r>
        <w:t>PRO.Культура.РФ</w:t>
      </w:r>
      <w:proofErr w:type="spellEnd"/>
      <w:r>
        <w:t>" - автоматизированная информационная система "Единое информационно-телекоммуникационное пространство в сфере культуры" в информационно-телекоммуникационной сети "Интернет" (далее - сеть "Интернет"), оператором которой является Министерство культуры Российской Федерации;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"показ фильма" - показ национального фильма, созданного при поддержке Министерства культуры Российской Федерации и (или) Федерального фонда социальной и экономической поддержки отечественной кинематографии или органов исполнительной власти субъектов Российской Федерации в сфере культуры, а также аудиовизуального произведения, созданного на территории, относившейся к Российской империи или СССР, проводимый организацией культуры, для которой в соответствии с требованиями к присвоению кодов категорий торгово-сервисных предприятий (МСС) установлен код "7832 (Кинотеатры)";</w:t>
      </w:r>
    </w:p>
    <w:p w:rsidR="00E47D4D" w:rsidRDefault="00E47D4D">
      <w:pPr>
        <w:pStyle w:val="ConsPlusNormal"/>
        <w:jc w:val="both"/>
      </w:pPr>
      <w:r>
        <w:t xml:space="preserve">(абзац введен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28.12.2021 N 2509)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"программа "Пушкинская карта" - программа социальной поддержки молодежи в возрасте от </w:t>
      </w:r>
      <w:r>
        <w:lastRenderedPageBreak/>
        <w:t>14 до 22 лет для посещения организаций культуры;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"реестр мероприятий" - перечень мероприятий, включенных в программу "Пушкинская карта" на основании решения экспертного совета, за исключением показа национальных фильмов, созданных при поддержке Министерства культуры Российской Федерации и (или) Федерального фонда социальной и экономической поддержки отечественной кинематографии, а также аудиовизуальных произведений, созданных на территории, относившейся к Российской империи или СССР, включение которых в реестр мероприятий осуществляется на основании перечня фильмов, доводимого Министерством культуры Российской Федерации до федерального казенного учреждения. Реестр мероприятий ведется в электронном виде и размещается на платформе "</w:t>
      </w:r>
      <w:proofErr w:type="spellStart"/>
      <w:r>
        <w:t>PRO.Культура.РФ</w:t>
      </w:r>
      <w:proofErr w:type="spellEnd"/>
      <w:r>
        <w:t>". Федеральным органом исполнительной власти, ответственным за формирование, ведение и предоставление доступа к реестру мероприятий, является Министерство культуры Российской Федерации;</w:t>
      </w:r>
    </w:p>
    <w:p w:rsidR="00E47D4D" w:rsidRDefault="00E47D4D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28.12.2021 N 2509)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"реестр операций" - формируемый оператором по форме согласно </w:t>
      </w:r>
      <w:hyperlink w:anchor="P154" w:history="1">
        <w:r>
          <w:rPr>
            <w:color w:val="0000FF"/>
          </w:rPr>
          <w:t>приложению</w:t>
        </w:r>
      </w:hyperlink>
      <w:r>
        <w:t xml:space="preserve"> электронный документ, содержащий информацию об операциях </w:t>
      </w:r>
      <w:proofErr w:type="spellStart"/>
      <w:r>
        <w:t>благополучателей</w:t>
      </w:r>
      <w:proofErr w:type="spellEnd"/>
      <w:r>
        <w:t>, подлежащих компенсации за счет предоставления субсидии в рамках программы "Пушкинская карта";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"реестр организаций культуры" - формируемый Министерством культуры Российской Федерации единый перечень организаций культуры, участвующих в реализации программы "Пушкинская карта" для посещения молодежью от 14 до 22 лет. Реестр организаций культуры ведется в электронном виде и размещается на платформе "</w:t>
      </w:r>
      <w:proofErr w:type="spellStart"/>
      <w:r>
        <w:t>PRO.Культура.РФ</w:t>
      </w:r>
      <w:proofErr w:type="spellEnd"/>
      <w:r>
        <w:t>". Федеральным органом исполнительной власти, ответственным за ведение и предоставление доступа к реестру организаций культуры, является Министерство культуры Российской Федерации;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"экспертные советы" - экспертные советы, создаваемые на федеральном уровне при Министерстве культуры Российской Федерации, на региональном уровне при органе исполнительной власти субъекта Российской Федерации и действующие в соответствии с положениями о них. В составы экспертных советов входят представители организаций, осуществляющих деятельность в сфере культуры и искусства, а также в сфере молодежной политики, Министерства внутренних дел Российской Федерации и его территориальных органов в субъектах Российской Федерации, родительского сообщества, педагоги-психологи. Экспертные советы: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назначают ответственных за работу с платформой "</w:t>
      </w:r>
      <w:proofErr w:type="spellStart"/>
      <w:r>
        <w:t>PRO.Культура.РФ</w:t>
      </w:r>
      <w:proofErr w:type="spellEnd"/>
      <w:r>
        <w:t>" в субъекте Российской Федерации;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формируют рекомендации по популяризации мероприятий для Министерства культуры Российской Федерации, уполномоченного органа исполнительной власти субъекта Российской Федерации;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рассматривают поданные организациями культуры заявки на включение культурных мероприятий в реестр мероприятий.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3. Субсидия предоставляется в пределах лимитов бюджетных обязательств, доведенных в установленном порядке до Министерства культуры Российской Федерации как получателя средств федерального бюджета на цели,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Правил, на основании соглашения о предоставлении субсидии, заключенного в государственной интегрированной информационной системе управления общественными финансами "Электронный бюджет" оператором и Министерством культуры Российской Федерации по </w:t>
      </w:r>
      <w:hyperlink r:id="rId14" w:history="1">
        <w:r>
          <w:rPr>
            <w:color w:val="0000FF"/>
          </w:rPr>
          <w:t>типовой форме</w:t>
        </w:r>
      </w:hyperlink>
      <w:r>
        <w:t>, утвержденной Министерством финансов Российской Федерации (далее - соглашение), в котором предусматриваются в том числе: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а) цели, условия, порядок и сроки предоставления субсидии;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lastRenderedPageBreak/>
        <w:t>б) согласие оператора на осуществление Министерством культуры Российской Федерации и органом государственного финансового контроля проверок соблюдения оператором целей, условий и порядка предоставления субсидии в соответствии с настоящими Правилами и соглашением;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в) значение результата предоставления субсидии, установленного </w:t>
      </w:r>
      <w:hyperlink w:anchor="P98" w:history="1">
        <w:r>
          <w:rPr>
            <w:color w:val="0000FF"/>
          </w:rPr>
          <w:t>пунктом 7</w:t>
        </w:r>
      </w:hyperlink>
      <w:r>
        <w:t xml:space="preserve"> настоящих Правил;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г) порядок и сроки представления отчета о достижении результата предоставления субсидии по форме, определенной типовой формой соглашения, установленной Министерством финансов Российской Федерации;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д) сроки и формы представления дополнительной отчетности, установленной Министерством культуры Российской Федерации;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е) меры ответственности за нарушение целей, условий и порядка предоставления субсидии;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ж) условие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уменьшения Министерству культуры Российской Федерации как получателю средств федерального бюджета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з) порядок перечисления субсидии, установленный </w:t>
      </w:r>
      <w:hyperlink w:anchor="P121" w:history="1">
        <w:r>
          <w:rPr>
            <w:color w:val="0000FF"/>
          </w:rPr>
          <w:t>пунктом 14</w:t>
        </w:r>
      </w:hyperlink>
      <w:r>
        <w:t xml:space="preserve"> настоящих Правил;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и) установление формы заявки на получение субсидии (далее - заявка).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4. Для участия в программе "Пушкинская карта" </w:t>
      </w:r>
      <w:proofErr w:type="spellStart"/>
      <w:r>
        <w:t>благополучатель</w:t>
      </w:r>
      <w:proofErr w:type="spellEnd"/>
      <w:r>
        <w:t xml:space="preserve"> оформляет карту, срок начала действия которой отсчитывается с достижения </w:t>
      </w:r>
      <w:proofErr w:type="spellStart"/>
      <w:r>
        <w:t>благополучателем</w:t>
      </w:r>
      <w:proofErr w:type="spellEnd"/>
      <w:r>
        <w:t xml:space="preserve"> возраста 14 лет и завершается по истечении 12 месяцев после достижения им возраста 22 лет. </w:t>
      </w:r>
      <w:proofErr w:type="spellStart"/>
      <w:r>
        <w:t>Благополучатель</w:t>
      </w:r>
      <w:proofErr w:type="spellEnd"/>
      <w:r>
        <w:t xml:space="preserve"> проходит процедуру идентификации и (или) упрощенной идентификации оператором и использует карту для оплаты билета (билетов) на посещение мероприятия (мероприятий) с использованием платежной инфраструктуры национальной платежной системы.</w:t>
      </w:r>
    </w:p>
    <w:p w:rsidR="00E47D4D" w:rsidRDefault="00E47D4D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31.08.2021 N 1450)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Оператор осуществляет перечисление на карту денежных средств в рамках реализации программы "Пушкинская карта" в размере стоимости билета (билетов) не позднее даты проведения расчетов с организацией культуры по купленному (купленным) билету (билетам).</w:t>
      </w:r>
    </w:p>
    <w:p w:rsidR="00E47D4D" w:rsidRDefault="00E47D4D">
      <w:pPr>
        <w:pStyle w:val="ConsPlusNormal"/>
        <w:spacing w:before="220"/>
        <w:ind w:firstLine="540"/>
        <w:jc w:val="both"/>
      </w:pPr>
      <w:proofErr w:type="spellStart"/>
      <w:r>
        <w:t>Благополучатель</w:t>
      </w:r>
      <w:proofErr w:type="spellEnd"/>
      <w:r>
        <w:t xml:space="preserve"> имеет право осуществить возврат купленного (купленных) билета (билетов) в соответствии с положениями </w:t>
      </w:r>
      <w:hyperlink r:id="rId16" w:history="1">
        <w:r>
          <w:rPr>
            <w:color w:val="0000FF"/>
          </w:rPr>
          <w:t>Закона</w:t>
        </w:r>
      </w:hyperlink>
      <w:r>
        <w:t xml:space="preserve"> Российской Федерации "Основы законодательства Российской Федерации о культуре", а также </w:t>
      </w:r>
      <w:hyperlink r:id="rId17" w:history="1">
        <w:r>
          <w:rPr>
            <w:color w:val="0000FF"/>
          </w:rPr>
          <w:t>Правилами</w:t>
        </w:r>
      </w:hyperlink>
      <w:r>
        <w:t xml:space="preserve"> и условиями возврата билетов, абонементов и экскурсионных путевок и переоформления на других лиц именных билетов, именных абонементов и именных экскурсионных путевок на проводимые организациями исполнительских искусств и музеями зрелищные мероприятия в случае отказа посетителя от их посещения, утвержденными постановлением Правительства Российской Федерации от 18 сентября 2020 г. N 1491 "Об утверждении Правил и условий возврата билетов, абонементов и экскурсионных путевок и переоформления на других лиц именных билетов, именных абонементов и именных экскурсионных путевок на проводимые организациями исполнительских искусств и музеями зрелищные мероприятия в случае отказа посетителя от их посещения".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В случае возврата </w:t>
      </w:r>
      <w:proofErr w:type="spellStart"/>
      <w:r>
        <w:t>благополучателем</w:t>
      </w:r>
      <w:proofErr w:type="spellEnd"/>
      <w:r>
        <w:t xml:space="preserve"> ранее купленного (купленных) билета (билетов) на посещение мероприятия организацией культуры обеспечивается зачисление подлежащей возврату стоимости (части стоимости) билета (билетов) на карту с использованием инфраструктуры национальной платежной системы. Возвращенные организацией культуры на карту денежные средства списываются оператором в день их поступления в целях возврата полученной субсидии в </w:t>
      </w:r>
      <w:r>
        <w:lastRenderedPageBreak/>
        <w:t xml:space="preserve">Министерство культуры Российской Федерации. В случае если на момент осуществления возврата договор с </w:t>
      </w:r>
      <w:proofErr w:type="spellStart"/>
      <w:r>
        <w:t>благополучателем</w:t>
      </w:r>
      <w:proofErr w:type="spellEnd"/>
      <w:r>
        <w:t>, в рамках которого выпущена карта, расторгнут, поступившие денежные средства в размере ранее купленного билета возвращаются оператором в день их поступления в целях возврата полученной субсидии в Министерство культуры Российской Федерации.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5. Федеральным органом исполнительной власти, ответственным за организацию процесса отбора и включения мероприятий в реестр мероприятий, является Министерство культуры Российской Федерации.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Критериями для включения мероприятий в реестр мероприятий являются: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наличие в репертуаре произведений народного творчества, а также классических произведений отечественного и зарубежного искусства;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наличие репертуара, направленного на формирование гармонично развитой, социально ответственной и патриотичной личности (в том числе репертуара </w:t>
      </w:r>
      <w:proofErr w:type="spellStart"/>
      <w:r>
        <w:t>антисуицидальной</w:t>
      </w:r>
      <w:proofErr w:type="spellEnd"/>
      <w:r>
        <w:t xml:space="preserve">, антинаркотической и </w:t>
      </w:r>
      <w:proofErr w:type="spellStart"/>
      <w:r>
        <w:t>антиэкстремистской</w:t>
      </w:r>
      <w:proofErr w:type="spellEnd"/>
      <w:r>
        <w:t xml:space="preserve"> направленности);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наличие коллекций предметов материального мира независимо от времени их создания, имеющих национальное, общероссийское и мировое историческое, художественное, научное и культурное значение;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применение в мероприятиях интерактивных, просветительских, образовательных и инклюзивных форматов работы с аудиторией.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Министерство культуры Российской Федерации совместно с органами исполнительной власти субъектов Российской Федерации организует работу региональных экспертных советов по отбору мероприятий для включения в реестр мероприятий.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Министерство культуры Российской Федерации публикует реестр мероприятий на платформе "</w:t>
      </w:r>
      <w:proofErr w:type="spellStart"/>
      <w:r>
        <w:t>PRO.Культура.РФ</w:t>
      </w:r>
      <w:proofErr w:type="spellEnd"/>
      <w:r>
        <w:t>", а также организует в режиме реального времени доступ оператору к реестру мероприятий.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Организации культуры, осуществляющие продажу билетов на посещение мероприятий, обеспечивают регистрацию в платежной инфраструктуре национальной платежной системы отдельных устройств терминального доступа для приема карт (в том числе через сеть "Интернет") и предоставление их технических параметров в Министерство культуры Российской Федерации для ведения единого списка терминальных устройств.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Оператор обеспечивает организационно-технологическую возможность оплаты билетов на посещение мероприятий с использованием карты только в устройствах терминального доступа, включенных в единый список терминальных устройств, а также возврата средств по ранее оплаченным билетам через платежную инфраструктуру национальной платежной системы. Совершение иных операций с использованием карты запрещено.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6. Оператор на 1-е число месяца, предшествующего месяцу, в котором планируется заключение соглашения, должен соответствовать следующим требованиям: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а) у оператора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б) у оператора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перед Российской </w:t>
      </w:r>
      <w:r>
        <w:lastRenderedPageBreak/>
        <w:t>Федерацией;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в) оператор не находится в процессе реорганизации (за исключением реорганизации в форме присоединения к оператору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г) оператор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</w:t>
      </w:r>
      <w:hyperlink r:id="rId18" w:history="1">
        <w:r>
          <w:rPr>
            <w:color w:val="0000FF"/>
          </w:rPr>
          <w:t>перечень</w:t>
        </w:r>
      </w:hyperlink>
      <w: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д) оператор не получает средства из федерального бюджета в соответствии с иными нормативными правовыми актами на цели, указанные в </w:t>
      </w:r>
      <w:hyperlink w:anchor="P42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е)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оператора.</w:t>
      </w:r>
    </w:p>
    <w:p w:rsidR="00E47D4D" w:rsidRDefault="00E47D4D">
      <w:pPr>
        <w:pStyle w:val="ConsPlusNormal"/>
        <w:spacing w:before="220"/>
        <w:ind w:firstLine="540"/>
        <w:jc w:val="both"/>
      </w:pPr>
      <w:bookmarkStart w:id="2" w:name="P98"/>
      <w:bookmarkEnd w:id="2"/>
      <w:r>
        <w:t xml:space="preserve">7. Результатом предоставления субсидии в текущем финансовом году является количество </w:t>
      </w:r>
      <w:proofErr w:type="spellStart"/>
      <w:r>
        <w:t>благополучателей</w:t>
      </w:r>
      <w:proofErr w:type="spellEnd"/>
      <w:r>
        <w:t>, посетивших культурные мероприятия в рамках программы "Пушкинская карта", в том числе посещение не менее 1,1 млн. человек в 2021 году.</w:t>
      </w:r>
    </w:p>
    <w:p w:rsidR="00E47D4D" w:rsidRDefault="00E47D4D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28.12.2021 N 2509)</w:t>
      </w:r>
    </w:p>
    <w:p w:rsidR="00E47D4D" w:rsidRDefault="00E47D4D">
      <w:pPr>
        <w:pStyle w:val="ConsPlusNormal"/>
        <w:spacing w:before="220"/>
        <w:ind w:firstLine="540"/>
        <w:jc w:val="both"/>
      </w:pPr>
      <w:bookmarkStart w:id="3" w:name="P100"/>
      <w:bookmarkEnd w:id="3"/>
      <w:r>
        <w:t xml:space="preserve">7(1). Результатом предоставления субсидии начиная с 2022 года является количество </w:t>
      </w:r>
      <w:proofErr w:type="spellStart"/>
      <w:r>
        <w:t>благополучателей</w:t>
      </w:r>
      <w:proofErr w:type="spellEnd"/>
      <w:r>
        <w:t xml:space="preserve"> в текущем финансовом году, посетивших культурные мероприятия в рамках программы "Пушкинская карта", и его конечное значение предусматривается соглашением.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Показателем, необходимым для достижения результата предоставления субсидии, является количество приобретенных с использованием карты </w:t>
      </w:r>
      <w:proofErr w:type="spellStart"/>
      <w:r>
        <w:t>благополучателями</w:t>
      </w:r>
      <w:proofErr w:type="spellEnd"/>
      <w:r>
        <w:t xml:space="preserve"> билетов на посещение мероприятий с учетом возврата средств по ранее совершенным с использованием карты покупкам билетов на мероприятия, и его значения предусматриваются соглашением.</w:t>
      </w:r>
    </w:p>
    <w:p w:rsidR="00E47D4D" w:rsidRDefault="00E47D4D">
      <w:pPr>
        <w:pStyle w:val="ConsPlusNormal"/>
        <w:jc w:val="both"/>
      </w:pPr>
      <w:r>
        <w:t xml:space="preserve">(п. 7(1)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28.12.2021 N 2509)</w:t>
      </w:r>
    </w:p>
    <w:p w:rsidR="00E47D4D" w:rsidRDefault="00E47D4D">
      <w:pPr>
        <w:pStyle w:val="ConsPlusNormal"/>
        <w:spacing w:before="220"/>
        <w:ind w:firstLine="540"/>
        <w:jc w:val="both"/>
      </w:pPr>
      <w:bookmarkStart w:id="4" w:name="P103"/>
      <w:bookmarkEnd w:id="4"/>
      <w:r>
        <w:t xml:space="preserve">8. Заявка, подписанная руководителем оператора или иным уполномоченным им лицом, представляется в Министерство культуры Российской Федерации по форме, установленной соглашением. К заявке прилагается и является ее неотъемлемой частью реестр операций, подлежащих компенсации за счет предоставления субсидии в рамках программы "Пушкинская карта", формируемый оператором по форме, предусмотренной </w:t>
      </w:r>
      <w:hyperlink w:anchor="P154" w:history="1">
        <w:r>
          <w:rPr>
            <w:color w:val="0000FF"/>
          </w:rPr>
          <w:t>приложением</w:t>
        </w:r>
      </w:hyperlink>
      <w:r>
        <w:t xml:space="preserve"> к настоящим Правилам.</w:t>
      </w:r>
    </w:p>
    <w:p w:rsidR="00E47D4D" w:rsidRDefault="00E47D4D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47D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D4D" w:rsidRDefault="00E47D4D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D4D" w:rsidRDefault="00E47D4D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7D4D" w:rsidRDefault="00E47D4D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47D4D" w:rsidRDefault="00E47D4D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2 п. 8 (в ред. Постановления Правительства РФ от 28.12.2021 N 2509) </w:t>
            </w:r>
            <w:hyperlink r:id="rId21" w:history="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отношения, возникшие с 01.12.2021.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D4D" w:rsidRDefault="00E47D4D">
            <w:pPr>
              <w:spacing w:after="1" w:line="0" w:lineRule="atLeast"/>
            </w:pPr>
          </w:p>
        </w:tc>
      </w:tr>
    </w:tbl>
    <w:p w:rsidR="00E47D4D" w:rsidRDefault="00E47D4D">
      <w:pPr>
        <w:pStyle w:val="ConsPlusNormal"/>
        <w:spacing w:before="280"/>
        <w:ind w:firstLine="540"/>
        <w:jc w:val="both"/>
      </w:pPr>
      <w:r>
        <w:t xml:space="preserve">В реестр операций включаются операции по приобретению </w:t>
      </w:r>
      <w:proofErr w:type="spellStart"/>
      <w:r>
        <w:t>благополучателями</w:t>
      </w:r>
      <w:proofErr w:type="spellEnd"/>
      <w:r>
        <w:t xml:space="preserve"> с использованием карты билетов на посещение мероприятий, а также операции по возврату средств по ранее совершенным с использованием карты покупкам билетов на мероприятия. Реестр операций формируется за отчетный период, который с января по ноябрь текущего года равен календарному месяцу. За декабрь текущего года формируются 2 реестра операций - реестр операций за отчетный период, равный периоду с 1 по 15 декабря включительно, и реестр операций </w:t>
      </w:r>
      <w:r>
        <w:lastRenderedPageBreak/>
        <w:t>за отчетный период, равный периоду с 16 по 31 декабря включительно. Заявка и реестр операций формируются в электронном виде, подписываются уполномоченным лицом оператора с применением усиленной квалифицированной электронной подписи и направляются в Министерство культуры Российской Федерации ежемесячно, не позднее 5 рабочих дней со дня окончания отчетного периода.</w:t>
      </w:r>
    </w:p>
    <w:p w:rsidR="00E47D4D" w:rsidRDefault="00E47D4D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28.12.2021 N 2509)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Размер субсидии за отчетный период определяется как итоговая сумма операций покупок, включенных в реестр операций, за вычетом итоговой суммы операций возврата, включенных в реестр операций.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Оператор несет ответственность за достоверность представленной информации.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9. Министерство культуры Российской Федерации:</w:t>
      </w:r>
    </w:p>
    <w:p w:rsidR="00E47D4D" w:rsidRDefault="00E47D4D">
      <w:pPr>
        <w:pStyle w:val="ConsPlusNormal"/>
        <w:spacing w:before="220"/>
        <w:ind w:firstLine="540"/>
        <w:jc w:val="both"/>
      </w:pPr>
      <w:bookmarkStart w:id="5" w:name="P111"/>
      <w:bookmarkEnd w:id="5"/>
      <w:r>
        <w:t>а) проверяет в течение 3 рабочих дней со дня получения заявки полноту содержащихся в ней сведений и принимает решение о перечислении субсидии, либо о необходимости доработки указанной заявки, либо об отказе в предоставлении субсидии;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б) в течение одного рабочего дня со дня принятия решения, указанного в </w:t>
      </w:r>
      <w:hyperlink w:anchor="P111" w:history="1">
        <w:r>
          <w:rPr>
            <w:color w:val="0000FF"/>
          </w:rPr>
          <w:t>подпункте "а"</w:t>
        </w:r>
      </w:hyperlink>
      <w:r>
        <w:t xml:space="preserve"> настоящего пункта, уведомляет оператора о принятом решении.</w:t>
      </w:r>
    </w:p>
    <w:p w:rsidR="00E47D4D" w:rsidRDefault="00E47D4D">
      <w:pPr>
        <w:pStyle w:val="ConsPlusNormal"/>
        <w:spacing w:before="220"/>
        <w:ind w:firstLine="540"/>
        <w:jc w:val="both"/>
      </w:pPr>
      <w:bookmarkStart w:id="6" w:name="P113"/>
      <w:bookmarkEnd w:id="6"/>
      <w:r>
        <w:t>10. В случае принятия решения о необходимости доработки заявки Министерство культуры Российской Федерации в течение одного рабочего дня направляет оператору соответствующее уведомление, предусматривающее возможность представления оператором недостающих документов и (или) уточнения содержащихся в документах сведений, с указанием перечня недостающих документов и требующих уточнения сведений.</w:t>
      </w:r>
    </w:p>
    <w:p w:rsidR="00E47D4D" w:rsidRDefault="00E47D4D">
      <w:pPr>
        <w:pStyle w:val="ConsPlusNormal"/>
        <w:spacing w:before="220"/>
        <w:ind w:firstLine="540"/>
        <w:jc w:val="both"/>
      </w:pPr>
      <w:bookmarkStart w:id="7" w:name="P114"/>
      <w:bookmarkEnd w:id="7"/>
      <w:r>
        <w:t xml:space="preserve">11. Оператор представляет недостающие документы и (или) уточненные сведения в течение 3 рабочих дней со дня направления Министерством культуры Российской Федерации уведомления, предусмотренного </w:t>
      </w:r>
      <w:hyperlink w:anchor="P113" w:history="1">
        <w:r>
          <w:rPr>
            <w:color w:val="0000FF"/>
          </w:rPr>
          <w:t>пунктом 10</w:t>
        </w:r>
      </w:hyperlink>
      <w:r>
        <w:t xml:space="preserve"> настоящих Правил.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12. В случае принятия решения об отказе в предоставлении субсидии Министерство культуры Российской Федерации в течение одного рабочего дня направляет оператору соответствующее уведомление с указанием причин отказа.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13. Основанием для отказа в предоставлении субсидии оператору может являться: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а) нарушение установленных соглашением требований;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б) несоответствие заявки требованиям, установленным </w:t>
      </w:r>
      <w:hyperlink w:anchor="P103" w:history="1">
        <w:r>
          <w:rPr>
            <w:color w:val="0000FF"/>
          </w:rPr>
          <w:t>пунктом 8</w:t>
        </w:r>
      </w:hyperlink>
      <w:r>
        <w:t xml:space="preserve"> настоящих Правил, или непредставление (представление не в полном объеме) прилагаемых к ней документов;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в) непредставление в срок, предусмотренный </w:t>
      </w:r>
      <w:hyperlink w:anchor="P114" w:history="1">
        <w:r>
          <w:rPr>
            <w:color w:val="0000FF"/>
          </w:rPr>
          <w:t>пунктом 11</w:t>
        </w:r>
      </w:hyperlink>
      <w:r>
        <w:t xml:space="preserve"> настоящих Правил, недостающих документов и (или) уточненных сведений;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г) установление факта недостоверности представленной оператором информации.</w:t>
      </w:r>
    </w:p>
    <w:p w:rsidR="00E47D4D" w:rsidRDefault="00E47D4D">
      <w:pPr>
        <w:pStyle w:val="ConsPlusNormal"/>
        <w:spacing w:before="220"/>
        <w:ind w:firstLine="540"/>
        <w:jc w:val="both"/>
      </w:pPr>
      <w:bookmarkStart w:id="8" w:name="P121"/>
      <w:bookmarkEnd w:id="8"/>
      <w:r>
        <w:t xml:space="preserve">14. Перечисление субсидии осуществляется не позднее 3-го рабочего дня после принятия Министерством культуры Российской Федерации решения о перечислении субсидии на корреспондентский счет оператора, открытый в учреждении Центрального банка Российской Федерации, в размере, определяемом в соответствии с </w:t>
      </w:r>
      <w:hyperlink w:anchor="P103" w:history="1">
        <w:r>
          <w:rPr>
            <w:color w:val="0000FF"/>
          </w:rPr>
          <w:t>пунктом 8</w:t>
        </w:r>
      </w:hyperlink>
      <w:r>
        <w:t xml:space="preserve"> настоящих Правил.</w:t>
      </w:r>
    </w:p>
    <w:p w:rsidR="00E47D4D" w:rsidRDefault="00E47D4D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47D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D4D" w:rsidRDefault="00E47D4D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D4D" w:rsidRDefault="00E47D4D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7D4D" w:rsidRDefault="00E47D4D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47D4D" w:rsidRDefault="00E47D4D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2 п. 14 (в ред. Постановления Правительства РФ от 28.12.2021 N 2509) </w:t>
            </w:r>
            <w:hyperlink r:id="rId23" w:history="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отношения, возникшие с 01.12.2021.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7D4D" w:rsidRDefault="00E47D4D">
            <w:pPr>
              <w:spacing w:after="1" w:line="0" w:lineRule="atLeast"/>
            </w:pPr>
          </w:p>
        </w:tc>
      </w:tr>
    </w:tbl>
    <w:p w:rsidR="00E47D4D" w:rsidRDefault="00E47D4D">
      <w:pPr>
        <w:pStyle w:val="ConsPlusNormal"/>
        <w:spacing w:before="280"/>
        <w:ind w:firstLine="540"/>
        <w:jc w:val="both"/>
      </w:pPr>
      <w:r>
        <w:lastRenderedPageBreak/>
        <w:t>Перечисление субсидии за операции за отчетный период, равный периоду с 16 по 31 декабря текущего года включительно, осуществляется в очередном финансовом году в пределах лимитов бюджетных обязательств на соответствующий финансовый год.</w:t>
      </w:r>
    </w:p>
    <w:p w:rsidR="00E47D4D" w:rsidRDefault="00E47D4D">
      <w:pPr>
        <w:pStyle w:val="ConsPlusNormal"/>
        <w:jc w:val="both"/>
      </w:pPr>
      <w:r>
        <w:t xml:space="preserve">(абзац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28.12.2021 N 2509)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15. Оператор обязан не позднее 15 февраля 2022 г. представить в Министерство культуры Российской Федерации отчет о достижении значений результата предоставления субсидии по формам, определенным типовыми формами соглашений, установленными Министерством финансов Российской Федерации.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Начиная с 2022 года оператор обязан представлять не реже одного раза в квартал в Министерство культуры Российской Федерации отчеты о достижении результатов и показателей, указанных в </w:t>
      </w:r>
      <w:hyperlink w:anchor="P100" w:history="1">
        <w:r>
          <w:rPr>
            <w:color w:val="0000FF"/>
          </w:rPr>
          <w:t>пункте 7(1)</w:t>
        </w:r>
      </w:hyperlink>
      <w:r>
        <w:t xml:space="preserve"> настоящих Правил, и об осуществлении расходов, источником финансового обеспечения которых является субсидия, по формам, определенным типовыми формами соглашений, установленными Министерством финансов Российской Федерации.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Достижение результатов предоставления субсидии, указанных в </w:t>
      </w:r>
      <w:hyperlink w:anchor="P98" w:history="1">
        <w:r>
          <w:rPr>
            <w:color w:val="0000FF"/>
          </w:rPr>
          <w:t>пунктах 7</w:t>
        </w:r>
      </w:hyperlink>
      <w:r>
        <w:t xml:space="preserve"> и </w:t>
      </w:r>
      <w:hyperlink w:anchor="P100" w:history="1">
        <w:r>
          <w:rPr>
            <w:color w:val="0000FF"/>
          </w:rPr>
          <w:t>7(1)</w:t>
        </w:r>
      </w:hyperlink>
      <w:r>
        <w:t xml:space="preserve"> настоящих Правил, определяется Министерством культуры Российской Федерации ежегодно на основании отчета оператора.</w:t>
      </w:r>
    </w:p>
    <w:p w:rsidR="00E47D4D" w:rsidRDefault="00E47D4D">
      <w:pPr>
        <w:pStyle w:val="ConsPlusNormal"/>
        <w:jc w:val="both"/>
      </w:pPr>
      <w:r>
        <w:t xml:space="preserve">(п. 15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28.12.2021 N 2509)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16. Министерство культуры Российской Федерации и орган государственного финансового контроля осуществляют проверки соблюдения оператором целей, условий и порядка предоставления субсидии.</w:t>
      </w:r>
    </w:p>
    <w:p w:rsidR="00E47D4D" w:rsidRDefault="00E47D4D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28.12.2021 N 2509)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Министерство культуры Российской Федерации начиная с 2022 года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</w:t>
      </w:r>
      <w:hyperlink r:id="rId27" w:history="1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E47D4D" w:rsidRDefault="00E47D4D">
      <w:pPr>
        <w:pStyle w:val="ConsPlusNormal"/>
        <w:jc w:val="both"/>
      </w:pPr>
      <w:r>
        <w:t xml:space="preserve">(абзац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28.12.2021 N 2509)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17. В случае если по результатам проверок, проведенных Министерством культуры Российской Федерации и органом государственного финансового контроля, установлены факты нарушения оператором целей, условий и порядка предоставления субсидии, а также при </w:t>
      </w:r>
      <w:proofErr w:type="spellStart"/>
      <w:r>
        <w:t>недостижении</w:t>
      </w:r>
      <w:proofErr w:type="spellEnd"/>
      <w:r>
        <w:t xml:space="preserve"> получателем субсидии значений результата, установленного </w:t>
      </w:r>
      <w:hyperlink w:anchor="P98" w:history="1">
        <w:r>
          <w:rPr>
            <w:color w:val="0000FF"/>
          </w:rPr>
          <w:t>пунктом 7</w:t>
        </w:r>
      </w:hyperlink>
      <w:r>
        <w:t xml:space="preserve"> настоящих Правил, соответствующие средства подлежат возврату оператором в доход федерального бюджета в порядке, установленном бюджетным законодательством Российской Федерации: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на основании требования Министерства культуры Российской Федерации - в течение 30 дней со дня получения оператором указанного требования;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E47D4D" w:rsidRDefault="00E47D4D">
      <w:pPr>
        <w:pStyle w:val="ConsPlusNormal"/>
        <w:spacing w:before="220"/>
        <w:ind w:firstLine="540"/>
        <w:jc w:val="both"/>
      </w:pPr>
      <w:r>
        <w:t xml:space="preserve">18. В случае </w:t>
      </w:r>
      <w:proofErr w:type="spellStart"/>
      <w:r>
        <w:t>недостижения</w:t>
      </w:r>
      <w:proofErr w:type="spellEnd"/>
      <w:r>
        <w:t xml:space="preserve"> значения результата предоставления субсидии соответствующие средства подлежат возврату в доход федерального бюджета в объеме, пропорциональном величине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субсидии.</w:t>
      </w:r>
    </w:p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jc w:val="right"/>
        <w:outlineLvl w:val="1"/>
      </w:pPr>
      <w:r>
        <w:t>Приложение</w:t>
      </w:r>
    </w:p>
    <w:p w:rsidR="00E47D4D" w:rsidRDefault="00E47D4D">
      <w:pPr>
        <w:pStyle w:val="ConsPlusNormal"/>
        <w:jc w:val="right"/>
      </w:pPr>
      <w:r>
        <w:t>к Правилам предоставления субсидии</w:t>
      </w:r>
    </w:p>
    <w:p w:rsidR="00E47D4D" w:rsidRDefault="00E47D4D">
      <w:pPr>
        <w:pStyle w:val="ConsPlusNormal"/>
        <w:jc w:val="right"/>
      </w:pPr>
      <w:r>
        <w:t>акционерному обществу "Почта Банк"</w:t>
      </w:r>
    </w:p>
    <w:p w:rsidR="00E47D4D" w:rsidRDefault="00E47D4D">
      <w:pPr>
        <w:pStyle w:val="ConsPlusNormal"/>
        <w:jc w:val="right"/>
      </w:pPr>
      <w:r>
        <w:t>на финансовое обеспечение реализации</w:t>
      </w:r>
    </w:p>
    <w:p w:rsidR="00E47D4D" w:rsidRDefault="00E47D4D">
      <w:pPr>
        <w:pStyle w:val="ConsPlusNormal"/>
        <w:jc w:val="right"/>
      </w:pPr>
      <w:r>
        <w:t>в Российской Федерации программы</w:t>
      </w:r>
    </w:p>
    <w:p w:rsidR="00E47D4D" w:rsidRDefault="00E47D4D">
      <w:pPr>
        <w:pStyle w:val="ConsPlusNormal"/>
        <w:jc w:val="right"/>
      </w:pPr>
      <w:r>
        <w:t>социальной поддержки молодежи</w:t>
      </w:r>
    </w:p>
    <w:p w:rsidR="00E47D4D" w:rsidRDefault="00E47D4D">
      <w:pPr>
        <w:pStyle w:val="ConsPlusNormal"/>
        <w:jc w:val="right"/>
      </w:pPr>
      <w:r>
        <w:t>в возрасте от 14 до 22 лет для повышения</w:t>
      </w:r>
    </w:p>
    <w:p w:rsidR="00E47D4D" w:rsidRDefault="00E47D4D">
      <w:pPr>
        <w:pStyle w:val="ConsPlusNormal"/>
        <w:jc w:val="right"/>
      </w:pPr>
      <w:r>
        <w:t>доступности организаций культуры</w:t>
      </w:r>
    </w:p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jc w:val="right"/>
      </w:pPr>
      <w:r>
        <w:t>(форма)</w:t>
      </w:r>
    </w:p>
    <w:p w:rsidR="00E47D4D" w:rsidRDefault="00E47D4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4"/>
      </w:tblGrid>
      <w:tr w:rsidR="00E47D4D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  <w:jc w:val="center"/>
            </w:pPr>
            <w:bookmarkStart w:id="9" w:name="P154"/>
            <w:bookmarkEnd w:id="9"/>
            <w:r>
              <w:t>РЕЕСТР N _____</w:t>
            </w:r>
          </w:p>
          <w:p w:rsidR="00E47D4D" w:rsidRDefault="00E47D4D">
            <w:pPr>
              <w:pStyle w:val="ConsPlusNormal"/>
              <w:jc w:val="center"/>
            </w:pPr>
            <w:r>
              <w:t xml:space="preserve">операций </w:t>
            </w:r>
            <w:proofErr w:type="spellStart"/>
            <w:r>
              <w:t>благополучателей</w:t>
            </w:r>
            <w:proofErr w:type="spellEnd"/>
            <w:r>
              <w:t>, подлежащих компенсации за счет предоставления субсидии в рамках программы "Пушкинская карта" за период _____</w:t>
            </w:r>
          </w:p>
        </w:tc>
      </w:tr>
    </w:tbl>
    <w:p w:rsidR="00E47D4D" w:rsidRDefault="00E47D4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964"/>
        <w:gridCol w:w="907"/>
        <w:gridCol w:w="510"/>
        <w:gridCol w:w="737"/>
        <w:gridCol w:w="850"/>
        <w:gridCol w:w="1134"/>
        <w:gridCol w:w="567"/>
        <w:gridCol w:w="680"/>
        <w:gridCol w:w="794"/>
        <w:gridCol w:w="964"/>
      </w:tblGrid>
      <w:tr w:rsidR="00E47D4D">
        <w:tc>
          <w:tcPr>
            <w:tcW w:w="907" w:type="dxa"/>
          </w:tcPr>
          <w:p w:rsidR="00E47D4D" w:rsidRDefault="00E47D4D">
            <w:pPr>
              <w:pStyle w:val="ConsPlusNormal"/>
              <w:jc w:val="center"/>
            </w:pPr>
            <w:r>
              <w:t>Дата и время (московское) операции</w:t>
            </w:r>
          </w:p>
        </w:tc>
        <w:tc>
          <w:tcPr>
            <w:tcW w:w="964" w:type="dxa"/>
          </w:tcPr>
          <w:p w:rsidR="00E47D4D" w:rsidRDefault="00E47D4D">
            <w:pPr>
              <w:pStyle w:val="ConsPlusNormal"/>
              <w:jc w:val="center"/>
            </w:pPr>
            <w:r>
              <w:t>Тип операции (покупка/возврат)</w:t>
            </w:r>
          </w:p>
        </w:tc>
        <w:tc>
          <w:tcPr>
            <w:tcW w:w="907" w:type="dxa"/>
          </w:tcPr>
          <w:p w:rsidR="00E47D4D" w:rsidRDefault="00E47D4D">
            <w:pPr>
              <w:pStyle w:val="ConsPlusNormal"/>
              <w:jc w:val="center"/>
            </w:pPr>
            <w:r>
              <w:t>Наименование и адрес организации</w:t>
            </w:r>
          </w:p>
        </w:tc>
        <w:tc>
          <w:tcPr>
            <w:tcW w:w="510" w:type="dxa"/>
          </w:tcPr>
          <w:p w:rsidR="00E47D4D" w:rsidRDefault="00E47D4D">
            <w:pPr>
              <w:pStyle w:val="ConsPlusNormal"/>
              <w:jc w:val="center"/>
            </w:pPr>
            <w:r>
              <w:t>Номер терминала</w:t>
            </w:r>
          </w:p>
        </w:tc>
        <w:tc>
          <w:tcPr>
            <w:tcW w:w="737" w:type="dxa"/>
          </w:tcPr>
          <w:p w:rsidR="00E47D4D" w:rsidRDefault="00E47D4D">
            <w:pPr>
              <w:pStyle w:val="ConsPlusNormal"/>
              <w:jc w:val="center"/>
            </w:pPr>
            <w:r>
              <w:t>Номер (ID) банка-</w:t>
            </w:r>
            <w:proofErr w:type="spellStart"/>
            <w:r>
              <w:t>эквайера</w:t>
            </w:r>
            <w:proofErr w:type="spellEnd"/>
          </w:p>
        </w:tc>
        <w:tc>
          <w:tcPr>
            <w:tcW w:w="850" w:type="dxa"/>
          </w:tcPr>
          <w:p w:rsidR="00E47D4D" w:rsidRDefault="00E47D4D">
            <w:pPr>
              <w:pStyle w:val="ConsPlusNormal"/>
              <w:jc w:val="center"/>
            </w:pPr>
            <w:r>
              <w:t>Код вида деятельности (MCC)</w:t>
            </w:r>
          </w:p>
        </w:tc>
        <w:tc>
          <w:tcPr>
            <w:tcW w:w="1134" w:type="dxa"/>
          </w:tcPr>
          <w:p w:rsidR="00E47D4D" w:rsidRDefault="00E47D4D">
            <w:pPr>
              <w:pStyle w:val="ConsPlusNormal"/>
              <w:jc w:val="center"/>
            </w:pPr>
            <w:r>
              <w:t>Номер (ID) банковской транзакции (RRN)</w:t>
            </w:r>
          </w:p>
        </w:tc>
        <w:tc>
          <w:tcPr>
            <w:tcW w:w="567" w:type="dxa"/>
          </w:tcPr>
          <w:p w:rsidR="00E47D4D" w:rsidRDefault="00E47D4D">
            <w:pPr>
              <w:pStyle w:val="ConsPlusNormal"/>
              <w:jc w:val="center"/>
            </w:pPr>
            <w:r>
              <w:t>Код авторизации</w:t>
            </w:r>
          </w:p>
        </w:tc>
        <w:tc>
          <w:tcPr>
            <w:tcW w:w="680" w:type="dxa"/>
          </w:tcPr>
          <w:p w:rsidR="00E47D4D" w:rsidRDefault="00E47D4D">
            <w:pPr>
              <w:pStyle w:val="ConsPlusNormal"/>
              <w:jc w:val="center"/>
            </w:pPr>
            <w:r>
              <w:t>Сумма операции (рублей)</w:t>
            </w:r>
          </w:p>
        </w:tc>
        <w:tc>
          <w:tcPr>
            <w:tcW w:w="794" w:type="dxa"/>
          </w:tcPr>
          <w:p w:rsidR="00E47D4D" w:rsidRDefault="00E47D4D">
            <w:pPr>
              <w:pStyle w:val="ConsPlusNormal"/>
              <w:jc w:val="center"/>
            </w:pPr>
            <w:r>
              <w:t>Номер карты (маскированный)</w:t>
            </w:r>
          </w:p>
        </w:tc>
        <w:tc>
          <w:tcPr>
            <w:tcW w:w="964" w:type="dxa"/>
          </w:tcPr>
          <w:p w:rsidR="00E47D4D" w:rsidRDefault="00E47D4D">
            <w:pPr>
              <w:pStyle w:val="ConsPlusNormal"/>
              <w:jc w:val="center"/>
            </w:pPr>
            <w:r>
              <w:t>СНИЛС держателя карты</w:t>
            </w:r>
          </w:p>
        </w:tc>
      </w:tr>
      <w:tr w:rsidR="00E47D4D">
        <w:tc>
          <w:tcPr>
            <w:tcW w:w="907" w:type="dxa"/>
          </w:tcPr>
          <w:p w:rsidR="00E47D4D" w:rsidRDefault="00E47D4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64" w:type="dxa"/>
          </w:tcPr>
          <w:p w:rsidR="00E47D4D" w:rsidRDefault="00E47D4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E47D4D" w:rsidRDefault="00E47D4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</w:tcPr>
          <w:p w:rsidR="00E47D4D" w:rsidRDefault="00E47D4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E47D4D" w:rsidRDefault="00E47D4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E47D4D" w:rsidRDefault="00E47D4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E47D4D" w:rsidRDefault="00E47D4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7" w:type="dxa"/>
          </w:tcPr>
          <w:p w:rsidR="00E47D4D" w:rsidRDefault="00E47D4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</w:tcPr>
          <w:p w:rsidR="00E47D4D" w:rsidRDefault="00E47D4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4" w:type="dxa"/>
          </w:tcPr>
          <w:p w:rsidR="00E47D4D" w:rsidRDefault="00E47D4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</w:tcPr>
          <w:p w:rsidR="00E47D4D" w:rsidRDefault="00E47D4D">
            <w:pPr>
              <w:pStyle w:val="ConsPlusNormal"/>
              <w:jc w:val="center"/>
            </w:pPr>
            <w:r>
              <w:t>11</w:t>
            </w:r>
          </w:p>
        </w:tc>
      </w:tr>
      <w:tr w:rsidR="00E47D4D">
        <w:tc>
          <w:tcPr>
            <w:tcW w:w="9014" w:type="dxa"/>
            <w:gridSpan w:val="11"/>
          </w:tcPr>
          <w:p w:rsidR="00E47D4D" w:rsidRDefault="00E47D4D">
            <w:pPr>
              <w:pStyle w:val="ConsPlusNormal"/>
              <w:jc w:val="center"/>
            </w:pPr>
            <w:r>
              <w:t>Итоговая сумма операций: сумма в рублях (сумма прописью)</w:t>
            </w:r>
          </w:p>
        </w:tc>
      </w:tr>
      <w:tr w:rsidR="00E47D4D">
        <w:tblPrEx>
          <w:tblBorders>
            <w:left w:val="nil"/>
            <w:right w:val="nil"/>
          </w:tblBorders>
        </w:tblPrEx>
        <w:tc>
          <w:tcPr>
            <w:tcW w:w="9014" w:type="dxa"/>
            <w:gridSpan w:val="11"/>
            <w:tcBorders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  <w:jc w:val="center"/>
            </w:pPr>
            <w:r>
              <w:t>Кредитная организация</w:t>
            </w:r>
          </w:p>
          <w:p w:rsidR="00E47D4D" w:rsidRDefault="00E47D4D">
            <w:pPr>
              <w:pStyle w:val="ConsPlusNormal"/>
              <w:jc w:val="center"/>
            </w:pPr>
            <w:r>
              <w:t>_____________________________________</w:t>
            </w:r>
          </w:p>
        </w:tc>
      </w:tr>
    </w:tbl>
    <w:p w:rsidR="00E47D4D" w:rsidRDefault="00E47D4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340"/>
        <w:gridCol w:w="1474"/>
        <w:gridCol w:w="340"/>
        <w:gridCol w:w="1247"/>
        <w:gridCol w:w="340"/>
        <w:gridCol w:w="2608"/>
      </w:tblGrid>
      <w:tr w:rsidR="00E47D4D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  <w:r>
              <w:t>Руководитель</w:t>
            </w:r>
          </w:p>
          <w:p w:rsidR="00E47D4D" w:rsidRDefault="00E47D4D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D4D" w:rsidRDefault="00E47D4D">
            <w:pPr>
              <w:pStyle w:val="ConsPlusNormal"/>
            </w:pPr>
          </w:p>
        </w:tc>
      </w:tr>
      <w:tr w:rsidR="00E47D4D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E47D4D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7D4D" w:rsidRDefault="00E47D4D">
            <w:pPr>
              <w:pStyle w:val="ConsPlusNormal"/>
            </w:pPr>
          </w:p>
        </w:tc>
      </w:tr>
      <w:tr w:rsidR="00E47D4D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E47D4D">
        <w:tc>
          <w:tcPr>
            <w:tcW w:w="90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47D4D" w:rsidRDefault="00E47D4D">
            <w:pPr>
              <w:pStyle w:val="ConsPlusNormal"/>
            </w:pPr>
            <w:r>
              <w:t>"__" _________________ 20__ г.</w:t>
            </w:r>
          </w:p>
        </w:tc>
      </w:tr>
    </w:tbl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jc w:val="both"/>
      </w:pPr>
    </w:p>
    <w:p w:rsidR="00E47D4D" w:rsidRDefault="00E47D4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10" w:name="_GoBack"/>
      <w:bookmarkEnd w:id="10"/>
    </w:p>
    <w:sectPr w:rsidR="00246B30" w:rsidSect="00DC5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D4D"/>
    <w:rsid w:val="00246B30"/>
    <w:rsid w:val="00E4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9FF7A9-A765-42E4-951D-BC70F3EA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7D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47D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47D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35B4E9E128A417BEF83834992BD4AE5BD762D52E9D6F58149CC8FE1648DF8406764AF49D2335748EDA805C75987F33B52977060D16F0331D13H" TargetMode="External"/><Relationship Id="rId13" Type="http://schemas.openxmlformats.org/officeDocument/2006/relationships/hyperlink" Target="consultantplus://offline/ref=3B35B4E9E128A417BEF83834992BD4AE5BD762D52E9D6F58149CC8FE1648DF8406764AF49D2335778FDA805C75987F33B52977060D16F0331D13H" TargetMode="External"/><Relationship Id="rId18" Type="http://schemas.openxmlformats.org/officeDocument/2006/relationships/hyperlink" Target="consultantplus://offline/ref=3B35B4E9E128A417BEF83834992BD4AE5DDF64DD2F996F58149CC8FE1648DF8406764AF096776431DADCD50E2FCD712CB437751017H" TargetMode="External"/><Relationship Id="rId26" Type="http://schemas.openxmlformats.org/officeDocument/2006/relationships/hyperlink" Target="consultantplus://offline/ref=3B35B4E9E128A417BEF83834992BD4AE5BD762D52E9D6F58149CC8FE1648DF8406764AF49D2335768CDA805C75987F33B52977060D16F0331D13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3B35B4E9E128A417BEF83834992BD4AE5BD762D52E9D6F58149CC8FE1648DF8406764AF49D23357589DA805C75987F33B52977060D16F0331D13H" TargetMode="External"/><Relationship Id="rId7" Type="http://schemas.openxmlformats.org/officeDocument/2006/relationships/hyperlink" Target="consultantplus://offline/ref=3B35B4E9E128A417BEF83834992BD4AE5CDE63DF2E986F58149CC8FE1648DF8406764AF49D2335758ADA805C75987F33B52977060D16F0331D13H" TargetMode="External"/><Relationship Id="rId12" Type="http://schemas.openxmlformats.org/officeDocument/2006/relationships/hyperlink" Target="consultantplus://offline/ref=3B35B4E9E128A417BEF83834992BD4AE5BD762D52E9D6F58149CC8FE1648DF8406764AF49D23357487DA805C75987F33B52977060D16F0331D13H" TargetMode="External"/><Relationship Id="rId17" Type="http://schemas.openxmlformats.org/officeDocument/2006/relationships/hyperlink" Target="consultantplus://offline/ref=3B35B4E9E128A417BEF83834992BD4AE5CD165D52C9C6F58149CC8FE1648DF8406764AF49D23357587DA805C75987F33B52977060D16F0331D13H" TargetMode="External"/><Relationship Id="rId25" Type="http://schemas.openxmlformats.org/officeDocument/2006/relationships/hyperlink" Target="consultantplus://offline/ref=3B35B4E9E128A417BEF83834992BD4AE5BD762D52E9D6F58149CC8FE1648DF8406764AF49D23357786DA805C75987F33B52977060D16F0331D13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B35B4E9E128A417BEF83834992BD4AE5CDF64D82B9E6F58149CC8FE1648DF8406764AF79E243E21DE95810030CE6C32B5297505111116H" TargetMode="External"/><Relationship Id="rId20" Type="http://schemas.openxmlformats.org/officeDocument/2006/relationships/hyperlink" Target="consultantplus://offline/ref=3B35B4E9E128A417BEF83834992BD4AE5BD762D52E9D6F58149CC8FE1648DF8406764AF49D2335778DDA805C75987F33B52977060D16F0331D13H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35B4E9E128A417BEF83834992BD4AE5BD762D52E9D6F58149CC8FE1648DF8406764AF49D2335748EDA805C75987F33B52977060D16F0331D13H" TargetMode="External"/><Relationship Id="rId11" Type="http://schemas.openxmlformats.org/officeDocument/2006/relationships/hyperlink" Target="consultantplus://offline/ref=3B35B4E9E128A417BEF83834992BD4AE5BD762D52E9D6F58149CC8FE1648DF8406764AF49D23357489DA805C75987F33B52977060D16F0331D13H" TargetMode="External"/><Relationship Id="rId24" Type="http://schemas.openxmlformats.org/officeDocument/2006/relationships/hyperlink" Target="consultantplus://offline/ref=3B35B4E9E128A417BEF83834992BD4AE5BD762D52E9D6F58149CC8FE1648DF8406764AF49D23357788DA805C75987F33B52977060D16F0331D13H" TargetMode="External"/><Relationship Id="rId5" Type="http://schemas.openxmlformats.org/officeDocument/2006/relationships/hyperlink" Target="consultantplus://offline/ref=3B35B4E9E128A417BEF83834992BD4AE5CDE63DF2E986F58149CC8FE1648DF8406764AF49D2335758ADA805C75987F33B52977060D16F0331D13H" TargetMode="External"/><Relationship Id="rId15" Type="http://schemas.openxmlformats.org/officeDocument/2006/relationships/hyperlink" Target="consultantplus://offline/ref=3B35B4E9E128A417BEF83834992BD4AE5CDE63DF2E986F58149CC8FE1648DF8406764AF49D2335758ADA805C75987F33B52977060D16F0331D13H" TargetMode="External"/><Relationship Id="rId23" Type="http://schemas.openxmlformats.org/officeDocument/2006/relationships/hyperlink" Target="consultantplus://offline/ref=3B35B4E9E128A417BEF83834992BD4AE5BD762D52E9D6F58149CC8FE1648DF8406764AF49D23357589DA805C75987F33B52977060D16F0331D13H" TargetMode="External"/><Relationship Id="rId28" Type="http://schemas.openxmlformats.org/officeDocument/2006/relationships/hyperlink" Target="consultantplus://offline/ref=3B35B4E9E128A417BEF83834992BD4AE5BD762D52E9D6F58149CC8FE1648DF8406764AF49D2335768ADA805C75987F33B52977060D16F0331D13H" TargetMode="External"/><Relationship Id="rId10" Type="http://schemas.openxmlformats.org/officeDocument/2006/relationships/hyperlink" Target="consultantplus://offline/ref=3B35B4E9E128A417BEF83834992BD4AE5BD762D52E9D6F58149CC8FE1648DF8406764AF49D2335748ADA805C75987F33B52977060D16F0331D13H" TargetMode="External"/><Relationship Id="rId19" Type="http://schemas.openxmlformats.org/officeDocument/2006/relationships/hyperlink" Target="consultantplus://offline/ref=3B35B4E9E128A417BEF83834992BD4AE5BD762D52E9D6F58149CC8FE1648DF8406764AF49D2335778EDA805C75987F33B52977060D16F0331D13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3B35B4E9E128A417BEF83834992BD4AE5BD762D52E9D6F58149CC8FE1648DF8406764AF49D2335748CDA805C75987F33B52977060D16F0331D13H" TargetMode="External"/><Relationship Id="rId14" Type="http://schemas.openxmlformats.org/officeDocument/2006/relationships/hyperlink" Target="consultantplus://offline/ref=3B35B4E9E128A417BEF83834992BD4AE5CD164DD2B986F58149CC8FE1648DF8406764AF49D2335748ADA805C75987F33B52977060D16F0331D13H" TargetMode="External"/><Relationship Id="rId22" Type="http://schemas.openxmlformats.org/officeDocument/2006/relationships/hyperlink" Target="consultantplus://offline/ref=3B35B4E9E128A417BEF83834992BD4AE5BD762D52E9D6F58149CC8FE1648DF8406764AF49D2335778ADA805C75987F33B52977060D16F0331D13H" TargetMode="External"/><Relationship Id="rId27" Type="http://schemas.openxmlformats.org/officeDocument/2006/relationships/hyperlink" Target="consultantplus://offline/ref=3B35B4E9E128A417BEF83834992BD4AE5BD767D82E926F58149CC8FE1648DF8406764AF49D2335748CDA805C75987F33B52977060D16F0331D13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4411</Words>
  <Characters>25147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2022-03-13T07:53:00Z</dcterms:created>
  <dcterms:modified xsi:type="dcterms:W3CDTF">2022-03-13T07:54:00Z</dcterms:modified>
</cp:coreProperties>
</file>