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B19" w:rsidRDefault="00602B19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02B19" w:rsidRDefault="00602B19">
      <w:pPr>
        <w:pStyle w:val="ConsPlusNormal"/>
        <w:jc w:val="both"/>
        <w:outlineLvl w:val="0"/>
      </w:pPr>
    </w:p>
    <w:p w:rsidR="00602B19" w:rsidRDefault="00602B1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02B19" w:rsidRDefault="00602B19">
      <w:pPr>
        <w:pStyle w:val="ConsPlusTitle"/>
        <w:jc w:val="center"/>
      </w:pPr>
    </w:p>
    <w:p w:rsidR="00602B19" w:rsidRDefault="00602B19">
      <w:pPr>
        <w:pStyle w:val="ConsPlusTitle"/>
        <w:jc w:val="center"/>
      </w:pPr>
      <w:r>
        <w:t>ПОСТАНОВЛЕНИЕ</w:t>
      </w:r>
    </w:p>
    <w:p w:rsidR="00602B19" w:rsidRDefault="00602B19">
      <w:pPr>
        <w:pStyle w:val="ConsPlusTitle"/>
        <w:jc w:val="center"/>
      </w:pPr>
      <w:r>
        <w:t>от 28 декабря 2021 г. N 2508</w:t>
      </w:r>
    </w:p>
    <w:p w:rsidR="00602B19" w:rsidRDefault="00602B19">
      <w:pPr>
        <w:pStyle w:val="ConsPlusTitle"/>
        <w:jc w:val="center"/>
      </w:pPr>
    </w:p>
    <w:p w:rsidR="00602B19" w:rsidRDefault="00602B19">
      <w:pPr>
        <w:pStyle w:val="ConsPlusTitle"/>
        <w:jc w:val="center"/>
      </w:pPr>
      <w:r>
        <w:t>ОБ УТВЕРЖДЕНИИ ПРАВИЛ</w:t>
      </w:r>
    </w:p>
    <w:p w:rsidR="00602B19" w:rsidRDefault="00602B19">
      <w:pPr>
        <w:pStyle w:val="ConsPlusTitle"/>
        <w:jc w:val="center"/>
      </w:pPr>
      <w:r>
        <w:t>ПРЕДОСТАВЛЕНИЯ СУБСИДИИ ИЗ ФЕДЕРАЛЬНОГО БЮДЖЕТА ОТКРЫТОМУ</w:t>
      </w:r>
    </w:p>
    <w:p w:rsidR="00602B19" w:rsidRDefault="00602B19">
      <w:pPr>
        <w:pStyle w:val="ConsPlusTitle"/>
        <w:jc w:val="center"/>
      </w:pPr>
      <w:r>
        <w:t>АКЦИОНЕРНОМУ ОБЩЕСТВУ "РОССИЙСКИЕ ЖЕЛЕЗНЫЕ ДОРОГИ"</w:t>
      </w:r>
    </w:p>
    <w:p w:rsidR="00602B19" w:rsidRDefault="00602B19">
      <w:pPr>
        <w:pStyle w:val="ConsPlusTitle"/>
        <w:jc w:val="center"/>
      </w:pPr>
      <w:r>
        <w:t>НА ВОЗМЕЩЕНИЕ НЕДОПОЛУЧЕННЫХ ДОХОДОВ, ВОЗНИКАЮЩИХ</w:t>
      </w:r>
    </w:p>
    <w:p w:rsidR="00602B19" w:rsidRDefault="00602B19">
      <w:pPr>
        <w:pStyle w:val="ConsPlusTitle"/>
        <w:jc w:val="center"/>
      </w:pPr>
      <w:r>
        <w:t>В РЕЗУЛЬТАТЕ УСТАНОВЛЕНИЯ ЛЬГОТНЫХ ТАРИФОВ НА ПЕРЕВОЗКУ</w:t>
      </w:r>
    </w:p>
    <w:p w:rsidR="00602B19" w:rsidRDefault="00602B19">
      <w:pPr>
        <w:pStyle w:val="ConsPlusTitle"/>
        <w:jc w:val="center"/>
      </w:pPr>
      <w:r>
        <w:t>ЖЕЛЕЗНОДОРОЖНЫМ ТРАНСПОРТОМ ВО ВНУТРИРОССИЙСКОМ СООБЩЕНИИ</w:t>
      </w:r>
    </w:p>
    <w:p w:rsidR="00602B19" w:rsidRDefault="00602B19">
      <w:pPr>
        <w:pStyle w:val="ConsPlusTitle"/>
        <w:jc w:val="center"/>
      </w:pPr>
      <w:r>
        <w:t>МОТОРНОГО ТОПЛИВА, ПРЕДНАЗНАЧЕННОГО ДЛЯ РЕАЛИЗАЦИИ</w:t>
      </w:r>
    </w:p>
    <w:p w:rsidR="00602B19" w:rsidRDefault="00602B19">
      <w:pPr>
        <w:pStyle w:val="ConsPlusTitle"/>
        <w:jc w:val="center"/>
      </w:pPr>
      <w:r>
        <w:t>НА ТЕРРИТОРИИ РОССИЙСКОЙ ФЕДЕРАЦИИ, В НАПРАВЛЕНИИ</w:t>
      </w:r>
    </w:p>
    <w:p w:rsidR="00602B19" w:rsidRDefault="00602B19">
      <w:pPr>
        <w:pStyle w:val="ConsPlusTitle"/>
        <w:jc w:val="center"/>
      </w:pPr>
      <w:r>
        <w:t>ДАЛЬНЕВОСТОЧНОГО ФЕДЕРАЛЬНОГО ОКРУГА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открытому акционерному обществу "Российские железные дороги" на возмещение недополученных доходов, возникающих в результате установления льготных тарифов на перевозку железнодорожным транспортом во внутрироссийском сообщении моторного топлива, предназначенного для реализации на территории Российской Федерации, в направлении Дальневосточного федерального округа.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right"/>
      </w:pPr>
      <w:r>
        <w:t>Председатель Правительства</w:t>
      </w:r>
    </w:p>
    <w:p w:rsidR="00602B19" w:rsidRDefault="00602B19">
      <w:pPr>
        <w:pStyle w:val="ConsPlusNormal"/>
        <w:jc w:val="right"/>
      </w:pPr>
      <w:r>
        <w:t>Российской Федерации</w:t>
      </w:r>
    </w:p>
    <w:p w:rsidR="00602B19" w:rsidRDefault="00602B19">
      <w:pPr>
        <w:pStyle w:val="ConsPlusNormal"/>
        <w:jc w:val="right"/>
      </w:pPr>
      <w:r>
        <w:t>М.МИШУСТИН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right"/>
        <w:outlineLvl w:val="0"/>
      </w:pPr>
      <w:r>
        <w:t>Утверждены</w:t>
      </w:r>
    </w:p>
    <w:p w:rsidR="00602B19" w:rsidRDefault="00602B19">
      <w:pPr>
        <w:pStyle w:val="ConsPlusNormal"/>
        <w:jc w:val="right"/>
      </w:pPr>
      <w:r>
        <w:t>постановлением Правительства</w:t>
      </w:r>
    </w:p>
    <w:p w:rsidR="00602B19" w:rsidRDefault="00602B19">
      <w:pPr>
        <w:pStyle w:val="ConsPlusNormal"/>
        <w:jc w:val="right"/>
      </w:pPr>
      <w:r>
        <w:t>Российской Федерации</w:t>
      </w:r>
    </w:p>
    <w:p w:rsidR="00602B19" w:rsidRDefault="00602B19">
      <w:pPr>
        <w:pStyle w:val="ConsPlusNormal"/>
        <w:jc w:val="right"/>
      </w:pPr>
      <w:r>
        <w:t>от 28 декабря 2021 г. N 2508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Title"/>
        <w:jc w:val="center"/>
      </w:pPr>
      <w:bookmarkStart w:id="0" w:name="P33"/>
      <w:bookmarkEnd w:id="0"/>
      <w:r>
        <w:t>ПРАВИЛА</w:t>
      </w:r>
    </w:p>
    <w:p w:rsidR="00602B19" w:rsidRDefault="00602B19">
      <w:pPr>
        <w:pStyle w:val="ConsPlusTitle"/>
        <w:jc w:val="center"/>
      </w:pPr>
      <w:r>
        <w:t>ПРЕДОСТАВЛЕНИЯ СУБСИДИИ ИЗ ФЕДЕРАЛЬНОГО БЮДЖЕТА ОТКРЫТОМУ</w:t>
      </w:r>
    </w:p>
    <w:p w:rsidR="00602B19" w:rsidRDefault="00602B19">
      <w:pPr>
        <w:pStyle w:val="ConsPlusTitle"/>
        <w:jc w:val="center"/>
      </w:pPr>
      <w:r>
        <w:t>АКЦИОНЕРНОМУ ОБЩЕСТВУ "РОССИЙСКИЕ ЖЕЛЕЗНЫЕ ДОРОГИ"</w:t>
      </w:r>
    </w:p>
    <w:p w:rsidR="00602B19" w:rsidRDefault="00602B19">
      <w:pPr>
        <w:pStyle w:val="ConsPlusTitle"/>
        <w:jc w:val="center"/>
      </w:pPr>
      <w:r>
        <w:t>НА ВОЗМЕЩЕНИЕ НЕДОПОЛУЧЕННЫХ ДОХОДОВ, ВОЗНИКАЮЩИХ</w:t>
      </w:r>
    </w:p>
    <w:p w:rsidR="00602B19" w:rsidRDefault="00602B19">
      <w:pPr>
        <w:pStyle w:val="ConsPlusTitle"/>
        <w:jc w:val="center"/>
      </w:pPr>
      <w:r>
        <w:t>В РЕЗУЛЬТАТЕ УСТАНОВЛЕНИЯ ЛЬГОТНЫХ ТАРИФОВ НА ПЕРЕВОЗКУ</w:t>
      </w:r>
    </w:p>
    <w:p w:rsidR="00602B19" w:rsidRDefault="00602B19">
      <w:pPr>
        <w:pStyle w:val="ConsPlusTitle"/>
        <w:jc w:val="center"/>
      </w:pPr>
      <w:r>
        <w:t>ЖЕЛЕЗНОДОРОЖНЫМ ТРАНСПОРТОМ ВО ВНУТРИРОССИЙСКОМ СООБЩЕНИИ</w:t>
      </w:r>
    </w:p>
    <w:p w:rsidR="00602B19" w:rsidRDefault="00602B19">
      <w:pPr>
        <w:pStyle w:val="ConsPlusTitle"/>
        <w:jc w:val="center"/>
      </w:pPr>
      <w:r>
        <w:t>МОТОРНОГО ТОПЛИВА, ПРЕДНАЗНАЧЕННОГО ДЛЯ РЕАЛИЗАЦИИ</w:t>
      </w:r>
    </w:p>
    <w:p w:rsidR="00602B19" w:rsidRDefault="00602B19">
      <w:pPr>
        <w:pStyle w:val="ConsPlusTitle"/>
        <w:jc w:val="center"/>
      </w:pPr>
      <w:r>
        <w:t>НА ТЕРРИТОРИИ РОССИЙСКОЙ ФЕДЕРАЦИИ, В НАПРАВЛЕНИИ</w:t>
      </w:r>
    </w:p>
    <w:p w:rsidR="00602B19" w:rsidRDefault="00602B19">
      <w:pPr>
        <w:pStyle w:val="ConsPlusTitle"/>
        <w:jc w:val="center"/>
      </w:pPr>
      <w:r>
        <w:t>ДАЛЬНЕВОСТОЧНОГО ФЕДЕРАЛЬНОГО ОКРУГА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ind w:firstLine="540"/>
        <w:jc w:val="both"/>
      </w:pPr>
      <w:r>
        <w:t xml:space="preserve">1. Настоящие Правила устанавливают цели, порядок и условия предоставления субсидии из федерального бюджета открытому акционерному обществу "Российские железные дороги" (далее </w:t>
      </w:r>
      <w:r>
        <w:lastRenderedPageBreak/>
        <w:t>- организация) на возмещение недополученных доходов, возникающих в результате установления начиная с 2022 года льготных тарифов на перевозку железнодорожным транспортом во внутрироссийском сообщении моторного топлива, предназначенного для реализации на территории Российской Федерации в направлении Дальневосточного федерального округа.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"льготный тариф" - плата за перевозку моторного топлива, начисляемая организацией в соответствии с </w:t>
      </w:r>
      <w:hyperlink r:id="rId5" w:history="1">
        <w:r>
          <w:rPr>
            <w:color w:val="0000FF"/>
          </w:rPr>
          <w:t>разделом 2</w:t>
        </w:r>
      </w:hyperlink>
      <w:r>
        <w:t xml:space="preserve"> прейскуранта N 10-01 "Тарифы на перевозки грузов и услуги инфраструктуры, выполняемые российскими железными дорогами", уменьшенная на скидку к тарифу. В случае если плата за перевозку моторного топлива за каждую предъявленную к перевозке одну тонну моторного топлива составляет менее 4000 рублей за одну тонну моторного топлива, перевозка осуществляется без взимания платы за перевозку моторного топлива с плательщика по перевозке моторного топлива (грузоотправителя, грузополучателя либо иного юридического лица);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"моторное топливо" - высокооктановый (по исследовательскому методу 92 и более) автомобильный бензин класса 5, дизельное топливо класса 5 и топливо для реактивных двигателей, перевозимые в направлении Дальневосточного федерального округа, предназначенные для реализации на территории субъектов Российской Федерации, входящих в состав Дальневосточного федерального округа, обозначаемые в перевозочных документах как: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топливо дизельное с температурой вспышки выше 61 °C (в закрытом тигле), код моторного топлива согласно Единой тарифно-статистической номенклатуре грузов - 214039;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топливо дизельное с температурой вспышки ниже 61 °C (в закрытом тигле), код моторного топлива согласно Единой тарифно-статистической номенклатуре грузов - 214043;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бензин автомобильный (моторный) неэтилированный, код моторного топлива согласно Единой тарифно-статистической номенклатуре грузов - 211056;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топливо для реактивных двигателей, код моторного топлива согласно Единой тарифно-статистической номенклатуре грузов - 212052;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"скидка к тарифу" - величина, равная плате за перевозку моторного топлива, начисляемой организацией в соответствии с </w:t>
      </w:r>
      <w:hyperlink r:id="rId6" w:history="1">
        <w:r>
          <w:rPr>
            <w:color w:val="0000FF"/>
          </w:rPr>
          <w:t>разделом 2</w:t>
        </w:r>
      </w:hyperlink>
      <w:r>
        <w:t xml:space="preserve"> прейскуранта N 10-01 "Тарифы на перевозки грузов и услуги инфраструктуры, выполняемые российскими железными дорогами", если такая плата за перевозку моторного топлива за каждую предъявленную к перевозке одну тонну моторного топлива составляет менее 4000 рублей, и равная 4000 рублей, если такая плата за перевозку моторного топлива за каждую предъявленную к перевозке одну тонну моторного топлива составляет более 4000 рублей.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3. Действие настоящих Правил не распространяется на перевозки железнодорожным транспортом моторного топлива с переадресовкой на первоначальной станции назначения либо в пути следования вне зависимости от заявителя перевозки моторного топлива (грузоотправителя, грузополучателя либо иного юридического или физического лица), а также на перевозки моторного топлива, осуществляемые до станций назначения, имеющих код единой сетевой разметки, содержащий приставку "</w:t>
      </w:r>
      <w:proofErr w:type="spellStart"/>
      <w:r>
        <w:t>эксп</w:t>
      </w:r>
      <w:proofErr w:type="spellEnd"/>
      <w:r>
        <w:t>".</w:t>
      </w:r>
    </w:p>
    <w:p w:rsidR="00602B19" w:rsidRDefault="00602B19">
      <w:pPr>
        <w:pStyle w:val="ConsPlusNormal"/>
        <w:spacing w:before="220"/>
        <w:ind w:firstLine="540"/>
        <w:jc w:val="both"/>
      </w:pPr>
      <w:bookmarkStart w:id="1" w:name="P53"/>
      <w:bookmarkEnd w:id="1"/>
      <w:r>
        <w:t xml:space="preserve">4. Субсидия предоставляется организации в целях возмещения недополученных доходов, возникающих в результате установления льготного тарифа в отношении моторного топлива, перевозимого с железнодорожных станций по перечню согласно </w:t>
      </w:r>
      <w:hyperlink w:anchor="P123" w:history="1">
        <w:r>
          <w:rPr>
            <w:color w:val="0000FF"/>
          </w:rPr>
          <w:t>приложению N 1</w:t>
        </w:r>
      </w:hyperlink>
      <w:r>
        <w:t xml:space="preserve"> в направлении субъектов Российской Федерации Дальневосточного федерального округа по перечню согласно </w:t>
      </w:r>
      <w:hyperlink w:anchor="P229" w:history="1">
        <w:r>
          <w:rPr>
            <w:color w:val="0000FF"/>
          </w:rPr>
          <w:t>приложению N 2</w:t>
        </w:r>
      </w:hyperlink>
      <w:r>
        <w:t>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5. Сведения о субсидии размещаются на едином портале бюджетной системы Российской Федерации в информационно-телекоммуникационной сети "Интернет" в разделе "Бюджет" (далее </w:t>
      </w:r>
      <w:r>
        <w:lastRenderedPageBreak/>
        <w:t>- единый портал) при формировании проекта федерального закона о федеральном бюджете на очередной финансовый год и плановый период (проекта федерального закона о внесении изменений в федеральный закон о федеральном бюджете).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6. Плата за перевозку моторного топлива, начисляемая организацией, определяется в соответствии с </w:t>
      </w:r>
      <w:hyperlink r:id="rId7" w:history="1">
        <w:r>
          <w:rPr>
            <w:color w:val="0000FF"/>
          </w:rPr>
          <w:t>разделом 2</w:t>
        </w:r>
      </w:hyperlink>
      <w:r>
        <w:t xml:space="preserve"> прейскуранта N 10-01 "Тарифы на перевозки грузов и услуги инфраструктуры, выполняемые российскими железными дорогами" и уменьшается на 4000 рублей за каждую предъявленную к перевозке одну тонну моторного топлива. В случае если плата за перевозку моторного топлива за каждую предъявленную к перевозке одну тонну моторного топлива составляет менее 4000 рублей за одну тонну моторного топлива, указанная плата приравнивается к нулю.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Затраты грузоотправителей или юридических лиц, указанных грузоотправителем в перевозочном документе (накладной) в качестве плательщиков тарифов, на плату за перевозку моторного топлива, превышающие 4000 рублей за каждую предъявленную к перевозке одну тонну моторного топлива, оплачиваются за счет собственных средств. Затраты на иные услуги, сборы и платы, в том числе на услуги по привлечению подвижного состава, связанные с осуществлением перевозки моторного топлива, в соответствии с настоящими Правилами не возмещаются.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7. Перевозка моторного топлива осуществляется в соответствии с заявкой на перевозку моторного топлива, подаваемой грузоотправителем в организацию. В заявке указывается масса моторного топлива, срок действия заявки, а также отметка, что указанная перевозка осуществляется в соответствии с настоящими Правилами.</w:t>
      </w:r>
    </w:p>
    <w:p w:rsidR="00602B19" w:rsidRDefault="00602B19">
      <w:pPr>
        <w:pStyle w:val="ConsPlusNormal"/>
        <w:spacing w:before="220"/>
        <w:ind w:firstLine="540"/>
        <w:jc w:val="both"/>
      </w:pPr>
      <w:bookmarkStart w:id="2" w:name="P58"/>
      <w:bookmarkEnd w:id="2"/>
      <w:r>
        <w:t xml:space="preserve">8. Субсидия в течение текущего финансового года предоставляется Федеральным агентством железнодорожного транспорта в пределах лимитов бюджетных обязательств, доведенных до 25-го числа 1-го месяца текущего квартала в установленном порядке до Федерального агентства железнодорожного транспорта как получателя средств федерального бюджета на цели, указанные в </w:t>
      </w:r>
      <w:hyperlink w:anchor="P53" w:history="1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Порядок расчета ежеквартального предельного объема бюджетных ассигнований может быть установлен иными нормативными актами Правительства Российской Федерации.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В случае превышения суммы провозной платы над лимитами бюджетных обязательств, доведенных в установленном порядке до Федерального агентства железнодорожного транспорта как получателя средств федерального бюджета на цели, указанные в </w:t>
      </w:r>
      <w:hyperlink w:anchor="P53" w:history="1">
        <w:r>
          <w:rPr>
            <w:color w:val="0000FF"/>
          </w:rPr>
          <w:t>пункте 4</w:t>
        </w:r>
      </w:hyperlink>
      <w:r>
        <w:t xml:space="preserve"> настоящих Правил, перевозки грузов осуществляются без установления льготных тарифов грузоотправителям.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9. Размер субсидии, соответствующий размеру потерь в доходах (но не более стоимости услуг, оказанных организацией на основании перевозочных документов), с учетом налога на добавленную стоимость (C) определяется по формуле: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center"/>
      </w:pPr>
      <w:r>
        <w:t>C = O x T x N,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ind w:firstLine="540"/>
        <w:jc w:val="both"/>
      </w:pPr>
      <w:r>
        <w:t>где: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O - объем перевозок моторного топлива, тонн;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T - размер скидки к тарифу на одну тонну перевезенного моторного топлива, рублей;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N - коэффициент, учитывающий ставку налога на добавленную стоимость в соответствии с Налоговым кодексом Российской Федерации.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Размер скидки к тарифу на одну тонну перевезенного моторного топлива (T) определяется с учетом следующих особенностей: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lastRenderedPageBreak/>
        <w:t xml:space="preserve">в случае если плата за перевозку моторного топлива, начисляемая организацией и определяемая в соответствии с </w:t>
      </w:r>
      <w:hyperlink r:id="rId8" w:history="1">
        <w:r>
          <w:rPr>
            <w:color w:val="0000FF"/>
          </w:rPr>
          <w:t>разделом 2</w:t>
        </w:r>
      </w:hyperlink>
      <w:r>
        <w:t xml:space="preserve"> прейскуранта N 10-01 "Тарифы на перевозки грузов и услуги инфраструктуры, выполняемые российскими железными дорогами", превышает 4000 рублей за одну тонну моторного топлива, значение размера скидки к тарифу на одну тонну перевезенного моторного топлива (T) принимается равным 4000 рублей;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в иных случаях значение размера скидки к тарифу на одну тонну перевезенного моторного топлива (T) принимается равным уровню платы за перевозку моторного топлива, начисляемой организацией и определяемой в соответствии с </w:t>
      </w:r>
      <w:hyperlink r:id="rId9" w:history="1">
        <w:r>
          <w:rPr>
            <w:color w:val="0000FF"/>
          </w:rPr>
          <w:t>разделом 2</w:t>
        </w:r>
      </w:hyperlink>
      <w:r>
        <w:t xml:space="preserve"> прейскуранта N 10-01 "Тарифы на перевозки грузов и услуги инфраструктуры, выполняемые российскими железными дорогами".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10. Субсидия предоставляется организации на основании заключаемого между Федеральным агентством железнодорожного транспорта и организацией соглашения (договора) о предоставлении субсидии (далее - соглашение о предоставлении субсидии) с использованием государственной интегрированной системы управления общественными финансами "Электронный бюджет" в соответствии с типовой </w:t>
      </w:r>
      <w:hyperlink r:id="rId10" w:history="1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Федерации, которая предусматривает в том числе согласие организации на проведение Федеральным агентством железнодорожного транспорта и (или) органами государственного финансового контроля проверок соблюдения организацией целей, порядка и условий предоставления субсидии.</w:t>
      </w:r>
    </w:p>
    <w:p w:rsidR="00602B19" w:rsidRDefault="00602B19">
      <w:pPr>
        <w:pStyle w:val="ConsPlusNormal"/>
        <w:spacing w:before="220"/>
        <w:ind w:firstLine="540"/>
        <w:jc w:val="both"/>
      </w:pPr>
      <w:bookmarkStart w:id="3" w:name="P73"/>
      <w:bookmarkEnd w:id="3"/>
      <w:r>
        <w:t>11. Для заключения соглашения о предоставлении субсидии организация на 1-е число месяца, предшествующего месяцу, в котором планируется заключение соглашения о предоставлении субсидии, представляет в Федеральное агентство железнодорожного транспорта подписанные руководителем организации или иным уполномоченным лицом документы, подтверждающие соответствие организации следующим условиям: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б)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в)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г) организация не получает средства из федерального бюджета в соответствии с иными нормативными правовыми актами Российской Федерации на цели, указанные в настоящих Правилах.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12. Федеральное агентство железнодорожного транспорта в течение 10 рабочих дней со дня получения от организации документов, подтверждающих соответствие организации условиям, указанным в </w:t>
      </w:r>
      <w:hyperlink w:anchor="P73" w:history="1">
        <w:r>
          <w:rPr>
            <w:color w:val="0000FF"/>
          </w:rPr>
          <w:t>пункте 11</w:t>
        </w:r>
      </w:hyperlink>
      <w:r>
        <w:t xml:space="preserve"> настоящих Правил, рассматривает их и при соответствии организации условиям, указанным в </w:t>
      </w:r>
      <w:hyperlink w:anchor="P73" w:history="1">
        <w:r>
          <w:rPr>
            <w:color w:val="0000FF"/>
          </w:rPr>
          <w:t>пункте 11</w:t>
        </w:r>
      </w:hyperlink>
      <w:r>
        <w:t xml:space="preserve"> настоящих Правил, заключает с организацией соглашение о предоставлении субсидии.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13. В соглашение о предоставлении субсидии в случае уменьшения Федеральному агентству </w:t>
      </w:r>
      <w:r>
        <w:lastRenderedPageBreak/>
        <w:t xml:space="preserve">железнодорожного транспорта ранее доведенных до Агентства лимитов бюджетных обязательств, указанных в </w:t>
      </w:r>
      <w:hyperlink w:anchor="P58" w:history="1">
        <w:r>
          <w:rPr>
            <w:color w:val="0000FF"/>
          </w:rPr>
          <w:t>пункте 8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 о предоставлении субсидии, включаются условия о согласовании новых условий соглашения о предоставлении субсидии или о расторжении соглашения о предоставлении субсидии при </w:t>
      </w:r>
      <w:proofErr w:type="spellStart"/>
      <w:r>
        <w:t>недостижении</w:t>
      </w:r>
      <w:proofErr w:type="spellEnd"/>
      <w:r>
        <w:t xml:space="preserve"> согласия по новым условиям.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14. После заключения соглашения о предоставлении субсидии организация ежемесячно представляет в Федеральное агентство железнодорожного транспорта отчет о потерях в доходах организации, формируемый по перевозочным документам, в которых имеется отметка, что перевозка осуществлялась в соответствии с условиями настоящих Правил, по форме согласно </w:t>
      </w:r>
      <w:hyperlink w:anchor="P265" w:history="1">
        <w:r>
          <w:rPr>
            <w:color w:val="0000FF"/>
          </w:rPr>
          <w:t>приложению N 3</w:t>
        </w:r>
      </w:hyperlink>
      <w:r>
        <w:t xml:space="preserve"> (далее - отчет) не позднее 20-го числа месяца, следующего за отчетным месяцем.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15. Федеральное агентство железнодорожного транспорта в течение 5 рабочих дней со дня получения </w:t>
      </w:r>
      <w:hyperlink w:anchor="P265" w:history="1">
        <w:r>
          <w:rPr>
            <w:color w:val="0000FF"/>
          </w:rPr>
          <w:t>отчета</w:t>
        </w:r>
      </w:hyperlink>
      <w:r>
        <w:t xml:space="preserve">, а при представлении уточненного отчета - в течение 2 рабочих дней со дня его получения осуществляет проверку полноты, достоверности и правильности оформления </w:t>
      </w:r>
      <w:hyperlink w:anchor="P265" w:history="1">
        <w:r>
          <w:rPr>
            <w:color w:val="0000FF"/>
          </w:rPr>
          <w:t>отчета</w:t>
        </w:r>
      </w:hyperlink>
      <w:r>
        <w:t xml:space="preserve"> и принимает решение о предоставлении организации субсидии либо о возврате отчета организации с указанием причин возврата.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Организация в течение 5 рабочих дней со дня получения </w:t>
      </w:r>
      <w:hyperlink w:anchor="P265" w:history="1">
        <w:r>
          <w:rPr>
            <w:color w:val="0000FF"/>
          </w:rPr>
          <w:t>отчета</w:t>
        </w:r>
      </w:hyperlink>
      <w:r>
        <w:t xml:space="preserve"> устраняет допущенные нарушения и представляет уточненный отчет в Федеральное агентство железнодорожного транспорта.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16. Основаниями для отказа организации в предоставлении субсидии являются: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несоответствие представленного организацией отчета </w:t>
      </w:r>
      <w:hyperlink w:anchor="P265" w:history="1">
        <w:r>
          <w:rPr>
            <w:color w:val="0000FF"/>
          </w:rPr>
          <w:t>форме</w:t>
        </w:r>
      </w:hyperlink>
      <w:r>
        <w:t>, предусмотренной приложением N 3 к настоящим Правилам, или непредставление (представление не в полном объеме) отчета;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установление факта недостоверности информации, содержащейся в </w:t>
      </w:r>
      <w:hyperlink w:anchor="P265" w:history="1">
        <w:r>
          <w:rPr>
            <w:color w:val="0000FF"/>
          </w:rPr>
          <w:t>отчете</w:t>
        </w:r>
      </w:hyperlink>
      <w:r>
        <w:t>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В случае принятия решения об отказе в предоставлении субсидии Федеральное агентство железнодорожного транспорта возвращает документы организации с указанием причин отказа в течение 5 рабочих дней со дня принятия такого решения.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В случае принятия решения об отказе в предоставлении субсидии по причинам, не зависящим от организации, организация вправе требовать от плательщика по перевозке моторного топлива (грузоотправителя, грузополучателя либо иного юридического или физического лица) оплаты перевозки моторного топлива в полном объеме (без применения льготного тарифа).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17. Перечисление субсидии осуществляется не позднее 10-го рабочего дня со дня принятия Федеральным агентством железнодорожного транспорта решения о предоставлении организации субсидии на расчетный счет организации, открытый в учреждении Центрального банка Российской Федерации или кредитной организации.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18. Результатами предоставления субсидии являются:</w:t>
      </w:r>
    </w:p>
    <w:p w:rsidR="00602B19" w:rsidRDefault="00602B19">
      <w:pPr>
        <w:pStyle w:val="ConsPlusNormal"/>
        <w:spacing w:before="220"/>
        <w:ind w:firstLine="540"/>
        <w:jc w:val="both"/>
      </w:pPr>
      <w:bookmarkStart w:id="4" w:name="P90"/>
      <w:bookmarkEnd w:id="4"/>
      <w:r>
        <w:t>достаточный уровень доходности организаций, осуществляющих розничную торговлю моторным топливом, определяемый в соответствии с методикой, утверждаемой Министерством энергетики Российской Федерации, в целях обеспечения устойчивого функционирования организаций;</w:t>
      </w:r>
    </w:p>
    <w:p w:rsidR="00602B19" w:rsidRDefault="00602B19">
      <w:pPr>
        <w:pStyle w:val="ConsPlusNormal"/>
        <w:spacing w:before="220"/>
        <w:ind w:firstLine="540"/>
        <w:jc w:val="both"/>
      </w:pPr>
      <w:bookmarkStart w:id="5" w:name="P91"/>
      <w:bookmarkEnd w:id="5"/>
      <w:r>
        <w:t xml:space="preserve">отношение объема предоставленной скидки к тарифу к объему перевезенного железнодорожным транспортом во внутрироссийском сообщении моторного топлива, перевозимого с железнодорожных станций Российской Федерации, приведенных в </w:t>
      </w:r>
      <w:hyperlink w:anchor="P123" w:history="1">
        <w:r>
          <w:rPr>
            <w:color w:val="0000FF"/>
          </w:rPr>
          <w:t>приложении N 1</w:t>
        </w:r>
      </w:hyperlink>
      <w:r>
        <w:t xml:space="preserve"> к настоящим Правилам, в направлении субъектов Российской Федерации Дальневосточного федерального округа, приведенных в </w:t>
      </w:r>
      <w:hyperlink w:anchor="P229" w:history="1">
        <w:r>
          <w:rPr>
            <w:color w:val="0000FF"/>
          </w:rPr>
          <w:t>приложении N 2</w:t>
        </w:r>
      </w:hyperlink>
      <w:r>
        <w:t xml:space="preserve"> к настоящим Правилам.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lastRenderedPageBreak/>
        <w:t xml:space="preserve">Значение результата предоставления субсидии за отчетный период, указанного в </w:t>
      </w:r>
      <w:hyperlink w:anchor="P91" w:history="1">
        <w:r>
          <w:rPr>
            <w:color w:val="0000FF"/>
          </w:rPr>
          <w:t>абзаце третьем</w:t>
        </w:r>
      </w:hyperlink>
      <w:r>
        <w:t xml:space="preserve"> настоящего пункта, определяется в соглашении о предоставлении субсидии.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Отчетным периодом результата предоставления субсидии, указанного в </w:t>
      </w:r>
      <w:hyperlink w:anchor="P90" w:history="1">
        <w:r>
          <w:rPr>
            <w:color w:val="0000FF"/>
          </w:rPr>
          <w:t>абзаце втором</w:t>
        </w:r>
      </w:hyperlink>
      <w:r>
        <w:t xml:space="preserve"> настоящего пункта, является календарный год, результата предоставления субсидии, указанного в </w:t>
      </w:r>
      <w:hyperlink w:anchor="P91" w:history="1">
        <w:r>
          <w:rPr>
            <w:color w:val="0000FF"/>
          </w:rPr>
          <w:t>абзаце третьем</w:t>
        </w:r>
      </w:hyperlink>
      <w:r>
        <w:t xml:space="preserve"> настоящего пункта, - квартал и календарный год.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Отчет о достижении результата предоставления субсидии, указанного в </w:t>
      </w:r>
      <w:hyperlink w:anchor="P90" w:history="1">
        <w:r>
          <w:rPr>
            <w:color w:val="0000FF"/>
          </w:rPr>
          <w:t>абзаце втором</w:t>
        </w:r>
      </w:hyperlink>
      <w:r>
        <w:t xml:space="preserve"> настоящего пункта, представляется Министерством энергетики Российской Федерации в Федеральное агентство железнодорожного транспорта и Министерство финансов Российской Федерации ежегодно, не позднее 1-го числа 2-го месяца, следующего за отчетным годом, по форме, утвержденной соответствующей методикой Министерства энергетики Российской Федерации.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Отчет о достижении значений результата, указанного в </w:t>
      </w:r>
      <w:hyperlink w:anchor="P91" w:history="1">
        <w:r>
          <w:rPr>
            <w:color w:val="0000FF"/>
          </w:rPr>
          <w:t>абзаце третьем</w:t>
        </w:r>
      </w:hyperlink>
      <w:r>
        <w:t xml:space="preserve"> настоящего пункта, представляется организацией в Федеральное агентство железнодорожного транспорта: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ежеквартально, не позднее 1-го числа 2-го месяца, следующего за отчетным кварталом;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ежегодно, не позднее 1-го числа 2-го месяца, следующего за отчетным годом, по форме, определенной типовой формой соглашения, утвержденной Министерством финансов Российской Федерации.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19. Контроль за соблюдением целей, условий и порядка предоставления субсидии осуществляется Федеральным агентством железнодорожного транспорта и (или) органами государственного финансового контроля.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В случае установления по итогам проверок, проведенных Федеральным агентством железнодорожного транспорта и (или) органами государственного финансового контроля, факта нарушения условий предоставления субсидии, а также в случае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субсидии, указанного в </w:t>
      </w:r>
      <w:hyperlink w:anchor="P91" w:history="1">
        <w:r>
          <w:rPr>
            <w:color w:val="0000FF"/>
          </w:rPr>
          <w:t>абзаце третьем пункта 18</w:t>
        </w:r>
      </w:hyperlink>
      <w:r>
        <w:t xml:space="preserve"> настоящих Правил, указанные средства подлежат возврату в доход федерального бюджета: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железнодорожного транспорта - не позднее 15 рабочих дней со дня его получения организацией;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 xml:space="preserve">20. Федеральное агентство железнодорожного транспорта проводит мониторинг достижения результата предоставления субсидии исходя из достижения показателя результата предоставления субсидии, указанного в </w:t>
      </w:r>
      <w:hyperlink w:anchor="P91" w:history="1">
        <w:r>
          <w:rPr>
            <w:color w:val="0000FF"/>
          </w:rPr>
          <w:t>абзаце третьем пункта 18</w:t>
        </w:r>
      </w:hyperlink>
      <w:r>
        <w:t xml:space="preserve"> настоящих Правил,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11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right"/>
        <w:outlineLvl w:val="1"/>
      </w:pPr>
      <w:r>
        <w:t>Приложение N 1</w:t>
      </w:r>
    </w:p>
    <w:p w:rsidR="00602B19" w:rsidRDefault="00602B19">
      <w:pPr>
        <w:pStyle w:val="ConsPlusNormal"/>
        <w:jc w:val="right"/>
      </w:pPr>
      <w:r>
        <w:t>к Правилам предоставления субсидии</w:t>
      </w:r>
    </w:p>
    <w:p w:rsidR="00602B19" w:rsidRDefault="00602B19">
      <w:pPr>
        <w:pStyle w:val="ConsPlusNormal"/>
        <w:jc w:val="right"/>
      </w:pPr>
      <w:r>
        <w:t>из федерального бюджета открытому</w:t>
      </w:r>
    </w:p>
    <w:p w:rsidR="00602B19" w:rsidRDefault="00602B19">
      <w:pPr>
        <w:pStyle w:val="ConsPlusNormal"/>
        <w:jc w:val="right"/>
      </w:pPr>
      <w:r>
        <w:t>акционерному обществу "Российские</w:t>
      </w:r>
    </w:p>
    <w:p w:rsidR="00602B19" w:rsidRDefault="00602B19">
      <w:pPr>
        <w:pStyle w:val="ConsPlusNormal"/>
        <w:jc w:val="right"/>
      </w:pPr>
      <w:r>
        <w:t>железные дороги" на возмещение</w:t>
      </w:r>
    </w:p>
    <w:p w:rsidR="00602B19" w:rsidRDefault="00602B19">
      <w:pPr>
        <w:pStyle w:val="ConsPlusNormal"/>
        <w:jc w:val="right"/>
      </w:pPr>
      <w:r>
        <w:lastRenderedPageBreak/>
        <w:t>недополученных доходов, возникающих</w:t>
      </w:r>
    </w:p>
    <w:p w:rsidR="00602B19" w:rsidRDefault="00602B19">
      <w:pPr>
        <w:pStyle w:val="ConsPlusNormal"/>
        <w:jc w:val="right"/>
      </w:pPr>
      <w:r>
        <w:t>в результате установления льготных</w:t>
      </w:r>
    </w:p>
    <w:p w:rsidR="00602B19" w:rsidRDefault="00602B19">
      <w:pPr>
        <w:pStyle w:val="ConsPlusNormal"/>
        <w:jc w:val="right"/>
      </w:pPr>
      <w:r>
        <w:t>тарифов на перевозку железнодорожным</w:t>
      </w:r>
    </w:p>
    <w:p w:rsidR="00602B19" w:rsidRDefault="00602B19">
      <w:pPr>
        <w:pStyle w:val="ConsPlusNormal"/>
        <w:jc w:val="right"/>
      </w:pPr>
      <w:r>
        <w:t>транспортом во внутрироссийском</w:t>
      </w:r>
    </w:p>
    <w:p w:rsidR="00602B19" w:rsidRDefault="00602B19">
      <w:pPr>
        <w:pStyle w:val="ConsPlusNormal"/>
        <w:jc w:val="right"/>
      </w:pPr>
      <w:r>
        <w:t>сообщении моторного топлива,</w:t>
      </w:r>
    </w:p>
    <w:p w:rsidR="00602B19" w:rsidRDefault="00602B19">
      <w:pPr>
        <w:pStyle w:val="ConsPlusNormal"/>
        <w:jc w:val="right"/>
      </w:pPr>
      <w:r>
        <w:t>предназначенного для реализации</w:t>
      </w:r>
    </w:p>
    <w:p w:rsidR="00602B19" w:rsidRDefault="00602B19">
      <w:pPr>
        <w:pStyle w:val="ConsPlusNormal"/>
        <w:jc w:val="right"/>
      </w:pPr>
      <w:r>
        <w:t>на территории Российской Федерации,</w:t>
      </w:r>
    </w:p>
    <w:p w:rsidR="00602B19" w:rsidRDefault="00602B19">
      <w:pPr>
        <w:pStyle w:val="ConsPlusNormal"/>
        <w:jc w:val="right"/>
      </w:pPr>
      <w:r>
        <w:t>в направлении Дальневосточного</w:t>
      </w:r>
    </w:p>
    <w:p w:rsidR="00602B19" w:rsidRDefault="00602B19">
      <w:pPr>
        <w:pStyle w:val="ConsPlusNormal"/>
        <w:jc w:val="right"/>
      </w:pPr>
      <w:r>
        <w:t>федерального округа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Title"/>
        <w:jc w:val="center"/>
      </w:pPr>
      <w:bookmarkStart w:id="6" w:name="P123"/>
      <w:bookmarkEnd w:id="6"/>
      <w:r>
        <w:t>ПЕРЕЧЕНЬ</w:t>
      </w:r>
    </w:p>
    <w:p w:rsidR="00602B19" w:rsidRDefault="00602B19">
      <w:pPr>
        <w:pStyle w:val="ConsPlusTitle"/>
        <w:jc w:val="center"/>
      </w:pPr>
      <w:r>
        <w:t>ЖЕЛЕЗНОДОРОЖНЫХ СТАНЦИЙ, С КОТОРЫХ ОСУЩЕСТВЛЯЕТСЯ</w:t>
      </w:r>
    </w:p>
    <w:p w:rsidR="00602B19" w:rsidRDefault="00602B19">
      <w:pPr>
        <w:pStyle w:val="ConsPlusTitle"/>
        <w:jc w:val="center"/>
      </w:pPr>
      <w:r>
        <w:t>ПЕРЕВОЗКА МОТОРНОГО ТОПЛИВА, ПРЕДНАЗНАЧЕННОГО ДЛЯ РЕАЛИЗАЦИИ</w:t>
      </w:r>
    </w:p>
    <w:p w:rsidR="00602B19" w:rsidRDefault="00602B19">
      <w:pPr>
        <w:pStyle w:val="ConsPlusTitle"/>
        <w:jc w:val="center"/>
      </w:pPr>
      <w:r>
        <w:t>НА ТЕРРИТОРИИ РОССИЙСКОЙ ФЕДЕРАЦИИ, В НАПРАВЛЕНИИ</w:t>
      </w:r>
    </w:p>
    <w:p w:rsidR="00602B19" w:rsidRDefault="00602B19">
      <w:pPr>
        <w:pStyle w:val="ConsPlusTitle"/>
        <w:jc w:val="center"/>
      </w:pPr>
      <w:r>
        <w:t>ДАЛЬНЕВОСТОЧНОГО ФЕДЕРАЛЬНОГО ОКРУГА</w:t>
      </w:r>
    </w:p>
    <w:p w:rsidR="00602B19" w:rsidRDefault="00602B19">
      <w:pPr>
        <w:pStyle w:val="ConsPlusTitle"/>
        <w:jc w:val="center"/>
      </w:pPr>
      <w:r>
        <w:t>ПО ЛЬГОТНОМУ ТАРИФУ</w:t>
      </w:r>
    </w:p>
    <w:p w:rsidR="00602B19" w:rsidRDefault="00602B1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0"/>
        <w:gridCol w:w="3456"/>
        <w:gridCol w:w="2514"/>
        <w:gridCol w:w="2410"/>
      </w:tblGrid>
      <w:tr w:rsidR="00602B19">
        <w:tc>
          <w:tcPr>
            <w:tcW w:w="4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2B19" w:rsidRDefault="00602B19">
            <w:pPr>
              <w:pStyle w:val="ConsPlusNormal"/>
              <w:jc w:val="center"/>
            </w:pPr>
            <w:r>
              <w:t>Нефтеперерабатывающий завод</w:t>
            </w:r>
          </w:p>
        </w:tc>
        <w:tc>
          <w:tcPr>
            <w:tcW w:w="2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02B19" w:rsidRDefault="00602B19">
            <w:pPr>
              <w:pStyle w:val="ConsPlusNormal"/>
              <w:jc w:val="center"/>
            </w:pPr>
            <w:r>
              <w:t>Станция отправления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2B19" w:rsidRDefault="00602B19">
            <w:pPr>
              <w:pStyle w:val="ConsPlusNormal"/>
              <w:jc w:val="center"/>
            </w:pPr>
            <w:r>
              <w:t>Железная дорога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Хабаровский нефтеперерабатывающий завод</w:t>
            </w: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Хабаровск-1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Дальневосточная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Комсомольский нефтеперерабатывающий завод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Дземги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Дальневосточная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Ангарская нефтехимическая компания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Суховская</w:t>
            </w:r>
            <w:proofErr w:type="spellEnd"/>
            <w:r>
              <w:t xml:space="preserve">, </w:t>
            </w:r>
            <w:proofErr w:type="spellStart"/>
            <w:r>
              <w:t>Суховская</w:t>
            </w:r>
            <w:proofErr w:type="spellEnd"/>
            <w:r>
              <w:t>-Южная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gramStart"/>
            <w:r>
              <w:t>Восточно-Сибирская</w:t>
            </w:r>
            <w:proofErr w:type="gramEnd"/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Ачинский</w:t>
            </w:r>
            <w:proofErr w:type="spellEnd"/>
            <w:r>
              <w:t xml:space="preserve"> нефтеперерабатывающий завод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 xml:space="preserve">Новая </w:t>
            </w:r>
            <w:proofErr w:type="spellStart"/>
            <w:r>
              <w:t>Еловка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Красноярская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Омский нефтеперерабатывающий завод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Комбинатская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gramStart"/>
            <w:r>
              <w:t>Западно-Сибирская</w:t>
            </w:r>
            <w:proofErr w:type="gramEnd"/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Антипинский</w:t>
            </w:r>
            <w:proofErr w:type="spellEnd"/>
            <w:r>
              <w:t xml:space="preserve"> нефтеперерабатывающий завод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 xml:space="preserve">Сокур </w:t>
            </w:r>
            <w:proofErr w:type="spellStart"/>
            <w:r>
              <w:t>Войновка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Свердловская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Сургутский</w:t>
            </w:r>
            <w:proofErr w:type="spellEnd"/>
            <w:r>
              <w:t xml:space="preserve"> завод по стабилизации конденсата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Сургут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Свердловская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Пермский нефтеперерабатывающий завод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Осенцы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Свердловская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Уфимская группа нефтеперерабатывающих заводов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Загородняя</w:t>
            </w:r>
            <w:proofErr w:type="spellEnd"/>
            <w:r>
              <w:t>, Бензин, Новоуфимская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Куйбышевская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 xml:space="preserve">Газпром </w:t>
            </w:r>
            <w:proofErr w:type="spellStart"/>
            <w:r>
              <w:t>Нефтехим</w:t>
            </w:r>
            <w:proofErr w:type="spellEnd"/>
            <w:r>
              <w:t xml:space="preserve"> Салават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Салават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Куйбышевская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Орский</w:t>
            </w:r>
            <w:proofErr w:type="spellEnd"/>
            <w:r>
              <w:t xml:space="preserve"> нефтеперерабатывающий завод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Никель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Южно-Уральская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ТАИФ-НК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Биклянь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Куйбышевская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Самарская группа нефтеперерабатывающий завод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Новокуйбышевская</w:t>
            </w:r>
            <w:proofErr w:type="spellEnd"/>
            <w:r>
              <w:t>, Сызрань 1, Кряж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Куйбышевская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Нижневартовское</w:t>
            </w:r>
            <w:proofErr w:type="spellEnd"/>
            <w:r>
              <w:t xml:space="preserve"> нефтеперерабатывающее объединение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Нижневартовск 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Свердловская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Красноленинский</w:t>
            </w:r>
            <w:proofErr w:type="spellEnd"/>
            <w:r>
              <w:t xml:space="preserve"> нефтеперерабатывающий завод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Нягань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Свердловская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Ярославский нефтеперерабатывающий завод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Новоярославская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Северная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Рязанский нефтеперерабатывающая компания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Стенькино 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Московская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Саратовский нефтеперерабатывающий завод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Нефтяная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02B19" w:rsidRDefault="00602B19">
            <w:pPr>
              <w:pStyle w:val="ConsPlusNormal"/>
            </w:pPr>
            <w:r>
              <w:t>Приволжская</w:t>
            </w:r>
          </w:p>
        </w:tc>
      </w:tr>
      <w:tr w:rsidR="00602B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2B19" w:rsidRDefault="00602B19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Яйский</w:t>
            </w:r>
            <w:proofErr w:type="spellEnd"/>
            <w:r>
              <w:t xml:space="preserve"> нефтеперерабатывающий завод-филиал АО "</w:t>
            </w:r>
            <w:proofErr w:type="spellStart"/>
            <w:r>
              <w:t>НефтеХимСервис</w:t>
            </w:r>
            <w:proofErr w:type="spellEnd"/>
            <w:r>
              <w:t>"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2B19" w:rsidRDefault="00602B19">
            <w:pPr>
              <w:pStyle w:val="ConsPlusNormal"/>
            </w:pPr>
            <w:proofErr w:type="spellStart"/>
            <w:r>
              <w:t>Судженка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2B19" w:rsidRDefault="00602B19">
            <w:pPr>
              <w:pStyle w:val="ConsPlusNormal"/>
            </w:pPr>
            <w:proofErr w:type="gramStart"/>
            <w:r>
              <w:t>Западно-Сибирская</w:t>
            </w:r>
            <w:proofErr w:type="gramEnd"/>
          </w:p>
        </w:tc>
      </w:tr>
    </w:tbl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right"/>
        <w:outlineLvl w:val="1"/>
      </w:pPr>
      <w:r>
        <w:t>Приложение N 2</w:t>
      </w:r>
    </w:p>
    <w:p w:rsidR="00602B19" w:rsidRDefault="00602B19">
      <w:pPr>
        <w:pStyle w:val="ConsPlusNormal"/>
        <w:jc w:val="right"/>
      </w:pPr>
      <w:r>
        <w:t>к Правилам предоставления субсидии</w:t>
      </w:r>
    </w:p>
    <w:p w:rsidR="00602B19" w:rsidRDefault="00602B19">
      <w:pPr>
        <w:pStyle w:val="ConsPlusNormal"/>
        <w:jc w:val="right"/>
      </w:pPr>
      <w:r>
        <w:t>из федерального бюджета открытому</w:t>
      </w:r>
    </w:p>
    <w:p w:rsidR="00602B19" w:rsidRDefault="00602B19">
      <w:pPr>
        <w:pStyle w:val="ConsPlusNormal"/>
        <w:jc w:val="right"/>
      </w:pPr>
      <w:r>
        <w:t>акционерному обществу "Российские</w:t>
      </w:r>
    </w:p>
    <w:p w:rsidR="00602B19" w:rsidRDefault="00602B19">
      <w:pPr>
        <w:pStyle w:val="ConsPlusNormal"/>
        <w:jc w:val="right"/>
      </w:pPr>
      <w:r>
        <w:t>железные дороги" на возмещение</w:t>
      </w:r>
    </w:p>
    <w:p w:rsidR="00602B19" w:rsidRDefault="00602B19">
      <w:pPr>
        <w:pStyle w:val="ConsPlusNormal"/>
        <w:jc w:val="right"/>
      </w:pPr>
      <w:r>
        <w:t>недополученных доходов, возникающих</w:t>
      </w:r>
    </w:p>
    <w:p w:rsidR="00602B19" w:rsidRDefault="00602B19">
      <w:pPr>
        <w:pStyle w:val="ConsPlusNormal"/>
        <w:jc w:val="right"/>
      </w:pPr>
      <w:r>
        <w:t>в результате установления льготных</w:t>
      </w:r>
    </w:p>
    <w:p w:rsidR="00602B19" w:rsidRDefault="00602B19">
      <w:pPr>
        <w:pStyle w:val="ConsPlusNormal"/>
        <w:jc w:val="right"/>
      </w:pPr>
      <w:r>
        <w:t>тарифов на перевозку железнодорожным</w:t>
      </w:r>
    </w:p>
    <w:p w:rsidR="00602B19" w:rsidRDefault="00602B19">
      <w:pPr>
        <w:pStyle w:val="ConsPlusNormal"/>
        <w:jc w:val="right"/>
      </w:pPr>
      <w:r>
        <w:t>транспортом во внутрироссийском</w:t>
      </w:r>
    </w:p>
    <w:p w:rsidR="00602B19" w:rsidRDefault="00602B19">
      <w:pPr>
        <w:pStyle w:val="ConsPlusNormal"/>
        <w:jc w:val="right"/>
      </w:pPr>
      <w:r>
        <w:t>сообщении моторного топлива,</w:t>
      </w:r>
    </w:p>
    <w:p w:rsidR="00602B19" w:rsidRDefault="00602B19">
      <w:pPr>
        <w:pStyle w:val="ConsPlusNormal"/>
        <w:jc w:val="right"/>
      </w:pPr>
      <w:r>
        <w:t>предназначенного для реализации</w:t>
      </w:r>
    </w:p>
    <w:p w:rsidR="00602B19" w:rsidRDefault="00602B19">
      <w:pPr>
        <w:pStyle w:val="ConsPlusNormal"/>
        <w:jc w:val="right"/>
      </w:pPr>
      <w:r>
        <w:t>на территории Российской Федерации,</w:t>
      </w:r>
    </w:p>
    <w:p w:rsidR="00602B19" w:rsidRDefault="00602B19">
      <w:pPr>
        <w:pStyle w:val="ConsPlusNormal"/>
        <w:jc w:val="right"/>
      </w:pPr>
      <w:r>
        <w:t>в направлении Дальневосточного</w:t>
      </w:r>
    </w:p>
    <w:p w:rsidR="00602B19" w:rsidRDefault="00602B19">
      <w:pPr>
        <w:pStyle w:val="ConsPlusNormal"/>
        <w:jc w:val="right"/>
      </w:pPr>
      <w:r>
        <w:t>федерального округа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Title"/>
        <w:jc w:val="center"/>
      </w:pPr>
      <w:bookmarkStart w:id="7" w:name="P229"/>
      <w:bookmarkEnd w:id="7"/>
      <w:r>
        <w:t>ПЕРЕЧЕНЬ</w:t>
      </w:r>
    </w:p>
    <w:p w:rsidR="00602B19" w:rsidRDefault="00602B19">
      <w:pPr>
        <w:pStyle w:val="ConsPlusTitle"/>
        <w:jc w:val="center"/>
      </w:pPr>
      <w:r>
        <w:t>СУБЪЕКТОВ РОССИЙСКОЙ ФЕДЕРАЦИИ ДАЛЬНЕВОСТОЧНОГО ФЕДЕРАЛЬНОГО</w:t>
      </w:r>
    </w:p>
    <w:p w:rsidR="00602B19" w:rsidRDefault="00602B19">
      <w:pPr>
        <w:pStyle w:val="ConsPlusTitle"/>
        <w:jc w:val="center"/>
      </w:pPr>
      <w:r>
        <w:t>ОКРУГА, НА ЖЕЛЕЗНОДОРОЖНЫЕ СТАНЦИИ КОТОРЫХ ОСУЩЕСТВЛЯЕТСЯ</w:t>
      </w:r>
    </w:p>
    <w:p w:rsidR="00602B19" w:rsidRDefault="00602B19">
      <w:pPr>
        <w:pStyle w:val="ConsPlusTitle"/>
        <w:jc w:val="center"/>
      </w:pPr>
      <w:r>
        <w:t>ПЕРЕВОЗКА МОТОРНОГО ТОПЛИВА, ПРЕДНАЗНАЧЕННОГО ДЛЯ РЕАЛИЗАЦИИ</w:t>
      </w:r>
    </w:p>
    <w:p w:rsidR="00602B19" w:rsidRDefault="00602B19">
      <w:pPr>
        <w:pStyle w:val="ConsPlusTitle"/>
        <w:jc w:val="center"/>
      </w:pPr>
      <w:r>
        <w:t>НА ТЕРРИТОРИИ РОССИЙСКОЙ ФЕДЕРАЦИИ, ПО ЛЬГОТНОМУ ТАРИФУ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ind w:firstLine="540"/>
        <w:jc w:val="both"/>
      </w:pPr>
      <w:r>
        <w:t>1. Республика Бурятия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2. Республика Саха (Якутия)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3. Забайкальский край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4. Приморский край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5. Хабаровский край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lastRenderedPageBreak/>
        <w:t>6. Еврейская автономная область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7. Амурская область</w:t>
      </w:r>
    </w:p>
    <w:p w:rsidR="00602B19" w:rsidRDefault="00602B19">
      <w:pPr>
        <w:pStyle w:val="ConsPlusNormal"/>
        <w:spacing w:before="220"/>
        <w:ind w:firstLine="540"/>
        <w:jc w:val="both"/>
      </w:pPr>
      <w:r>
        <w:t>8. Сахалинская область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right"/>
        <w:outlineLvl w:val="1"/>
      </w:pPr>
      <w:r>
        <w:t>Приложение N 3</w:t>
      </w:r>
    </w:p>
    <w:p w:rsidR="00602B19" w:rsidRDefault="00602B19">
      <w:pPr>
        <w:pStyle w:val="ConsPlusNormal"/>
        <w:jc w:val="right"/>
      </w:pPr>
      <w:r>
        <w:t>к Правилам предоставления субсидии</w:t>
      </w:r>
    </w:p>
    <w:p w:rsidR="00602B19" w:rsidRDefault="00602B19">
      <w:pPr>
        <w:pStyle w:val="ConsPlusNormal"/>
        <w:jc w:val="right"/>
      </w:pPr>
      <w:r>
        <w:t>из федерального бюджета открытому</w:t>
      </w:r>
    </w:p>
    <w:p w:rsidR="00602B19" w:rsidRDefault="00602B19">
      <w:pPr>
        <w:pStyle w:val="ConsPlusNormal"/>
        <w:jc w:val="right"/>
      </w:pPr>
      <w:r>
        <w:t>акционерному обществу "Российские</w:t>
      </w:r>
    </w:p>
    <w:p w:rsidR="00602B19" w:rsidRDefault="00602B19">
      <w:pPr>
        <w:pStyle w:val="ConsPlusNormal"/>
        <w:jc w:val="right"/>
      </w:pPr>
      <w:r>
        <w:t>железные дороги" на возмещение</w:t>
      </w:r>
    </w:p>
    <w:p w:rsidR="00602B19" w:rsidRDefault="00602B19">
      <w:pPr>
        <w:pStyle w:val="ConsPlusNormal"/>
        <w:jc w:val="right"/>
      </w:pPr>
      <w:r>
        <w:t>недополученных доходов, возникающих</w:t>
      </w:r>
    </w:p>
    <w:p w:rsidR="00602B19" w:rsidRDefault="00602B19">
      <w:pPr>
        <w:pStyle w:val="ConsPlusNormal"/>
        <w:jc w:val="right"/>
      </w:pPr>
      <w:r>
        <w:t>в результате установления льготных</w:t>
      </w:r>
    </w:p>
    <w:p w:rsidR="00602B19" w:rsidRDefault="00602B19">
      <w:pPr>
        <w:pStyle w:val="ConsPlusNormal"/>
        <w:jc w:val="right"/>
      </w:pPr>
      <w:r>
        <w:t>тарифов на перевозку железнодорожным</w:t>
      </w:r>
    </w:p>
    <w:p w:rsidR="00602B19" w:rsidRDefault="00602B19">
      <w:pPr>
        <w:pStyle w:val="ConsPlusNormal"/>
        <w:jc w:val="right"/>
      </w:pPr>
      <w:r>
        <w:t>транспортом во внутрироссийском</w:t>
      </w:r>
    </w:p>
    <w:p w:rsidR="00602B19" w:rsidRDefault="00602B19">
      <w:pPr>
        <w:pStyle w:val="ConsPlusNormal"/>
        <w:jc w:val="right"/>
      </w:pPr>
      <w:r>
        <w:t>сообщении моторного топлива,</w:t>
      </w:r>
    </w:p>
    <w:p w:rsidR="00602B19" w:rsidRDefault="00602B19">
      <w:pPr>
        <w:pStyle w:val="ConsPlusNormal"/>
        <w:jc w:val="right"/>
      </w:pPr>
      <w:r>
        <w:t>предназначенного для реализации</w:t>
      </w:r>
    </w:p>
    <w:p w:rsidR="00602B19" w:rsidRDefault="00602B19">
      <w:pPr>
        <w:pStyle w:val="ConsPlusNormal"/>
        <w:jc w:val="right"/>
      </w:pPr>
      <w:r>
        <w:t>на территории Российской Федерации,</w:t>
      </w:r>
    </w:p>
    <w:p w:rsidR="00602B19" w:rsidRDefault="00602B19">
      <w:pPr>
        <w:pStyle w:val="ConsPlusNormal"/>
        <w:jc w:val="right"/>
      </w:pPr>
      <w:r>
        <w:t>в направлении Дальневосточного</w:t>
      </w:r>
    </w:p>
    <w:p w:rsidR="00602B19" w:rsidRDefault="00602B19">
      <w:pPr>
        <w:pStyle w:val="ConsPlusNormal"/>
        <w:jc w:val="right"/>
      </w:pPr>
      <w:r>
        <w:t>федерального округа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right"/>
      </w:pPr>
      <w:r>
        <w:t>(форма)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center"/>
      </w:pPr>
      <w:bookmarkStart w:id="8" w:name="P265"/>
      <w:bookmarkEnd w:id="8"/>
      <w:r>
        <w:t>ОТЧЕТ</w:t>
      </w:r>
    </w:p>
    <w:p w:rsidR="00602B19" w:rsidRDefault="00602B19">
      <w:pPr>
        <w:pStyle w:val="ConsPlusNormal"/>
        <w:jc w:val="center"/>
      </w:pPr>
      <w:r>
        <w:t>о потерях в доходах, возникающих в результате</w:t>
      </w:r>
    </w:p>
    <w:p w:rsidR="00602B19" w:rsidRDefault="00602B19">
      <w:pPr>
        <w:pStyle w:val="ConsPlusNormal"/>
        <w:jc w:val="center"/>
      </w:pPr>
      <w:r>
        <w:t>установления льготных тарифов на перевозку моторного</w:t>
      </w:r>
    </w:p>
    <w:p w:rsidR="00602B19" w:rsidRDefault="00602B19">
      <w:pPr>
        <w:pStyle w:val="ConsPlusNormal"/>
        <w:jc w:val="center"/>
      </w:pPr>
      <w:r>
        <w:t>топлива, предназначенного для реализации на территории</w:t>
      </w:r>
    </w:p>
    <w:p w:rsidR="00602B19" w:rsidRDefault="00602B19">
      <w:pPr>
        <w:pStyle w:val="ConsPlusNormal"/>
        <w:jc w:val="center"/>
      </w:pPr>
      <w:r>
        <w:t>Российской Федерации, в направлении Дальневосточного</w:t>
      </w:r>
    </w:p>
    <w:p w:rsidR="00602B19" w:rsidRDefault="00602B19">
      <w:pPr>
        <w:pStyle w:val="ConsPlusNormal"/>
        <w:jc w:val="center"/>
      </w:pPr>
      <w:r>
        <w:t>федерального округа за ________________ (месяц, год)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right"/>
      </w:pPr>
      <w:r>
        <w:t>(рублей)</w:t>
      </w:r>
    </w:p>
    <w:p w:rsidR="00602B19" w:rsidRDefault="00602B19">
      <w:pPr>
        <w:sectPr w:rsidR="00602B19" w:rsidSect="000232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945"/>
        <w:gridCol w:w="630"/>
        <w:gridCol w:w="685"/>
        <w:gridCol w:w="660"/>
        <w:gridCol w:w="795"/>
        <w:gridCol w:w="630"/>
        <w:gridCol w:w="1065"/>
        <w:gridCol w:w="1640"/>
        <w:gridCol w:w="1501"/>
        <w:gridCol w:w="893"/>
        <w:gridCol w:w="709"/>
        <w:gridCol w:w="1067"/>
      </w:tblGrid>
      <w:tr w:rsidR="00602B19">
        <w:tc>
          <w:tcPr>
            <w:tcW w:w="675" w:type="dxa"/>
          </w:tcPr>
          <w:p w:rsidR="00602B19" w:rsidRDefault="00602B19">
            <w:pPr>
              <w:pStyle w:val="ConsPlusNormal"/>
              <w:jc w:val="center"/>
            </w:pPr>
            <w:r>
              <w:lastRenderedPageBreak/>
              <w:t xml:space="preserve">Наименование грузоотправителя </w:t>
            </w:r>
            <w:hyperlink w:anchor="P316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945" w:type="dxa"/>
          </w:tcPr>
          <w:p w:rsidR="00602B19" w:rsidRDefault="00602B19">
            <w:pPr>
              <w:pStyle w:val="ConsPlusNormal"/>
              <w:jc w:val="center"/>
            </w:pPr>
            <w:r>
              <w:t xml:space="preserve">Номер перевозочного документа </w:t>
            </w:r>
            <w:hyperlink w:anchor="P317" w:history="1">
              <w:r>
                <w:rPr>
                  <w:color w:val="0000FF"/>
                </w:rPr>
                <w:t>&lt;2&gt;</w:t>
              </w:r>
            </w:hyperlink>
            <w:r>
              <w:t>, дата приемки груза к перевозке</w:t>
            </w:r>
          </w:p>
        </w:tc>
        <w:tc>
          <w:tcPr>
            <w:tcW w:w="630" w:type="dxa"/>
          </w:tcPr>
          <w:p w:rsidR="00602B19" w:rsidRDefault="00602B19">
            <w:pPr>
              <w:pStyle w:val="ConsPlusNormal"/>
              <w:jc w:val="center"/>
            </w:pPr>
            <w:r>
              <w:t xml:space="preserve">Позиция ЕТСНГ </w:t>
            </w:r>
            <w:hyperlink w:anchor="P318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685" w:type="dxa"/>
          </w:tcPr>
          <w:p w:rsidR="00602B19" w:rsidRDefault="00602B19">
            <w:pPr>
              <w:pStyle w:val="ConsPlusNormal"/>
              <w:jc w:val="center"/>
            </w:pPr>
            <w:r>
              <w:t>Станция отправления</w:t>
            </w:r>
          </w:p>
        </w:tc>
        <w:tc>
          <w:tcPr>
            <w:tcW w:w="660" w:type="dxa"/>
          </w:tcPr>
          <w:p w:rsidR="00602B19" w:rsidRDefault="00602B19">
            <w:pPr>
              <w:pStyle w:val="ConsPlusNormal"/>
              <w:jc w:val="center"/>
            </w:pPr>
            <w:r>
              <w:t>Станция назначения</w:t>
            </w:r>
          </w:p>
        </w:tc>
        <w:tc>
          <w:tcPr>
            <w:tcW w:w="795" w:type="dxa"/>
          </w:tcPr>
          <w:p w:rsidR="00602B19" w:rsidRDefault="00602B19">
            <w:pPr>
              <w:pStyle w:val="ConsPlusNormal"/>
              <w:jc w:val="center"/>
            </w:pPr>
            <w:r>
              <w:t>Объем перевезенного груза (тонн)</w:t>
            </w:r>
          </w:p>
        </w:tc>
        <w:tc>
          <w:tcPr>
            <w:tcW w:w="630" w:type="dxa"/>
          </w:tcPr>
          <w:p w:rsidR="00602B19" w:rsidRDefault="00602B19">
            <w:pPr>
              <w:pStyle w:val="ConsPlusNormal"/>
              <w:jc w:val="center"/>
            </w:pPr>
            <w:r>
              <w:t>Плата за перевозку груза (тонн)</w:t>
            </w:r>
          </w:p>
        </w:tc>
        <w:tc>
          <w:tcPr>
            <w:tcW w:w="1065" w:type="dxa"/>
          </w:tcPr>
          <w:p w:rsidR="00602B19" w:rsidRDefault="00602B19">
            <w:pPr>
              <w:pStyle w:val="ConsPlusNormal"/>
              <w:jc w:val="center"/>
            </w:pPr>
            <w:r>
              <w:t>Размер тарифа в расчете на одну тонну перевезенного груза (</w:t>
            </w:r>
            <w:hyperlink w:anchor="P294" w:history="1">
              <w:r>
                <w:rPr>
                  <w:color w:val="0000FF"/>
                </w:rPr>
                <w:t>графа 7</w:t>
              </w:r>
            </w:hyperlink>
            <w:r>
              <w:t xml:space="preserve">: </w:t>
            </w:r>
            <w:hyperlink w:anchor="P293" w:history="1">
              <w:r>
                <w:rPr>
                  <w:color w:val="0000FF"/>
                </w:rPr>
                <w:t>графа 6</w:t>
              </w:r>
            </w:hyperlink>
            <w:r>
              <w:t>)</w:t>
            </w:r>
          </w:p>
        </w:tc>
        <w:tc>
          <w:tcPr>
            <w:tcW w:w="1640" w:type="dxa"/>
          </w:tcPr>
          <w:p w:rsidR="00602B19" w:rsidRDefault="00602B19">
            <w:pPr>
              <w:pStyle w:val="ConsPlusNormal"/>
              <w:jc w:val="center"/>
            </w:pPr>
            <w:r>
              <w:t>Потери в доходах без учета налога на добавленную стоимость</w:t>
            </w:r>
          </w:p>
          <w:p w:rsidR="00602B19" w:rsidRDefault="00602B19">
            <w:pPr>
              <w:pStyle w:val="ConsPlusNormal"/>
              <w:jc w:val="center"/>
            </w:pPr>
            <w:r>
              <w:t xml:space="preserve">а) при условии </w:t>
            </w:r>
            <w:hyperlink w:anchor="P295" w:history="1">
              <w:r>
                <w:rPr>
                  <w:color w:val="0000FF"/>
                </w:rPr>
                <w:t xml:space="preserve">графа </w:t>
              </w:r>
              <w:proofErr w:type="gramStart"/>
              <w:r>
                <w:rPr>
                  <w:color w:val="0000FF"/>
                </w:rPr>
                <w:t>8</w:t>
              </w:r>
            </w:hyperlink>
            <w:r>
              <w:t xml:space="preserve"> &gt;</w:t>
            </w:r>
            <w:proofErr w:type="gramEnd"/>
            <w:r>
              <w:t>= 4000 : (</w:t>
            </w:r>
            <w:hyperlink w:anchor="P293" w:history="1">
              <w:r>
                <w:rPr>
                  <w:color w:val="0000FF"/>
                </w:rPr>
                <w:t>графа 6</w:t>
              </w:r>
            </w:hyperlink>
            <w:r>
              <w:t xml:space="preserve"> x 4000);</w:t>
            </w:r>
          </w:p>
          <w:p w:rsidR="00602B19" w:rsidRDefault="00602B19">
            <w:pPr>
              <w:pStyle w:val="ConsPlusNormal"/>
              <w:jc w:val="center"/>
            </w:pPr>
            <w:r>
              <w:t xml:space="preserve">б) при условии </w:t>
            </w:r>
            <w:hyperlink w:anchor="P295" w:history="1">
              <w:r>
                <w:rPr>
                  <w:color w:val="0000FF"/>
                </w:rPr>
                <w:t>графа 8</w:t>
              </w:r>
            </w:hyperlink>
            <w:r>
              <w:t xml:space="preserve"> </w:t>
            </w:r>
            <w:proofErr w:type="gramStart"/>
            <w:r>
              <w:t>&lt; 400</w:t>
            </w:r>
            <w:proofErr w:type="gramEnd"/>
            <w:r>
              <w:t xml:space="preserve"> : (</w:t>
            </w:r>
            <w:hyperlink w:anchor="P293" w:history="1">
              <w:r>
                <w:rPr>
                  <w:color w:val="0000FF"/>
                </w:rPr>
                <w:t>графа 6</w:t>
              </w:r>
            </w:hyperlink>
            <w:r>
              <w:t xml:space="preserve"> x </w:t>
            </w:r>
            <w:hyperlink w:anchor="P295" w:history="1">
              <w:r>
                <w:rPr>
                  <w:color w:val="0000FF"/>
                </w:rPr>
                <w:t>графа 8</w:t>
              </w:r>
            </w:hyperlink>
            <w:r>
              <w:t>)</w:t>
            </w:r>
          </w:p>
        </w:tc>
        <w:tc>
          <w:tcPr>
            <w:tcW w:w="1501" w:type="dxa"/>
          </w:tcPr>
          <w:p w:rsidR="00602B19" w:rsidRDefault="00602B19">
            <w:pPr>
              <w:pStyle w:val="ConsPlusNormal"/>
              <w:jc w:val="center"/>
            </w:pPr>
            <w:r>
              <w:t>Сумма корректировок потерь в доходах без учета налога на добавленную стоимость по отчетам за предыдущие отчетные периоды (+/-)</w:t>
            </w:r>
          </w:p>
        </w:tc>
        <w:tc>
          <w:tcPr>
            <w:tcW w:w="893" w:type="dxa"/>
          </w:tcPr>
          <w:p w:rsidR="00602B19" w:rsidRDefault="00602B19">
            <w:pPr>
              <w:pStyle w:val="ConsPlusNormal"/>
              <w:jc w:val="center"/>
            </w:pPr>
            <w:r>
              <w:t>Потери в доходах без учета налога на добавленную стоимость (</w:t>
            </w:r>
            <w:hyperlink w:anchor="P296" w:history="1">
              <w:r>
                <w:rPr>
                  <w:color w:val="0000FF"/>
                </w:rPr>
                <w:t>графа 9</w:t>
              </w:r>
            </w:hyperlink>
            <w:r>
              <w:t xml:space="preserve"> + </w:t>
            </w:r>
            <w:hyperlink w:anchor="P297" w:history="1">
              <w:r>
                <w:rPr>
                  <w:color w:val="0000FF"/>
                </w:rPr>
                <w:t>10</w:t>
              </w:r>
            </w:hyperlink>
            <w:r>
              <w:t>)</w:t>
            </w:r>
          </w:p>
        </w:tc>
        <w:tc>
          <w:tcPr>
            <w:tcW w:w="709" w:type="dxa"/>
          </w:tcPr>
          <w:p w:rsidR="00602B19" w:rsidRDefault="00602B19">
            <w:pPr>
              <w:pStyle w:val="ConsPlusNormal"/>
              <w:jc w:val="center"/>
            </w:pPr>
            <w:r>
              <w:t>Налог на добавленную стоимость (</w:t>
            </w:r>
            <w:hyperlink w:anchor="P298" w:history="1">
              <w:r>
                <w:rPr>
                  <w:color w:val="0000FF"/>
                </w:rPr>
                <w:t>графа 11</w:t>
              </w:r>
            </w:hyperlink>
            <w:r>
              <w:t xml:space="preserve"> x 0,20)</w:t>
            </w:r>
          </w:p>
        </w:tc>
        <w:tc>
          <w:tcPr>
            <w:tcW w:w="1067" w:type="dxa"/>
          </w:tcPr>
          <w:p w:rsidR="00602B19" w:rsidRDefault="00602B19">
            <w:pPr>
              <w:pStyle w:val="ConsPlusNormal"/>
              <w:jc w:val="center"/>
            </w:pPr>
            <w:r>
              <w:t>Потери в доходах с учетом налога на добавленную стоимость (</w:t>
            </w:r>
            <w:hyperlink w:anchor="P298" w:history="1">
              <w:r>
                <w:rPr>
                  <w:color w:val="0000FF"/>
                </w:rPr>
                <w:t>графа 11</w:t>
              </w:r>
            </w:hyperlink>
            <w:r>
              <w:t xml:space="preserve"> + </w:t>
            </w:r>
            <w:hyperlink w:anchor="P299" w:history="1">
              <w:r>
                <w:rPr>
                  <w:color w:val="0000FF"/>
                </w:rPr>
                <w:t>графа 12</w:t>
              </w:r>
            </w:hyperlink>
            <w:r>
              <w:t>)</w:t>
            </w:r>
          </w:p>
        </w:tc>
      </w:tr>
      <w:tr w:rsidR="00602B19">
        <w:tc>
          <w:tcPr>
            <w:tcW w:w="675" w:type="dxa"/>
          </w:tcPr>
          <w:p w:rsidR="00602B19" w:rsidRDefault="00602B1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45" w:type="dxa"/>
          </w:tcPr>
          <w:p w:rsidR="00602B19" w:rsidRDefault="00602B1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30" w:type="dxa"/>
          </w:tcPr>
          <w:p w:rsidR="00602B19" w:rsidRDefault="00602B1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5" w:type="dxa"/>
          </w:tcPr>
          <w:p w:rsidR="00602B19" w:rsidRDefault="00602B1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0" w:type="dxa"/>
          </w:tcPr>
          <w:p w:rsidR="00602B19" w:rsidRDefault="00602B1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5" w:type="dxa"/>
          </w:tcPr>
          <w:p w:rsidR="00602B19" w:rsidRDefault="00602B19">
            <w:pPr>
              <w:pStyle w:val="ConsPlusNormal"/>
              <w:jc w:val="center"/>
            </w:pPr>
            <w:bookmarkStart w:id="9" w:name="P293"/>
            <w:bookmarkEnd w:id="9"/>
            <w:r>
              <w:t>6</w:t>
            </w:r>
          </w:p>
        </w:tc>
        <w:tc>
          <w:tcPr>
            <w:tcW w:w="630" w:type="dxa"/>
          </w:tcPr>
          <w:p w:rsidR="00602B19" w:rsidRDefault="00602B19">
            <w:pPr>
              <w:pStyle w:val="ConsPlusNormal"/>
              <w:jc w:val="center"/>
            </w:pPr>
            <w:bookmarkStart w:id="10" w:name="P294"/>
            <w:bookmarkEnd w:id="10"/>
            <w:r>
              <w:t>7</w:t>
            </w:r>
          </w:p>
        </w:tc>
        <w:tc>
          <w:tcPr>
            <w:tcW w:w="1065" w:type="dxa"/>
          </w:tcPr>
          <w:p w:rsidR="00602B19" w:rsidRDefault="00602B19">
            <w:pPr>
              <w:pStyle w:val="ConsPlusNormal"/>
              <w:jc w:val="center"/>
            </w:pPr>
            <w:bookmarkStart w:id="11" w:name="P295"/>
            <w:bookmarkEnd w:id="11"/>
            <w:r>
              <w:t>8</w:t>
            </w:r>
          </w:p>
        </w:tc>
        <w:tc>
          <w:tcPr>
            <w:tcW w:w="1640" w:type="dxa"/>
          </w:tcPr>
          <w:p w:rsidR="00602B19" w:rsidRDefault="00602B19">
            <w:pPr>
              <w:pStyle w:val="ConsPlusNormal"/>
              <w:jc w:val="center"/>
            </w:pPr>
            <w:bookmarkStart w:id="12" w:name="P296"/>
            <w:bookmarkEnd w:id="12"/>
            <w:r>
              <w:t>9</w:t>
            </w:r>
          </w:p>
        </w:tc>
        <w:tc>
          <w:tcPr>
            <w:tcW w:w="1501" w:type="dxa"/>
          </w:tcPr>
          <w:p w:rsidR="00602B19" w:rsidRDefault="00602B19">
            <w:pPr>
              <w:pStyle w:val="ConsPlusNormal"/>
              <w:jc w:val="center"/>
            </w:pPr>
            <w:bookmarkStart w:id="13" w:name="P297"/>
            <w:bookmarkEnd w:id="13"/>
            <w:r>
              <w:t>10</w:t>
            </w:r>
          </w:p>
        </w:tc>
        <w:tc>
          <w:tcPr>
            <w:tcW w:w="893" w:type="dxa"/>
          </w:tcPr>
          <w:p w:rsidR="00602B19" w:rsidRDefault="00602B19">
            <w:pPr>
              <w:pStyle w:val="ConsPlusNormal"/>
              <w:jc w:val="center"/>
            </w:pPr>
            <w:bookmarkStart w:id="14" w:name="P298"/>
            <w:bookmarkEnd w:id="14"/>
            <w:r>
              <w:t>11</w:t>
            </w:r>
          </w:p>
        </w:tc>
        <w:tc>
          <w:tcPr>
            <w:tcW w:w="709" w:type="dxa"/>
          </w:tcPr>
          <w:p w:rsidR="00602B19" w:rsidRDefault="00602B19">
            <w:pPr>
              <w:pStyle w:val="ConsPlusNormal"/>
              <w:jc w:val="center"/>
            </w:pPr>
            <w:bookmarkStart w:id="15" w:name="P299"/>
            <w:bookmarkEnd w:id="15"/>
            <w:r>
              <w:t>12</w:t>
            </w:r>
          </w:p>
        </w:tc>
        <w:tc>
          <w:tcPr>
            <w:tcW w:w="1067" w:type="dxa"/>
          </w:tcPr>
          <w:p w:rsidR="00602B19" w:rsidRDefault="00602B19">
            <w:pPr>
              <w:pStyle w:val="ConsPlusNormal"/>
              <w:jc w:val="center"/>
            </w:pPr>
            <w:r>
              <w:t>13</w:t>
            </w:r>
          </w:p>
        </w:tc>
      </w:tr>
      <w:tr w:rsidR="00602B19">
        <w:tc>
          <w:tcPr>
            <w:tcW w:w="675" w:type="dxa"/>
            <w:vAlign w:val="center"/>
          </w:tcPr>
          <w:p w:rsidR="00602B19" w:rsidRDefault="00602B19">
            <w:pPr>
              <w:pStyle w:val="ConsPlusNormal"/>
            </w:pPr>
          </w:p>
        </w:tc>
        <w:tc>
          <w:tcPr>
            <w:tcW w:w="945" w:type="dxa"/>
            <w:vAlign w:val="center"/>
          </w:tcPr>
          <w:p w:rsidR="00602B19" w:rsidRDefault="00602B19">
            <w:pPr>
              <w:pStyle w:val="ConsPlusNormal"/>
            </w:pPr>
          </w:p>
        </w:tc>
        <w:tc>
          <w:tcPr>
            <w:tcW w:w="630" w:type="dxa"/>
            <w:vAlign w:val="center"/>
          </w:tcPr>
          <w:p w:rsidR="00602B19" w:rsidRDefault="00602B19">
            <w:pPr>
              <w:pStyle w:val="ConsPlusNormal"/>
            </w:pPr>
          </w:p>
        </w:tc>
        <w:tc>
          <w:tcPr>
            <w:tcW w:w="685" w:type="dxa"/>
            <w:vAlign w:val="center"/>
          </w:tcPr>
          <w:p w:rsidR="00602B19" w:rsidRDefault="00602B19">
            <w:pPr>
              <w:pStyle w:val="ConsPlusNormal"/>
            </w:pPr>
          </w:p>
        </w:tc>
        <w:tc>
          <w:tcPr>
            <w:tcW w:w="660" w:type="dxa"/>
            <w:vAlign w:val="center"/>
          </w:tcPr>
          <w:p w:rsidR="00602B19" w:rsidRDefault="00602B19">
            <w:pPr>
              <w:pStyle w:val="ConsPlusNormal"/>
            </w:pPr>
          </w:p>
        </w:tc>
        <w:tc>
          <w:tcPr>
            <w:tcW w:w="795" w:type="dxa"/>
            <w:vAlign w:val="center"/>
          </w:tcPr>
          <w:p w:rsidR="00602B19" w:rsidRDefault="00602B19">
            <w:pPr>
              <w:pStyle w:val="ConsPlusNormal"/>
            </w:pPr>
          </w:p>
        </w:tc>
        <w:tc>
          <w:tcPr>
            <w:tcW w:w="630" w:type="dxa"/>
            <w:vAlign w:val="center"/>
          </w:tcPr>
          <w:p w:rsidR="00602B19" w:rsidRDefault="00602B19">
            <w:pPr>
              <w:pStyle w:val="ConsPlusNormal"/>
            </w:pPr>
          </w:p>
        </w:tc>
        <w:tc>
          <w:tcPr>
            <w:tcW w:w="1065" w:type="dxa"/>
            <w:vAlign w:val="center"/>
          </w:tcPr>
          <w:p w:rsidR="00602B19" w:rsidRDefault="00602B19">
            <w:pPr>
              <w:pStyle w:val="ConsPlusNormal"/>
            </w:pPr>
          </w:p>
        </w:tc>
        <w:tc>
          <w:tcPr>
            <w:tcW w:w="1640" w:type="dxa"/>
            <w:vAlign w:val="center"/>
          </w:tcPr>
          <w:p w:rsidR="00602B19" w:rsidRDefault="00602B19">
            <w:pPr>
              <w:pStyle w:val="ConsPlusNormal"/>
            </w:pPr>
          </w:p>
        </w:tc>
        <w:tc>
          <w:tcPr>
            <w:tcW w:w="1501" w:type="dxa"/>
            <w:vAlign w:val="center"/>
          </w:tcPr>
          <w:p w:rsidR="00602B19" w:rsidRDefault="00602B19">
            <w:pPr>
              <w:pStyle w:val="ConsPlusNormal"/>
            </w:pPr>
          </w:p>
        </w:tc>
        <w:tc>
          <w:tcPr>
            <w:tcW w:w="893" w:type="dxa"/>
            <w:vAlign w:val="center"/>
          </w:tcPr>
          <w:p w:rsidR="00602B19" w:rsidRDefault="00602B19">
            <w:pPr>
              <w:pStyle w:val="ConsPlusNormal"/>
            </w:pPr>
          </w:p>
        </w:tc>
        <w:tc>
          <w:tcPr>
            <w:tcW w:w="709" w:type="dxa"/>
            <w:vAlign w:val="center"/>
          </w:tcPr>
          <w:p w:rsidR="00602B19" w:rsidRDefault="00602B19">
            <w:pPr>
              <w:pStyle w:val="ConsPlusNormal"/>
            </w:pPr>
          </w:p>
        </w:tc>
        <w:tc>
          <w:tcPr>
            <w:tcW w:w="1067" w:type="dxa"/>
            <w:vAlign w:val="center"/>
          </w:tcPr>
          <w:p w:rsidR="00602B19" w:rsidRDefault="00602B19">
            <w:pPr>
              <w:pStyle w:val="ConsPlusNormal"/>
            </w:pPr>
          </w:p>
        </w:tc>
      </w:tr>
    </w:tbl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ind w:firstLine="540"/>
        <w:jc w:val="both"/>
      </w:pPr>
      <w:r>
        <w:t>--------------------------------</w:t>
      </w:r>
    </w:p>
    <w:p w:rsidR="00602B19" w:rsidRDefault="00602B19">
      <w:pPr>
        <w:pStyle w:val="ConsPlusNormal"/>
        <w:spacing w:before="220"/>
        <w:ind w:firstLine="540"/>
        <w:jc w:val="both"/>
      </w:pPr>
      <w:bookmarkStart w:id="16" w:name="P316"/>
      <w:bookmarkEnd w:id="16"/>
      <w:r>
        <w:t>&lt;1&gt; Юридическое лицо, которое по договору перевозки груза выступает от своего имени или от имени владельца груза и указано в документе, подтверждающем заключение договора перевозки груза.</w:t>
      </w:r>
    </w:p>
    <w:p w:rsidR="00602B19" w:rsidRDefault="00602B19">
      <w:pPr>
        <w:pStyle w:val="ConsPlusNormal"/>
        <w:spacing w:before="220"/>
        <w:ind w:firstLine="540"/>
        <w:jc w:val="both"/>
      </w:pPr>
      <w:bookmarkStart w:id="17" w:name="P317"/>
      <w:bookmarkEnd w:id="17"/>
      <w:r>
        <w:t>&lt;2&gt; Документ, подтверждающий заключение договора перевозки груза (железнодорожная транспортная накладная).</w:t>
      </w:r>
    </w:p>
    <w:p w:rsidR="00602B19" w:rsidRDefault="00602B19">
      <w:pPr>
        <w:pStyle w:val="ConsPlusNormal"/>
        <w:spacing w:before="220"/>
        <w:ind w:firstLine="540"/>
        <w:jc w:val="both"/>
      </w:pPr>
      <w:bookmarkStart w:id="18" w:name="P318"/>
      <w:bookmarkEnd w:id="18"/>
      <w:r>
        <w:t>&lt;3&gt; Единая тарифно-статистическая номенклатура грузов.</w:t>
      </w: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jc w:val="both"/>
      </w:pPr>
    </w:p>
    <w:p w:rsidR="00602B19" w:rsidRDefault="00602B1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19" w:name="_GoBack"/>
      <w:bookmarkEnd w:id="19"/>
    </w:p>
    <w:sectPr w:rsidR="00246B30" w:rsidSect="009C321B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B19"/>
    <w:rsid w:val="00246B30"/>
    <w:rsid w:val="0060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6C5A9A-6FE4-4C27-A540-C1C75107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2B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2B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2B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AF5645D0A36EBE060A7A23835D7CBAC704DB1E8822155F6E43F83A00CEE6BCB0EAE808B7D41A1F77AA6466A26B756F20864E729C39u7jFJ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5AF5645D0A36EBE060A7A23835D7CBAC704DB1E8822155F6E43F83A00CEE6BCB0EAE808B7D41A1F77AA6466A26B756F20864E729C39u7jFJ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AF5645D0A36EBE060A7A23835D7CBAC704DB1E8822155F6E43F83A00CEE6BCB0EAE808B7D41A1F77AA6466A26B756F20864E729C39u7jFJ" TargetMode="External"/><Relationship Id="rId11" Type="http://schemas.openxmlformats.org/officeDocument/2006/relationships/hyperlink" Target="consultantplus://offline/ref=15AF5645D0A36EBE060A7A23835D7CBAC704DF1B8622155F6E43F83A00CEE6BCB0EAE80BB6D2181520F07462EB3F7A70229B507382397D4Cu2jCJ" TargetMode="External"/><Relationship Id="rId5" Type="http://schemas.openxmlformats.org/officeDocument/2006/relationships/hyperlink" Target="consultantplus://offline/ref=15AF5645D0A36EBE060A7A23835D7CBAC704DB1E8822155F6E43F83A00CEE6BCB0EAE808B7D41A1F77AA6466A26B756F20864E729C39u7jFJ" TargetMode="External"/><Relationship Id="rId10" Type="http://schemas.openxmlformats.org/officeDocument/2006/relationships/hyperlink" Target="consultantplus://offline/ref=15AF5645D0A36EBE060A7A23835D7CBAC00DD91B8322155F6E43F83A00CEE6BCA2EAB007B7D0061420E52233ADu6j8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5AF5645D0A36EBE060A7A23835D7CBAC704DB1E8822155F6E43F83A00CEE6BCB0EAE808B7D41A1F77AA6466A26B756F20864E729C39u7j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3748</Words>
  <Characters>21369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2022-03-12T09:35:00Z</dcterms:created>
  <dcterms:modified xsi:type="dcterms:W3CDTF">2022-03-12T09:35:00Z</dcterms:modified>
</cp:coreProperties>
</file>