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4B2" w:rsidRDefault="002E74B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E74B2" w:rsidRDefault="002E74B2">
      <w:pPr>
        <w:pStyle w:val="ConsPlusNormal"/>
        <w:jc w:val="both"/>
        <w:outlineLvl w:val="0"/>
      </w:pPr>
    </w:p>
    <w:p w:rsidR="002E74B2" w:rsidRDefault="002E74B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E74B2" w:rsidRDefault="002E74B2">
      <w:pPr>
        <w:pStyle w:val="ConsPlusTitle"/>
        <w:jc w:val="center"/>
      </w:pPr>
    </w:p>
    <w:p w:rsidR="002E74B2" w:rsidRDefault="002E74B2">
      <w:pPr>
        <w:pStyle w:val="ConsPlusTitle"/>
        <w:jc w:val="center"/>
      </w:pPr>
      <w:r>
        <w:t>РАСПОРЯЖЕНИЕ</w:t>
      </w:r>
    </w:p>
    <w:p w:rsidR="002E74B2" w:rsidRDefault="002E74B2">
      <w:pPr>
        <w:pStyle w:val="ConsPlusTitle"/>
        <w:jc w:val="center"/>
      </w:pPr>
      <w:r>
        <w:t>от 10 сентября 2021 г. N 2526-р</w:t>
      </w:r>
    </w:p>
    <w:p w:rsidR="002E74B2" w:rsidRDefault="002E74B2">
      <w:pPr>
        <w:pStyle w:val="ConsPlusNormal"/>
        <w:jc w:val="both"/>
      </w:pPr>
    </w:p>
    <w:p w:rsidR="002E74B2" w:rsidRDefault="002E74B2">
      <w:pPr>
        <w:pStyle w:val="ConsPlusNormal"/>
        <w:ind w:firstLine="540"/>
        <w:jc w:val="both"/>
      </w:pPr>
      <w:r>
        <w:t xml:space="preserve">1. В соответствии с </w:t>
      </w:r>
      <w:hyperlink r:id="rId5" w:history="1">
        <w:r>
          <w:rPr>
            <w:color w:val="0000FF"/>
          </w:rPr>
          <w:t>частью 1 статьи 111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определить </w:t>
      </w:r>
      <w:proofErr w:type="gramStart"/>
      <w:r>
        <w:t>особенности</w:t>
      </w:r>
      <w:proofErr w:type="gramEnd"/>
      <w:r>
        <w:t xml:space="preserve"> осуществляемых Минпромторгом России в 2021 году закупок музыкальных инструментов для оснащения детских школ искусств (далее - закупки):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 xml:space="preserve">а) закупки осуществляются путем проведения открытых конкурсов в электронной форме (далее - конкурсы) в соответствии с положениями Федерального </w:t>
      </w:r>
      <w:hyperlink r:id="rId6" w:history="1">
        <w:r>
          <w:rPr>
            <w:color w:val="0000FF"/>
          </w:rPr>
          <w:t>закона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 и с учетом особенностей, установленных настоящим распоряжением;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 xml:space="preserve">б) объекты закупок, в отношении которых проводятся конкурсы, определяются по перечню согласно </w:t>
      </w:r>
      <w:hyperlink w:anchor="P52" w:history="1">
        <w:r>
          <w:rPr>
            <w:color w:val="0000FF"/>
          </w:rPr>
          <w:t>приложению N 1</w:t>
        </w:r>
      </w:hyperlink>
      <w:r>
        <w:t>;</w:t>
      </w:r>
    </w:p>
    <w:p w:rsidR="002E74B2" w:rsidRDefault="002E74B2">
      <w:pPr>
        <w:pStyle w:val="ConsPlusNormal"/>
        <w:spacing w:before="220"/>
        <w:ind w:firstLine="540"/>
        <w:jc w:val="both"/>
      </w:pPr>
      <w:bookmarkStart w:id="0" w:name="P9"/>
      <w:bookmarkEnd w:id="0"/>
      <w:r>
        <w:t xml:space="preserve">в) при проведении конкурсов к участникам конкурса предъявляются такие дополнительные требования, как осуществление участником закупки на территории Российской Федерации технологических операций при производстве музыкальных инструментов, которые оцениваются совокупностью количества баллов, а также соблюдение процентной доли стоимости использованных при производстве музыкального инструмента иностранных товаров в соответствии с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июля 2015 г. N 719 "О подтверждении производства промышленной продукции на территории Российской Федерации";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 xml:space="preserve">г) дополнительные требования, указанные в </w:t>
      </w:r>
      <w:hyperlink w:anchor="P9" w:history="1">
        <w:r>
          <w:rPr>
            <w:color w:val="0000FF"/>
          </w:rPr>
          <w:t>подпункте "в"</w:t>
        </w:r>
      </w:hyperlink>
      <w:r>
        <w:t xml:space="preserve"> настоящего пункта, не могут использоваться в качестве критерия оценки заявок на участие в конкурсе;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 xml:space="preserve">д) извещение о проведении конкурса и конкурсная документация наряду с информацией, предусмотренной </w:t>
      </w:r>
      <w:hyperlink r:id="rId8" w:history="1">
        <w:r>
          <w:rPr>
            <w:color w:val="0000FF"/>
          </w:rPr>
          <w:t>статьями 54.2</w:t>
        </w:r>
      </w:hyperlink>
      <w:r>
        <w:t xml:space="preserve"> и </w:t>
      </w:r>
      <w:hyperlink r:id="rId9" w:history="1">
        <w:r>
          <w:rPr>
            <w:color w:val="0000FF"/>
          </w:rPr>
          <w:t>54.3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должны содержать указание на установленные в соответствии с </w:t>
      </w:r>
      <w:hyperlink w:anchor="P9" w:history="1">
        <w:r>
          <w:rPr>
            <w:color w:val="0000FF"/>
          </w:rPr>
          <w:t>подпунктом "в"</w:t>
        </w:r>
      </w:hyperlink>
      <w:r>
        <w:t xml:space="preserve"> настоящего пункта дополнительные требования к участникам конкурса;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 xml:space="preserve">е) вторая часть заявки на участие в конкурсе наряду с информацией и электронными документами, предусмотренными </w:t>
      </w:r>
      <w:hyperlink r:id="rId10" w:history="1">
        <w:r>
          <w:rPr>
            <w:color w:val="0000FF"/>
          </w:rPr>
          <w:t>частью 6 статьи 54.4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должна содержать акт экспертизы Торгово-промышленной палаты Российской Федерации о соответствии производимой промышленной продукции требованиям к промышленной продукции, предъявляемым в целях ее отнесения к продукции, произведенной на территории Российской Федерации, содержащий информацию о совокупном количестве баллов за фактическое выполнение на территории Российской Федерации соответствующих операций, в соответствии с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июля 2015 г. N 719 "О подтверждении производства промышленной продукции на территории Российской Федерации", а при отсутствии указанного акта экспертизы: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 xml:space="preserve">при осуществлении участником закупки на территории Российской Федерации технологических операций при производстве музыкальных инструментов в соответствии с </w:t>
      </w:r>
      <w:hyperlink w:anchor="P9" w:history="1">
        <w:r>
          <w:rPr>
            <w:color w:val="0000FF"/>
          </w:rPr>
          <w:t>подпунктом "в"</w:t>
        </w:r>
      </w:hyperlink>
      <w:r>
        <w:t xml:space="preserve"> настоящего пункта - следующие документы: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 xml:space="preserve">заверенные уполномоченным лицом участника конкурса копии свидетельств о праве </w:t>
      </w:r>
      <w:r>
        <w:lastRenderedPageBreak/>
        <w:t>собственности, или копии выписок из Единого государственного реестра недвижимости, или копии договоров аренды и актов приема-передачи производственных площадей;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>перечень производственного оборудования, оснастки, сгруппированный по видам осуществляемых (выполняемых) технологических операций;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>балансовая справка или копии договора аренды и акта приема-передачи оборудования;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>справка о списочной численности производственного, вспомогательного и инженерно-технического персонала с указанием должностей;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>справка о деятельности участника конкурса в соответствии с формой, указанной в конкурсной документации;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>комплект конструкторской документации, включающий чертежи общего вида изделия (при наличии сборочных операций), сборочные чертежи изделия, чертежи деталей, ведомость спецификаций, спецификации на изделие и составные части, а также иные конструкторские документы;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>комплект технологической документации, включающий технологические инструкции и (или) маршрутные карты технологического процесса или иные технологические документы, полностью и однозначно определяющие технологический процесс изготовления промышленной продукции (ее составных частей, компонентов);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>перечень производственных и технологических операций по производству заявленной промышленной продукции, выполняемых участником конкурса на территории Российской Федерации;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>перечень производственных и технологических операций по производству заявленной промышленной продукции, выполняемых на территории Российской Федерации хозяйствующими субъектами в соответствии с заключенными с участником конкурса договорами об оказании услуг (о выполнении работ, подряда), с приложением копий указанных договоров и соответствующей первичной учетной документации;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 xml:space="preserve">при соблюдении процентной доли стоимости использованных при производстве музыкального инструмента иностранных товаров в соответствии с </w:t>
      </w:r>
      <w:hyperlink w:anchor="P9" w:history="1">
        <w:r>
          <w:rPr>
            <w:color w:val="0000FF"/>
          </w:rPr>
          <w:t>подпунктом "в"</w:t>
        </w:r>
      </w:hyperlink>
      <w:r>
        <w:t xml:space="preserve"> настоящего пункта - следующие документы: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>перечень материалов (сырья), используемых при изготовлении комплектующих, с указанием страны их происхождения и весовых характеристик;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>копии договоров и первичных учетных документов, подтверждающих закупку материалов (сырья), используемых при производстве комплектующих;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>калькуляция цены единицы промышленной продукции на условиях франко-завод предприятия-изготовителя;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>копии бухгалтерских документов, подтверждающих расходы, связанные с производством конечной промышленной продукции, подлежащие включению в расчет цены конечной продукции на условиях франко-завод;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 xml:space="preserve">ж) Минпромторгу России по результатам проведения конкурсов на основании распределения музыкальных инструментов по субъектам Российской Федерации согласно </w:t>
      </w:r>
      <w:hyperlink w:anchor="P100" w:history="1">
        <w:r>
          <w:rPr>
            <w:color w:val="0000FF"/>
          </w:rPr>
          <w:t>приложению N 2</w:t>
        </w:r>
      </w:hyperlink>
      <w:r>
        <w:t xml:space="preserve"> заключить государственные контракты на поставку музыкальных инструментов, включая услуги по их доставке конечным потребителям в субъектах Российской Федерации, предусмотрев в них дополнительное условие об обязательствах исполнителя государственного контракта на поставку </w:t>
      </w:r>
      <w:r>
        <w:lastRenderedPageBreak/>
        <w:t xml:space="preserve">музыкальных инструментов о выполнении технологических операций, об уменьшении процентной доли стоимости использованных при производстве иностранных товаров согласно </w:t>
      </w:r>
      <w:hyperlink r:id="rId12" w:history="1">
        <w:r>
          <w:rPr>
            <w:color w:val="0000FF"/>
          </w:rPr>
          <w:t>постановлению</w:t>
        </w:r>
      </w:hyperlink>
      <w:r>
        <w:t xml:space="preserve"> Правительства Российской Федерации от 17 июля 2015 г. N 719 "О подтверждении производства промышленной продукции на территории Российской Федерации" по состоянию на 1 января 2022 г.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 xml:space="preserve">2. Минкультуры России на основании информации, предусмотренной </w:t>
      </w:r>
      <w:hyperlink w:anchor="P100" w:history="1">
        <w:r>
          <w:rPr>
            <w:color w:val="0000FF"/>
          </w:rPr>
          <w:t>приложением N 2</w:t>
        </w:r>
      </w:hyperlink>
      <w:r>
        <w:t xml:space="preserve"> к настоящему распоряжению, в течение 3 рабочих дней со дня вступления настоящего распоряжения в силу направить в Минпромторг России перечень адресов конечных потребителей с распределением количества музыкальных инструментов, поставляемых конечным потребителям.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 xml:space="preserve">3. Минпромторгу России на основании распределения музыкальных инструментов по субъектам Российской Федерации, предусмотренного </w:t>
      </w:r>
      <w:hyperlink w:anchor="P100" w:history="1">
        <w:r>
          <w:rPr>
            <w:color w:val="0000FF"/>
          </w:rPr>
          <w:t>приложением N 2</w:t>
        </w:r>
      </w:hyperlink>
      <w:r>
        <w:t xml:space="preserve"> к настоящему распоряжению, заключить соглашения с высшими исполнительными органами государственной власти субъектов Российской Федерации, получателями в субъектах Российской Федерации, уполномоченными высшими исполнительными органами государственной власти субъектов Российской Федерации на получение музыкальных инструментов (далее - получатели), и исполнителями государственных контрактов, предусмотрев в них следующие существенные условия: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>а) осуществление получателем приемки музыкальных инструментов в соответствии с условиями соглашения;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>б) осуществление получателем установки и настройки музыкальных инструментов;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>в) обеспечение получателем соблюдения требований по хранению и эксплуатации полученных музыкальных инструментов;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>г) возникновение права собственности субъекта Российской Федерации на музыкальные инструменты с даты их передачи на основании актов приема-передачи, подписанных исполнителями государственных контрактов и получателями.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>4. Рекомендовать высшим исполнительным органам государственной власти субъектов Российской Федерации: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>а) обеспечить заключение соглашений в соответствии с настоящим распоряжением в течение 3 рабочих дней со дня поступления уведомления Минпромторга России о готовности заключить соглашение;</w:t>
      </w:r>
    </w:p>
    <w:p w:rsidR="002E74B2" w:rsidRDefault="002E74B2">
      <w:pPr>
        <w:pStyle w:val="ConsPlusNormal"/>
        <w:spacing w:before="220"/>
        <w:ind w:firstLine="540"/>
        <w:jc w:val="both"/>
      </w:pPr>
      <w:r>
        <w:t>б) обеспечить регистрацию и учет в реестрах государственного имущества субъектов Российской Федерации в установленном порядке музыкальных инструментов, поставляемых в соответствии с настоящим распоряжением конечным потребителям в субъектах Российской Федерации.</w:t>
      </w:r>
    </w:p>
    <w:p w:rsidR="002E74B2" w:rsidRDefault="002E74B2">
      <w:pPr>
        <w:pStyle w:val="ConsPlusNormal"/>
        <w:jc w:val="both"/>
      </w:pPr>
    </w:p>
    <w:p w:rsidR="002E74B2" w:rsidRDefault="002E74B2">
      <w:pPr>
        <w:pStyle w:val="ConsPlusNormal"/>
        <w:jc w:val="right"/>
      </w:pPr>
      <w:r>
        <w:t>Председатель Правительства</w:t>
      </w:r>
    </w:p>
    <w:p w:rsidR="002E74B2" w:rsidRDefault="002E74B2">
      <w:pPr>
        <w:pStyle w:val="ConsPlusNormal"/>
        <w:jc w:val="right"/>
      </w:pPr>
      <w:r>
        <w:t>Российской Федерации</w:t>
      </w:r>
    </w:p>
    <w:p w:rsidR="002E74B2" w:rsidRDefault="002E74B2">
      <w:pPr>
        <w:pStyle w:val="ConsPlusNormal"/>
        <w:jc w:val="right"/>
      </w:pPr>
      <w:r>
        <w:t>М.МИШУСТИН</w:t>
      </w:r>
    </w:p>
    <w:p w:rsidR="002E74B2" w:rsidRDefault="002E74B2">
      <w:pPr>
        <w:pStyle w:val="ConsPlusNormal"/>
        <w:jc w:val="both"/>
      </w:pPr>
    </w:p>
    <w:p w:rsidR="002E74B2" w:rsidRDefault="002E74B2">
      <w:pPr>
        <w:pStyle w:val="ConsPlusNormal"/>
        <w:jc w:val="both"/>
      </w:pPr>
    </w:p>
    <w:p w:rsidR="002E74B2" w:rsidRDefault="002E74B2">
      <w:pPr>
        <w:pStyle w:val="ConsPlusNormal"/>
        <w:jc w:val="both"/>
      </w:pPr>
    </w:p>
    <w:p w:rsidR="002E74B2" w:rsidRDefault="002E74B2">
      <w:pPr>
        <w:pStyle w:val="ConsPlusNormal"/>
        <w:jc w:val="both"/>
      </w:pPr>
    </w:p>
    <w:p w:rsidR="002E74B2" w:rsidRDefault="002E74B2">
      <w:pPr>
        <w:pStyle w:val="ConsPlusNormal"/>
        <w:jc w:val="both"/>
      </w:pPr>
    </w:p>
    <w:p w:rsidR="002E74B2" w:rsidRDefault="002E74B2">
      <w:pPr>
        <w:pStyle w:val="ConsPlusNormal"/>
        <w:jc w:val="right"/>
        <w:outlineLvl w:val="0"/>
      </w:pPr>
      <w:r>
        <w:t>Приложение N 1</w:t>
      </w:r>
    </w:p>
    <w:p w:rsidR="002E74B2" w:rsidRDefault="002E74B2">
      <w:pPr>
        <w:pStyle w:val="ConsPlusNormal"/>
        <w:jc w:val="right"/>
      </w:pPr>
      <w:r>
        <w:t>к распоряжению Правительства</w:t>
      </w:r>
    </w:p>
    <w:p w:rsidR="002E74B2" w:rsidRDefault="002E74B2">
      <w:pPr>
        <w:pStyle w:val="ConsPlusNormal"/>
        <w:jc w:val="right"/>
      </w:pPr>
      <w:r>
        <w:t>Российской Федерации</w:t>
      </w:r>
    </w:p>
    <w:p w:rsidR="002E74B2" w:rsidRDefault="002E74B2">
      <w:pPr>
        <w:pStyle w:val="ConsPlusNormal"/>
        <w:jc w:val="right"/>
      </w:pPr>
      <w:r>
        <w:lastRenderedPageBreak/>
        <w:t>от 10 сентября 2021 г. N 2526-р</w:t>
      </w:r>
    </w:p>
    <w:p w:rsidR="002E74B2" w:rsidRDefault="002E74B2">
      <w:pPr>
        <w:pStyle w:val="ConsPlusNormal"/>
        <w:jc w:val="both"/>
      </w:pPr>
    </w:p>
    <w:p w:rsidR="002E74B2" w:rsidRDefault="002E74B2">
      <w:pPr>
        <w:pStyle w:val="ConsPlusTitle"/>
        <w:jc w:val="center"/>
      </w:pPr>
      <w:bookmarkStart w:id="1" w:name="P52"/>
      <w:bookmarkEnd w:id="1"/>
      <w:r>
        <w:t>ПЕРЕЧЕНЬ ОБЪЕКТОВ ЗАКУПКИ</w:t>
      </w:r>
    </w:p>
    <w:p w:rsidR="002E74B2" w:rsidRDefault="002E74B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33"/>
        <w:gridCol w:w="2410"/>
      </w:tblGrid>
      <w:tr w:rsidR="002E74B2">
        <w:tc>
          <w:tcPr>
            <w:tcW w:w="663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74B2" w:rsidRDefault="002E74B2">
            <w:pPr>
              <w:pStyle w:val="ConsPlusNormal"/>
              <w:jc w:val="center"/>
            </w:pPr>
            <w:r>
              <w:t>Объект закупки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 xml:space="preserve">Код по </w:t>
            </w:r>
            <w:hyperlink r:id="rId13" w:history="1">
              <w:r>
                <w:rPr>
                  <w:color w:val="0000FF"/>
                </w:rPr>
                <w:t>ОК 034-2014 (КПЕС 2008)</w:t>
              </w:r>
            </w:hyperlink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Пианино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hyperlink r:id="rId14" w:history="1">
              <w:r>
                <w:rPr>
                  <w:color w:val="0000FF"/>
                </w:rPr>
                <w:t>32.20.11.120</w:t>
              </w:r>
            </w:hyperlink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outlineLvl w:val="1"/>
            </w:pPr>
            <w:r>
              <w:t>Набор медных духовых музыкальных инструментов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ind w:firstLine="283"/>
              <w:jc w:val="both"/>
            </w:pPr>
            <w:r>
              <w:t>труба - 4 штуки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hyperlink r:id="rId15" w:history="1">
              <w:r>
                <w:rPr>
                  <w:color w:val="0000FF"/>
                </w:rPr>
                <w:t>32.20.13.161</w:t>
              </w:r>
            </w:hyperlink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ind w:firstLine="283"/>
              <w:jc w:val="both"/>
            </w:pPr>
            <w:r>
              <w:t>тенор - 2 штуки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hyperlink r:id="rId16" w:history="1">
              <w:r>
                <w:rPr>
                  <w:color w:val="0000FF"/>
                </w:rPr>
                <w:t>32.20.13.164</w:t>
              </w:r>
            </w:hyperlink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ind w:firstLine="283"/>
              <w:jc w:val="both"/>
            </w:pPr>
            <w:r>
              <w:t>баритон - 1 штука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hyperlink r:id="rId17" w:history="1">
              <w:r>
                <w:rPr>
                  <w:color w:val="0000FF"/>
                </w:rPr>
                <w:t>32.20.13.165</w:t>
              </w:r>
            </w:hyperlink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ind w:firstLine="283"/>
              <w:jc w:val="both"/>
            </w:pPr>
            <w:r>
              <w:t>туба - 1 штука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hyperlink r:id="rId18" w:history="1">
              <w:r>
                <w:rPr>
                  <w:color w:val="0000FF"/>
                </w:rPr>
                <w:t>32.20.13.166</w:t>
              </w:r>
            </w:hyperlink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ind w:firstLine="283"/>
              <w:jc w:val="both"/>
            </w:pPr>
            <w:r>
              <w:t>валторна - 2 штуки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hyperlink r:id="rId19" w:history="1">
              <w:r>
                <w:rPr>
                  <w:color w:val="0000FF"/>
                </w:rPr>
                <w:t>32.20.13.167</w:t>
              </w:r>
            </w:hyperlink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ind w:firstLine="283"/>
              <w:jc w:val="both"/>
            </w:pPr>
            <w:r>
              <w:t>тромбон - 2 штуки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hyperlink r:id="rId20" w:history="1">
              <w:r>
                <w:rPr>
                  <w:color w:val="0000FF"/>
                </w:rPr>
                <w:t>32.20.13.168</w:t>
              </w:r>
            </w:hyperlink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outlineLvl w:val="1"/>
            </w:pPr>
            <w:r>
              <w:t>Набор деревянных духовых музыкальных инструментов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ind w:firstLine="283"/>
              <w:jc w:val="both"/>
            </w:pPr>
            <w:r>
              <w:t>флейта - 2 штуки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hyperlink r:id="rId21" w:history="1">
              <w:r>
                <w:rPr>
                  <w:color w:val="0000FF"/>
                </w:rPr>
                <w:t>32.20.13.173</w:t>
              </w:r>
            </w:hyperlink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ind w:firstLine="283"/>
              <w:jc w:val="both"/>
            </w:pPr>
            <w:r>
              <w:t>кларнет - 3 штуки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hyperlink r:id="rId22" w:history="1">
              <w:r>
                <w:rPr>
                  <w:color w:val="0000FF"/>
                </w:rPr>
                <w:t>32.20.13.174</w:t>
              </w:r>
            </w:hyperlink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ind w:firstLine="283"/>
              <w:jc w:val="both"/>
            </w:pPr>
            <w:r>
              <w:t>саксофон-альт - 2 штуки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hyperlink r:id="rId23" w:history="1">
              <w:r>
                <w:rPr>
                  <w:color w:val="0000FF"/>
                </w:rPr>
                <w:t>32.20.13.175</w:t>
              </w:r>
            </w:hyperlink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ind w:firstLine="283"/>
              <w:jc w:val="both"/>
            </w:pPr>
            <w:r>
              <w:t>гобой - 2 штуки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hyperlink r:id="rId24" w:history="1">
              <w:r>
                <w:rPr>
                  <w:color w:val="0000FF"/>
                </w:rPr>
                <w:t>32.20.13.176</w:t>
              </w:r>
            </w:hyperlink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ind w:firstLine="283"/>
              <w:jc w:val="both"/>
            </w:pPr>
            <w:r>
              <w:t>фагот - 1 штука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hyperlink r:id="rId25" w:history="1">
              <w:r>
                <w:rPr>
                  <w:color w:val="0000FF"/>
                </w:rPr>
                <w:t>32.20.13.177</w:t>
              </w:r>
            </w:hyperlink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Ксилофоны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hyperlink r:id="rId26" w:history="1">
              <w:r>
                <w:rPr>
                  <w:color w:val="0000FF"/>
                </w:rPr>
                <w:t>32.20.15.110</w:t>
              </w:r>
            </w:hyperlink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74B2" w:rsidRDefault="002E74B2">
            <w:pPr>
              <w:pStyle w:val="ConsPlusNormal"/>
            </w:pPr>
            <w:r>
              <w:t>Набор барабанов</w:t>
            </w:r>
          </w:p>
          <w:p w:rsidR="002E74B2" w:rsidRDefault="002E74B2">
            <w:pPr>
              <w:pStyle w:val="ConsPlusNormal"/>
              <w:ind w:firstLine="283"/>
              <w:jc w:val="both"/>
            </w:pPr>
            <w:r>
              <w:t>малый маршевый барабан - 1 штука</w:t>
            </w:r>
          </w:p>
          <w:p w:rsidR="002E74B2" w:rsidRDefault="002E74B2">
            <w:pPr>
              <w:pStyle w:val="ConsPlusNormal"/>
              <w:ind w:firstLine="283"/>
              <w:jc w:val="both"/>
            </w:pPr>
            <w:r>
              <w:t>большой маршевый барабан - 1 штука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hyperlink r:id="rId27" w:history="1">
              <w:r>
                <w:rPr>
                  <w:color w:val="0000FF"/>
                </w:rPr>
                <w:t>32.20.15.110</w:t>
              </w:r>
            </w:hyperlink>
          </w:p>
        </w:tc>
      </w:tr>
    </w:tbl>
    <w:p w:rsidR="002E74B2" w:rsidRDefault="002E74B2">
      <w:pPr>
        <w:pStyle w:val="ConsPlusNormal"/>
        <w:jc w:val="both"/>
      </w:pPr>
    </w:p>
    <w:p w:rsidR="002E74B2" w:rsidRDefault="002E74B2">
      <w:pPr>
        <w:pStyle w:val="ConsPlusNormal"/>
        <w:jc w:val="both"/>
      </w:pPr>
    </w:p>
    <w:p w:rsidR="002E74B2" w:rsidRDefault="002E74B2">
      <w:pPr>
        <w:pStyle w:val="ConsPlusNormal"/>
        <w:jc w:val="both"/>
      </w:pPr>
    </w:p>
    <w:p w:rsidR="002E74B2" w:rsidRDefault="002E74B2">
      <w:pPr>
        <w:pStyle w:val="ConsPlusNormal"/>
        <w:jc w:val="both"/>
      </w:pPr>
    </w:p>
    <w:p w:rsidR="002E74B2" w:rsidRDefault="002E74B2">
      <w:pPr>
        <w:pStyle w:val="ConsPlusNormal"/>
        <w:jc w:val="both"/>
      </w:pPr>
    </w:p>
    <w:p w:rsidR="002E74B2" w:rsidRDefault="002E74B2">
      <w:pPr>
        <w:pStyle w:val="ConsPlusNormal"/>
        <w:jc w:val="right"/>
        <w:outlineLvl w:val="0"/>
      </w:pPr>
      <w:r>
        <w:t>Приложение N 2</w:t>
      </w:r>
    </w:p>
    <w:p w:rsidR="002E74B2" w:rsidRDefault="002E74B2">
      <w:pPr>
        <w:pStyle w:val="ConsPlusNormal"/>
        <w:jc w:val="right"/>
      </w:pPr>
      <w:r>
        <w:t>к распоряжению Правительства</w:t>
      </w:r>
    </w:p>
    <w:p w:rsidR="002E74B2" w:rsidRDefault="002E74B2">
      <w:pPr>
        <w:pStyle w:val="ConsPlusNormal"/>
        <w:jc w:val="right"/>
      </w:pPr>
      <w:r>
        <w:t>Российской Федерации</w:t>
      </w:r>
    </w:p>
    <w:p w:rsidR="002E74B2" w:rsidRDefault="002E74B2">
      <w:pPr>
        <w:pStyle w:val="ConsPlusNormal"/>
        <w:jc w:val="right"/>
      </w:pPr>
      <w:r>
        <w:t>от 10 сентября 2021 г. N 2526-р</w:t>
      </w:r>
    </w:p>
    <w:p w:rsidR="002E74B2" w:rsidRDefault="002E74B2">
      <w:pPr>
        <w:pStyle w:val="ConsPlusNormal"/>
        <w:jc w:val="both"/>
      </w:pPr>
    </w:p>
    <w:p w:rsidR="002E74B2" w:rsidRDefault="002E74B2">
      <w:pPr>
        <w:pStyle w:val="ConsPlusTitle"/>
        <w:jc w:val="center"/>
      </w:pPr>
      <w:bookmarkStart w:id="2" w:name="P100"/>
      <w:bookmarkEnd w:id="2"/>
      <w:r>
        <w:t>РАСПРЕДЕЛЕНИЕ</w:t>
      </w:r>
    </w:p>
    <w:p w:rsidR="002E74B2" w:rsidRDefault="002E74B2">
      <w:pPr>
        <w:pStyle w:val="ConsPlusTitle"/>
        <w:jc w:val="center"/>
      </w:pPr>
      <w:r>
        <w:t>МУЗЫКАЛЬНЫХ ИНСТРУМЕНТОВ ПО СУБЪЕКТАМ РОССИЙСКОЙ ФЕДЕРАЦИИ</w:t>
      </w:r>
    </w:p>
    <w:p w:rsidR="002E74B2" w:rsidRDefault="002E74B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5"/>
        <w:gridCol w:w="810"/>
        <w:gridCol w:w="675"/>
        <w:gridCol w:w="1081"/>
        <w:gridCol w:w="1275"/>
        <w:gridCol w:w="644"/>
        <w:gridCol w:w="760"/>
      </w:tblGrid>
      <w:tr w:rsidR="002E74B2">
        <w:tc>
          <w:tcPr>
            <w:tcW w:w="382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74B2" w:rsidRDefault="002E74B2">
            <w:pPr>
              <w:pStyle w:val="ConsPlusNormal"/>
              <w:jc w:val="center"/>
            </w:pPr>
            <w:r>
              <w:t>Субъект Российской Федерации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E74B2" w:rsidRDefault="002E74B2">
            <w:pPr>
              <w:pStyle w:val="ConsPlusNormal"/>
              <w:jc w:val="center"/>
            </w:pPr>
            <w:r>
              <w:t>Количество музык</w:t>
            </w:r>
            <w:r>
              <w:lastRenderedPageBreak/>
              <w:t>альных инструментов (не менее)</w:t>
            </w:r>
          </w:p>
        </w:tc>
        <w:tc>
          <w:tcPr>
            <w:tcW w:w="4435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lastRenderedPageBreak/>
              <w:t>Наименование музыкального инструмента</w:t>
            </w:r>
          </w:p>
        </w:tc>
      </w:tr>
      <w:tr w:rsidR="002E74B2">
        <w:tc>
          <w:tcPr>
            <w:tcW w:w="3825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74B2" w:rsidRDefault="002E74B2">
            <w:pPr>
              <w:spacing w:after="1" w:line="0" w:lineRule="atLeast"/>
            </w:pPr>
          </w:p>
        </w:tc>
        <w:tc>
          <w:tcPr>
            <w:tcW w:w="8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E74B2" w:rsidRDefault="002E74B2">
            <w:pPr>
              <w:spacing w:after="1" w:line="0" w:lineRule="atLeast"/>
            </w:pP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2E74B2" w:rsidRDefault="002E74B2">
            <w:pPr>
              <w:pStyle w:val="ConsPlusNormal"/>
              <w:jc w:val="center"/>
            </w:pPr>
            <w:r>
              <w:t>Пиан</w:t>
            </w:r>
            <w:r>
              <w:lastRenderedPageBreak/>
              <w:t>ино (не менее)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</w:tcPr>
          <w:p w:rsidR="002E74B2" w:rsidRDefault="002E74B2">
            <w:pPr>
              <w:pStyle w:val="ConsPlusNormal"/>
              <w:jc w:val="center"/>
            </w:pPr>
            <w:r>
              <w:lastRenderedPageBreak/>
              <w:t xml:space="preserve">Наборы </w:t>
            </w:r>
            <w:r>
              <w:lastRenderedPageBreak/>
              <w:t>медных духовых музыкальных инструментов (не менее)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E74B2" w:rsidRDefault="002E74B2">
            <w:pPr>
              <w:pStyle w:val="ConsPlusNormal"/>
              <w:jc w:val="center"/>
            </w:pPr>
            <w:r>
              <w:lastRenderedPageBreak/>
              <w:t xml:space="preserve">Наборы </w:t>
            </w:r>
            <w:r>
              <w:lastRenderedPageBreak/>
              <w:t>деревянных духовых музыкальных инструментов (не менее)</w:t>
            </w: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:rsidR="002E74B2" w:rsidRDefault="002E74B2">
            <w:pPr>
              <w:pStyle w:val="ConsPlusNormal"/>
              <w:jc w:val="center"/>
            </w:pPr>
            <w:r>
              <w:lastRenderedPageBreak/>
              <w:t>Ксил</w:t>
            </w:r>
            <w:r>
              <w:lastRenderedPageBreak/>
              <w:t>офоны (не менее)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lastRenderedPageBreak/>
              <w:t>Набор</w:t>
            </w:r>
            <w:r>
              <w:lastRenderedPageBreak/>
              <w:t>ы барабанов (не менее)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lastRenderedPageBreak/>
              <w:t>Республика Алтай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19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8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19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4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Республика Коми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7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3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12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Пермский край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Приморский край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3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16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9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lastRenderedPageBreak/>
              <w:t>Омская область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8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15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24</w:t>
            </w:r>
          </w:p>
        </w:tc>
      </w:tr>
      <w:tr w:rsidR="002E74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74B2" w:rsidRDefault="002E74B2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74B2" w:rsidRDefault="002E74B2">
            <w:pPr>
              <w:pStyle w:val="ConsPlusNormal"/>
              <w:jc w:val="center"/>
            </w:pPr>
            <w:r>
              <w:t>13</w:t>
            </w:r>
          </w:p>
        </w:tc>
      </w:tr>
    </w:tbl>
    <w:p w:rsidR="002E74B2" w:rsidRDefault="002E74B2">
      <w:pPr>
        <w:pStyle w:val="ConsPlusNormal"/>
        <w:jc w:val="both"/>
      </w:pPr>
    </w:p>
    <w:p w:rsidR="002E74B2" w:rsidRDefault="002E74B2">
      <w:pPr>
        <w:pStyle w:val="ConsPlusNormal"/>
        <w:jc w:val="both"/>
      </w:pPr>
    </w:p>
    <w:p w:rsidR="002E74B2" w:rsidRDefault="002E74B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71091" w:rsidRDefault="00971091">
      <w:bookmarkStart w:id="3" w:name="_GoBack"/>
      <w:bookmarkEnd w:id="3"/>
    </w:p>
    <w:sectPr w:rsidR="00971091" w:rsidSect="00F25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4B2"/>
    <w:rsid w:val="002E74B2"/>
    <w:rsid w:val="0097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95CC35-3D77-479F-81B5-A3929CC16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74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E74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E74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F1F942D894AADA81F28370D96DC1B2E9F9D2380D56FE350CCBF9609D49DF6074101C17C81598C87C25E1E01A0C80DA309C6C67DBAb2VFH" TargetMode="External"/><Relationship Id="rId13" Type="http://schemas.openxmlformats.org/officeDocument/2006/relationships/hyperlink" Target="consultantplus://offline/ref=4F1F942D894AADA81F28370D96DC1B2E9F9C2381DD65E350CCBF9609D49DF60753019974835E99D29104490CA3bCVFH" TargetMode="External"/><Relationship Id="rId18" Type="http://schemas.openxmlformats.org/officeDocument/2006/relationships/hyperlink" Target="consultantplus://offline/ref=4F1F942D894AADA81F28370D96DC1B2E9F9C2381DD65E350CCBF9609D49DF6074101C178805D87DB94111F5DE59B1EA30DC6C57FA62CE41Fb1V9H" TargetMode="External"/><Relationship Id="rId26" Type="http://schemas.openxmlformats.org/officeDocument/2006/relationships/hyperlink" Target="consultantplus://offline/ref=4F1F942D894AADA81F28370D96DC1B2E9F9C2381DD65E350CCBF9609D49DF6074101C178805D86D19A111F5DE59B1EA30DC6C57FA62CE41Fb1V9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F1F942D894AADA81F28370D96DC1B2E9F9C2381DD65E350CCBF9609D49DF6074101C178805D87DA94111F5DE59B1EA30DC6C57FA62CE41Fb1V9H" TargetMode="External"/><Relationship Id="rId7" Type="http://schemas.openxmlformats.org/officeDocument/2006/relationships/hyperlink" Target="consultantplus://offline/ref=4F1F942D894AADA81F28370D96DC1B2E9F9C2E8DD166E350CCBF9609D49DF60753019974835E99D29104490CA3bCVFH" TargetMode="External"/><Relationship Id="rId12" Type="http://schemas.openxmlformats.org/officeDocument/2006/relationships/hyperlink" Target="consultantplus://offline/ref=4F1F942D894AADA81F28370D96DC1B2E9F9C2E8DD166E350CCBF9609D49DF60753019974835E99D29104490CA3bCVFH" TargetMode="External"/><Relationship Id="rId17" Type="http://schemas.openxmlformats.org/officeDocument/2006/relationships/hyperlink" Target="consultantplus://offline/ref=4F1F942D894AADA81F28370D96DC1B2E9F9C2381DD65E350CCBF9609D49DF6074101C178805D87DB96111F5DE59B1EA30DC6C57FA62CE41Fb1V9H" TargetMode="External"/><Relationship Id="rId25" Type="http://schemas.openxmlformats.org/officeDocument/2006/relationships/hyperlink" Target="consultantplus://offline/ref=4F1F942D894AADA81F28370D96DC1B2E9F9C2381DD65E350CCBF9609D49DF6074101C178805D86D396111F5DE59B1EA30DC6C57FA62CE41Fb1V9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F1F942D894AADA81F28370D96DC1B2E9F9C2381DD65E350CCBF9609D49DF6074101C178805D87DB90111F5DE59B1EA30DC6C57FA62CE41Fb1V9H" TargetMode="External"/><Relationship Id="rId20" Type="http://schemas.openxmlformats.org/officeDocument/2006/relationships/hyperlink" Target="consultantplus://offline/ref=4F1F942D894AADA81F28370D96DC1B2E9F9C2381DD65E350CCBF9609D49DF6074101C178805D87DA92111F5DE59B1EA30DC6C57FA62CE41Fb1V9H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F1F942D894AADA81F28370D96DC1B2E9F9D2380D56FE350CCBF9609D49DF60753019974835E99D29104490CA3bCVFH" TargetMode="External"/><Relationship Id="rId11" Type="http://schemas.openxmlformats.org/officeDocument/2006/relationships/hyperlink" Target="consultantplus://offline/ref=4F1F942D894AADA81F28370D96DC1B2E9F9C2E8DD166E350CCBF9609D49DF60753019974835E99D29104490CA3bCVFH" TargetMode="External"/><Relationship Id="rId24" Type="http://schemas.openxmlformats.org/officeDocument/2006/relationships/hyperlink" Target="consultantplus://offline/ref=4F1F942D894AADA81F28370D96DC1B2E9F9C2381DD65E350CCBF9609D49DF6074101C178805D86D390111F5DE59B1EA30DC6C57FA62CE41Fb1V9H" TargetMode="External"/><Relationship Id="rId5" Type="http://schemas.openxmlformats.org/officeDocument/2006/relationships/hyperlink" Target="consultantplus://offline/ref=4F1F942D894AADA81F28370D96DC1B2E9F9D2380D56FE350CCBF9609D49DF6074101C178825981D394111F5DE59B1EA30DC6C57FA62CE41Fb1V9H" TargetMode="External"/><Relationship Id="rId15" Type="http://schemas.openxmlformats.org/officeDocument/2006/relationships/hyperlink" Target="consultantplus://offline/ref=4F1F942D894AADA81F28370D96DC1B2E9F9C2381DD65E350CCBF9609D49DF6074101C178805D87D494111F5DE59B1EA30DC6C57FA62CE41Fb1V9H" TargetMode="External"/><Relationship Id="rId23" Type="http://schemas.openxmlformats.org/officeDocument/2006/relationships/hyperlink" Target="consultantplus://offline/ref=4F1F942D894AADA81F28370D96DC1B2E9F9C2381DD65E350CCBF9609D49DF6074101C178805D86D392111F5DE59B1EA30DC6C57FA62CE41Fb1V9H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4F1F942D894AADA81F28370D96DC1B2E9F9D2380D56FE350CCBF9609D49DF6074101C17C855F8C87C25E1E01A0C80DA309C6C67DBAb2VFH" TargetMode="External"/><Relationship Id="rId19" Type="http://schemas.openxmlformats.org/officeDocument/2006/relationships/hyperlink" Target="consultantplus://offline/ref=4F1F942D894AADA81F28370D96DC1B2E9F9C2381DD65E350CCBF9609D49DF6074101C178805D87DB9A111F5DE59B1EA30DC6C57FA62CE41Fb1V9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4F1F942D894AADA81F28370D96DC1B2E9F9D2380D56FE350CCBF9609D49DF6074101C17C865A8C87C25E1E01A0C80DA309C6C67DBAb2VFH" TargetMode="External"/><Relationship Id="rId14" Type="http://schemas.openxmlformats.org/officeDocument/2006/relationships/hyperlink" Target="consultantplus://offline/ref=4F1F942D894AADA81F28370D96DC1B2E9F9C2381DD65E350CCBF9609D49DF6074101C178805D87D29A111F5DE59B1EA30DC6C57FA62CE41Fb1V9H" TargetMode="External"/><Relationship Id="rId22" Type="http://schemas.openxmlformats.org/officeDocument/2006/relationships/hyperlink" Target="consultantplus://offline/ref=4F1F942D894AADA81F28370D96DC1B2E9F9C2381DD65E350CCBF9609D49DF6074101C178805D87DA9A111F5DE59B1EA30DC6C57FA62CE41Fb1V9H" TargetMode="External"/><Relationship Id="rId27" Type="http://schemas.openxmlformats.org/officeDocument/2006/relationships/hyperlink" Target="consultantplus://offline/ref=4F1F942D894AADA81F28370D96DC1B2E9F9C2381DD65E350CCBF9609D49DF6074101C178805D86D19A111F5DE59B1EA30DC6C57FA62CE41Fb1V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2214</Words>
  <Characters>12624</Characters>
  <Application>Microsoft Office Word</Application>
  <DocSecurity>0</DocSecurity>
  <Lines>105</Lines>
  <Paragraphs>29</Paragraphs>
  <ScaleCrop>false</ScaleCrop>
  <Company/>
  <LinksUpToDate>false</LinksUpToDate>
  <CharactersWithSpaces>14809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Вечерняя Марина Сергеевна</dc:creator>
  <cp:keywords/>
  <dc:description/>
  <cp:lastModifiedBy>Вечерняя Марина Сергеевна</cp:lastModifiedBy>
  <cp:revision>1</cp:revision>
  <dcterms:created xsi:type="dcterms:W3CDTF">2021-12-16T07:21:00Z</dcterms:created>
  <dcterms:modified xsi:type="dcterms:W3CDTF">2021-12-16T07:21:00Z</dcterms:modified>
</cp:coreProperties>
</file>