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632" w:rsidRDefault="00530632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30632" w:rsidRDefault="00530632">
      <w:pPr>
        <w:pStyle w:val="ConsPlusNormal"/>
        <w:jc w:val="both"/>
        <w:outlineLvl w:val="0"/>
      </w:pPr>
    </w:p>
    <w:p w:rsidR="00530632" w:rsidRDefault="0053063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30632" w:rsidRDefault="00530632">
      <w:pPr>
        <w:pStyle w:val="ConsPlusTitle"/>
        <w:jc w:val="center"/>
      </w:pPr>
    </w:p>
    <w:p w:rsidR="00530632" w:rsidRDefault="00530632">
      <w:pPr>
        <w:pStyle w:val="ConsPlusTitle"/>
        <w:jc w:val="center"/>
      </w:pPr>
      <w:r>
        <w:t>ПОСТАНОВЛЕНИЕ</w:t>
      </w:r>
    </w:p>
    <w:p w:rsidR="00530632" w:rsidRDefault="00530632">
      <w:pPr>
        <w:pStyle w:val="ConsPlusTitle"/>
        <w:jc w:val="center"/>
      </w:pPr>
      <w:r>
        <w:t>от 21 июня 2021 г. N 948</w:t>
      </w:r>
    </w:p>
    <w:p w:rsidR="00530632" w:rsidRDefault="00530632">
      <w:pPr>
        <w:pStyle w:val="ConsPlusTitle"/>
        <w:jc w:val="center"/>
      </w:pPr>
    </w:p>
    <w:p w:rsidR="00530632" w:rsidRDefault="00530632">
      <w:pPr>
        <w:pStyle w:val="ConsPlusTitle"/>
        <w:jc w:val="center"/>
      </w:pPr>
      <w:r>
        <w:t>ОБ УТВЕРЖДЕНИИ ПРАВИЛ</w:t>
      </w:r>
    </w:p>
    <w:p w:rsidR="00530632" w:rsidRDefault="00530632">
      <w:pPr>
        <w:pStyle w:val="ConsPlusTitle"/>
        <w:jc w:val="center"/>
      </w:pPr>
      <w:r>
        <w:t>ПРЕДОСТАВЛЕНИЯ ГРАНТОВ В ФОРМЕ СУБСИДИЙ</w:t>
      </w:r>
    </w:p>
    <w:p w:rsidR="00530632" w:rsidRDefault="00530632">
      <w:pPr>
        <w:pStyle w:val="ConsPlusTitle"/>
        <w:jc w:val="center"/>
      </w:pPr>
      <w:r>
        <w:t>ИЗ ФЕДЕРАЛЬНОГО БЮДЖЕТА ЮРИДИЧЕСКИМ ЛИЦАМ НА РЕАЛИЗАЦИЮ</w:t>
      </w:r>
    </w:p>
    <w:p w:rsidR="00530632" w:rsidRDefault="00530632">
      <w:pPr>
        <w:pStyle w:val="ConsPlusTitle"/>
        <w:jc w:val="center"/>
      </w:pPr>
      <w:r>
        <w:t>МЕРОПРИЯТИЙ ПО ВНЕДРЕНИЮ КОМПЛЕКСОВ ЦИФРОВЫХ СЕРВИСОВ</w:t>
      </w:r>
    </w:p>
    <w:p w:rsidR="00530632" w:rsidRDefault="00530632">
      <w:pPr>
        <w:pStyle w:val="ConsPlusTitle"/>
        <w:jc w:val="center"/>
      </w:pPr>
      <w:r>
        <w:t>И РЕШЕНИЙ, СОЗДАННЫХ НА БАЗЕ ЦИФРОВЫХ ПЛАТФОРМ,</w:t>
      </w:r>
    </w:p>
    <w:p w:rsidR="00530632" w:rsidRDefault="00530632">
      <w:pPr>
        <w:pStyle w:val="ConsPlusTitle"/>
        <w:jc w:val="center"/>
      </w:pPr>
      <w:r>
        <w:t>В ОРГАНИЗАЦИЯХ, ОСУЩЕСТВЛЯЮЩИХ ОБРАЗОВАТЕЛЬНУЮ</w:t>
      </w:r>
    </w:p>
    <w:p w:rsidR="00530632" w:rsidRDefault="00530632">
      <w:pPr>
        <w:pStyle w:val="ConsPlusTitle"/>
        <w:jc w:val="center"/>
      </w:pPr>
      <w:r>
        <w:t>ДЕЯТЕЛЬНОСТЬ ПО ОБРАЗОВАТЕЛЬНЫМ ПРОГРАММАМ</w:t>
      </w:r>
    </w:p>
    <w:p w:rsidR="00530632" w:rsidRDefault="00530632">
      <w:pPr>
        <w:pStyle w:val="ConsPlusTitle"/>
        <w:jc w:val="center"/>
      </w:pPr>
      <w:r>
        <w:t>ВЫСШЕГО ОБРАЗОВАНИЯ</w:t>
      </w: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грантов в форме субсидий из федерального бюджета юридическим лицам на реализацию мероприятий по внедрению комплексов цифровых сервисов и решений, созданных на базе цифровых платформ, в организациях, осуществляющих образовательную деятельность по образовательным программам высшего образования.</w:t>
      </w: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jc w:val="right"/>
      </w:pPr>
      <w:r>
        <w:t>Председатель Правительства</w:t>
      </w:r>
    </w:p>
    <w:p w:rsidR="00530632" w:rsidRDefault="00530632">
      <w:pPr>
        <w:pStyle w:val="ConsPlusNormal"/>
        <w:jc w:val="right"/>
      </w:pPr>
      <w:r>
        <w:t>Российской Федерации</w:t>
      </w:r>
    </w:p>
    <w:p w:rsidR="00530632" w:rsidRDefault="00530632">
      <w:pPr>
        <w:pStyle w:val="ConsPlusNormal"/>
        <w:jc w:val="right"/>
      </w:pPr>
      <w:r>
        <w:t>М.МИШУСТИН</w:t>
      </w: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jc w:val="right"/>
        <w:outlineLvl w:val="0"/>
      </w:pPr>
      <w:r>
        <w:t>Утверждены</w:t>
      </w:r>
    </w:p>
    <w:p w:rsidR="00530632" w:rsidRDefault="00530632">
      <w:pPr>
        <w:pStyle w:val="ConsPlusNormal"/>
        <w:jc w:val="right"/>
      </w:pPr>
      <w:r>
        <w:t>постановлением Правительства</w:t>
      </w:r>
    </w:p>
    <w:p w:rsidR="00530632" w:rsidRDefault="00530632">
      <w:pPr>
        <w:pStyle w:val="ConsPlusNormal"/>
        <w:jc w:val="right"/>
      </w:pPr>
      <w:r>
        <w:t>Российской Федерации</w:t>
      </w:r>
    </w:p>
    <w:p w:rsidR="00530632" w:rsidRDefault="00530632">
      <w:pPr>
        <w:pStyle w:val="ConsPlusNormal"/>
        <w:jc w:val="right"/>
      </w:pPr>
      <w:r>
        <w:t>от 21 июня 2021 г. N 948</w:t>
      </w: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Title"/>
        <w:jc w:val="center"/>
      </w:pPr>
      <w:bookmarkStart w:id="0" w:name="P31"/>
      <w:bookmarkEnd w:id="0"/>
      <w:r>
        <w:t>ПРАВИЛА</w:t>
      </w:r>
    </w:p>
    <w:p w:rsidR="00530632" w:rsidRDefault="00530632">
      <w:pPr>
        <w:pStyle w:val="ConsPlusTitle"/>
        <w:jc w:val="center"/>
      </w:pPr>
      <w:r>
        <w:t>ПРЕДОСТАВЛЕНИЯ ГРАНТОВ В ФОРМЕ СУБСИДИЙ</w:t>
      </w:r>
    </w:p>
    <w:p w:rsidR="00530632" w:rsidRDefault="00530632">
      <w:pPr>
        <w:pStyle w:val="ConsPlusTitle"/>
        <w:jc w:val="center"/>
      </w:pPr>
      <w:r>
        <w:t>ИЗ ФЕДЕРАЛЬНОГО БЮДЖЕТА ЮРИДИЧЕСКИМ ЛИЦАМ НА РЕАЛИЗАЦИЮ</w:t>
      </w:r>
    </w:p>
    <w:p w:rsidR="00530632" w:rsidRDefault="00530632">
      <w:pPr>
        <w:pStyle w:val="ConsPlusTitle"/>
        <w:jc w:val="center"/>
      </w:pPr>
      <w:r>
        <w:t>МЕРОПРИЯТИЙ ПО ВНЕДРЕНИЮ КОМПЛЕКСОВ ЦИФРОВЫХ СЕРВИСОВ</w:t>
      </w:r>
    </w:p>
    <w:p w:rsidR="00530632" w:rsidRDefault="00530632">
      <w:pPr>
        <w:pStyle w:val="ConsPlusTitle"/>
        <w:jc w:val="center"/>
      </w:pPr>
      <w:r>
        <w:t>И РЕШЕНИЙ, СОЗДАННЫХ НА БАЗЕ ЦИФРОВЫХ ПЛАТФОРМ,</w:t>
      </w:r>
    </w:p>
    <w:p w:rsidR="00530632" w:rsidRDefault="00530632">
      <w:pPr>
        <w:pStyle w:val="ConsPlusTitle"/>
        <w:jc w:val="center"/>
      </w:pPr>
      <w:r>
        <w:t>В ОРГАНИЗАЦИЯХ, ОСУЩЕСТВЛЯЮЩИХ ОБРАЗОВАТЕЛЬНУЮ</w:t>
      </w:r>
    </w:p>
    <w:p w:rsidR="00530632" w:rsidRDefault="00530632">
      <w:pPr>
        <w:pStyle w:val="ConsPlusTitle"/>
        <w:jc w:val="center"/>
      </w:pPr>
      <w:r>
        <w:t>ДЕЯТЕЛЬНОСТЬ ПО ОБРАЗОВАТЕЛЬНЫМ ПРОГРАММАМ</w:t>
      </w:r>
    </w:p>
    <w:p w:rsidR="00530632" w:rsidRDefault="00530632">
      <w:pPr>
        <w:pStyle w:val="ConsPlusTitle"/>
        <w:jc w:val="center"/>
      </w:pPr>
      <w:r>
        <w:t>ВЫСШЕГО ОБРАЗОВАНИЯ</w:t>
      </w: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ind w:firstLine="540"/>
        <w:jc w:val="both"/>
      </w:pPr>
      <w:r>
        <w:t xml:space="preserve">1. Настоящие Правила устанавливают цели, условия и порядок предоставления грантов в форме субсидий из федерального бюджета юридическим лицам на реализацию мероприятий по внедрению комплексов цифровых сервисов и решений, созданных на базе цифровых платформ, в организациях, осуществляющих образовательную деятельность по образовательным программам высшего образования (далее соответственно - цифровые сервисы и решения, организации) в рамках федерального </w:t>
      </w:r>
      <w:hyperlink r:id="rId5" w:history="1">
        <w:r>
          <w:rPr>
            <w:color w:val="0000FF"/>
          </w:rPr>
          <w:t>проекта</w:t>
        </w:r>
      </w:hyperlink>
      <w:r>
        <w:t xml:space="preserve"> "Кадры для цифровой экономики" национальной программы "Цифровая экономика Российской Федерации" (далее - гранты).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lastRenderedPageBreak/>
        <w:t>2. В настоящих Правилах используются следующие понятия: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"комплекс цифровых сервисов и решений" - совокупность программных, программно-аппаратных и (или) аппаратных средств в области информационных технологий, предназначенных для цифровой трансформации бизнес-процессов при организации образовательного процесса, проведении научных исследований, осуществлении экспериментальных разработок, инновационной деятельности, непосредственном управлении организацией, включая административные, организационные и хозяйственные сферы деятельности, а также </w:t>
      </w:r>
      <w:proofErr w:type="spellStart"/>
      <w:r>
        <w:t>внеучебной</w:t>
      </w:r>
      <w:proofErr w:type="spellEnd"/>
      <w:r>
        <w:t xml:space="preserve"> деятельности обучающихся и управления имущественным комплексом организации, в том числе общежитиями, на основе современных технологий, способствующих повышению качества знаний, совершенствованию умений, навыков, компетенций и квалификации, развитию технологий и науки, обмену опытом и практиками, управлению собственными данными в электронной форме в организациях;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"консорциум" - объединение не менее 5 научно-образовательных партнеров консорциума и одного технологического партнера консорциума, созданное на основании соглашения о консорциуме без образования юридического лица, в целях совместной реализации мероприятий по созданию и дальнейшему внедрению комплексов цифровых сервисов и решений в организациях;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"научно-образовательный партнер консорциума" - юридическое лицо, являющееся организацией, осуществляющей образовательную деятельность по образовательным программам высшего образования на территории субъектов Российской Федерации, принимающее непосредственное участие во внедрении комплексов цифровых сервисов и решений, создаваемых в рамках деятельности консорциума, в том числе посредством формирования функциональных требований к ним с учетом региональной и отраслевой специфики;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"продукт консорциума" - предлагаемый конкретным консорциумом для создания и последующего внедрения за счет средств гранта и иных внебюджетных источников комплекс цифровых сервисов и решений по одному из направлений, указанных в </w:t>
      </w:r>
      <w:hyperlink w:anchor="P49" w:history="1">
        <w:r>
          <w:rPr>
            <w:color w:val="0000FF"/>
          </w:rPr>
          <w:t>пункте 4</w:t>
        </w:r>
      </w:hyperlink>
      <w:r>
        <w:t xml:space="preserve"> настоящих Правил;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"технологический партнер консорциума" - юридическое лицо, осуществляющее в качестве основного или дополнительного вида деятельности деятельность по разработке компьютерного программного обеспечения, оказанию консультационных услуг в данной области, а также в области информационных технологий в соответствии с Общероссийским </w:t>
      </w:r>
      <w:hyperlink r:id="rId6" w:history="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деятельности, наделенное в соответствии с соглашением о консорциуме полномочиями, предусматривающими непосредственное участие в создании и дальнейшем внедрении комплексов цифровых сервисов и решений, а также в создании условий для их дальнейшего тиражирования;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"участник консорциума" - научно-образовательный партнер консорциума, технологический партнер консорциума, заключившие соглашение о консорциуме в целях совместной реализации проекта по внедрению комплексов цифровых сервисов и решений в организациях.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3. Гранты предоставляются на реализацию мероприятий по внедрению комплексов цифровых сервисов и решений, созданных на базе цифровых платформ в рамках деятельности консорциумов, в организациях в целях достижения результата федерального </w:t>
      </w:r>
      <w:hyperlink r:id="rId7" w:history="1">
        <w:r>
          <w:rPr>
            <w:color w:val="0000FF"/>
          </w:rPr>
          <w:t>проекта</w:t>
        </w:r>
      </w:hyperlink>
      <w:r>
        <w:t xml:space="preserve"> "Кадры для цифровой экономики" национальной программы "Цифровая экономика Российской Федерации" - "внедрены комплексы цифровых сервисов и решений, созданных на базе цифровых платформ, в организациях, осуществляющих образовательную деятельность по образовательным программам высшего образования" (далее - результат федерального проекта).</w:t>
      </w:r>
    </w:p>
    <w:p w:rsidR="00530632" w:rsidRDefault="00530632">
      <w:pPr>
        <w:pStyle w:val="ConsPlusNormal"/>
        <w:spacing w:before="220"/>
        <w:ind w:firstLine="540"/>
        <w:jc w:val="both"/>
      </w:pPr>
      <w:bookmarkStart w:id="1" w:name="P49"/>
      <w:bookmarkEnd w:id="1"/>
      <w:r>
        <w:t xml:space="preserve">4. Гранты предоставляются по результатам отбора, проводимого в форме конкурса для определения получателя гранта, исходя из наилучших условий достижения результатов, в целях </w:t>
      </w:r>
      <w:proofErr w:type="gramStart"/>
      <w:r>
        <w:t>достижения</w:t>
      </w:r>
      <w:proofErr w:type="gramEnd"/>
      <w:r>
        <w:t xml:space="preserve"> которых предоставляется грант (далее соответственно - конкурс, результат </w:t>
      </w:r>
      <w:r>
        <w:lastRenderedPageBreak/>
        <w:t>предоставления гранта), на основании заявок, направленных участниками конкурса для участия в конкурсе (далее - заявка), при наличии: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а) обязательства по использованию получателем гранта средств гранта в целях, указанных в настоящих Правилах, по одному из следующих направлений внедрения комплексов цифровых сервисов и решений, созданных на базе цифровых платформ в рамках деятельности консорциумов, в организациях: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создание комплекса цифровых сервисов и решений для организаций, охватывающего организацию образовательного процесса, с последующим внедрением среди научно-образовательных партнеров консорциума и в других организациях;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создание комплекса цифровых сервисов и решений для организаций, охватывающего процессы при проведении научных исследований, осуществлении экспериментальных разработок и инновационной деятельности, с последующим внедрением среди научно-образовательных партнеров консорциума и в других организациях;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создание комплекса цифровых сервисов и решений для организаций, охватывающего процессы непосредственного управления организацией, включая административные, организационные и хозяйственные сферы деятельности, с последующим внедрением среди научно-образовательных партнеров консорциума и в других организациях;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создание комплекса цифровых сервисов и решений для организаций, охватывающего процессы управления технологической инфраструктурой и имущественным комплексом организации, в том числе общежитиями, с последующим внедрением среди научно-образовательных партнеров консорциума и в других организациях;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б) обязательства получателя гранта по выполнению работ, непосредственно связанных с внедрением комплексов цифровых сервисов и решений, без привлечения соисполнителей в объеме не менее 25 процентов общего объема работ в соответствии с проектом по внедрению комплексов цифровых сервисов и решений в организациях;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в) обязательства получателя гранта по осуществлению технического сопровождения комплексов цифровых сервисов и решений, внедренных в организациях за счет средств гранта, на срок не менее 3 лет со дня представления итогового отчета о реализации гранта;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г) обязательства получателя гранта по внедрению комплексов цифровых сервисов и решений не менее чем в 50 организациях, включая научно-образовательных партнеров консорциумов, на конец 2023 года;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д) обязательства получателя гранта по внедрению комплексов цифровых сервисов и решений на территории не менее 5 субъектов Российской Федерации;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е) обязательства получателя гранта по включению разрабатываемых комплексов цифровых сервисов и решений в единый реестр российских программ для электронных вычислительных машин и баз данных не позднее 31 декабря 2023 г.</w:t>
      </w:r>
    </w:p>
    <w:p w:rsidR="00530632" w:rsidRDefault="00530632">
      <w:pPr>
        <w:pStyle w:val="ConsPlusNormal"/>
        <w:spacing w:before="220"/>
        <w:ind w:firstLine="540"/>
        <w:jc w:val="both"/>
      </w:pPr>
      <w:bookmarkStart w:id="2" w:name="P60"/>
      <w:bookmarkEnd w:id="2"/>
      <w:r>
        <w:t>5. Результатом предоставления грантов является количество внедрений комплексов цифровых сервисов и решений, созданных в рамках деятельности консорциумов, в организациях в соответствии с результатом федерального проекта до 2023 года.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Точные даты завершения и конечные значения результата по годам (конкретная количественная характеристика итогов) установлены в паспорте федерального </w:t>
      </w:r>
      <w:hyperlink r:id="rId8" w:history="1">
        <w:r>
          <w:rPr>
            <w:color w:val="0000FF"/>
          </w:rPr>
          <w:t>проекта</w:t>
        </w:r>
      </w:hyperlink>
      <w:r>
        <w:t xml:space="preserve"> "Кадры для цифровой экономики" национальной программы "Цифровая экономика Российской Федерации".</w:t>
      </w:r>
    </w:p>
    <w:p w:rsidR="00530632" w:rsidRDefault="00530632">
      <w:pPr>
        <w:pStyle w:val="ConsPlusNormal"/>
        <w:spacing w:before="220"/>
        <w:ind w:firstLine="540"/>
        <w:jc w:val="both"/>
      </w:pPr>
      <w:bookmarkStart w:id="3" w:name="P62"/>
      <w:bookmarkEnd w:id="3"/>
      <w:r>
        <w:t xml:space="preserve">6. Показателями, необходимыми для достижения результата предоставления гранта, </w:t>
      </w:r>
      <w:r>
        <w:lastRenderedPageBreak/>
        <w:t>являются: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а) количество созданных продуктов консорциума, интегрированных с государственной информационной системой "Современная цифровая образовательная среда" (далее - показатель 1);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б) количество внедрений продуктов консорциума на базе организаций, включая научно-образовательных партнеров консорциума (далее - показатель 2).</w:t>
      </w:r>
    </w:p>
    <w:p w:rsidR="00530632" w:rsidRDefault="00530632">
      <w:pPr>
        <w:pStyle w:val="ConsPlusNormal"/>
        <w:spacing w:before="220"/>
        <w:ind w:firstLine="540"/>
        <w:jc w:val="both"/>
      </w:pPr>
      <w:bookmarkStart w:id="4" w:name="P65"/>
      <w:bookmarkEnd w:id="4"/>
      <w:r>
        <w:t xml:space="preserve">7. Показатель 1 считается достигнутым при создании одного продукта консорциума в соответствии с одним из направлений, указанных в </w:t>
      </w:r>
      <w:hyperlink w:anchor="P49" w:history="1">
        <w:r>
          <w:rPr>
            <w:color w:val="0000FF"/>
          </w:rPr>
          <w:t>пункте 4</w:t>
        </w:r>
      </w:hyperlink>
      <w:r>
        <w:t xml:space="preserve"> настоящих Правил, при условии осуществления консорциумом в течение 2 последующих лет, следующих за годом, в котором предоставляется грант, модернизации (развития, доработки) комплекса цифровых сервисов и решений.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При оценке достижения показателя 2 учитывается степень вовлеченности пользователей продукта консорциума при внедрении в каждой организации, на базе которой осуществлено внедрение продукта консорциума по состоянию на конец 2023 года.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8. Гранты предоставляются на 3-летний период в пределах лимитов бюджетных обязательств, доведенных до Министерства науки и высшего образования Российской Федерации как получателя средств федерального бюджета на цели, указанные в настоящих Правилах.</w:t>
      </w:r>
    </w:p>
    <w:p w:rsidR="00530632" w:rsidRDefault="00530632">
      <w:pPr>
        <w:pStyle w:val="ConsPlusNormal"/>
        <w:spacing w:before="220"/>
        <w:ind w:firstLine="540"/>
        <w:jc w:val="both"/>
      </w:pPr>
      <w:bookmarkStart w:id="5" w:name="P68"/>
      <w:bookmarkEnd w:id="5"/>
      <w:r>
        <w:t>9. Грант предоставляется на финансовое обеспечение расходов, связанных с достижением целей, указанных в настоящих Правилах, включая следующие расходы: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расходы на оплату труда работников, связанных с созданием и внедрением комплексов цифровых сервисов и решений, в том числе начисления на оплату труда, включая социальные выплаты, а также лиц, привлекаемых к разработке, апробации и внедрению цифровых сервисов и решений на условиях гражданско-правовых договоров в объеме не более 75 процентов общего объема расходов. Средняя заработная плата одного работника, выполняющего работы в рамках внедрения цифровых сервисов и решений, не может превышать размера среднемесячной начисленной заработной платы по соответствующему виду экономической деятельности Российской Федерации, исчисляемой по данным Федеральной службы государственной статистики, за год, предшествующий отчетному году;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накладные расходы в объеме не более 40 процентов объема расходов, предусмотренных на фонд оплаты труда работников, связанных с созданием и внедрением комплексов цифровых сервисов и решений;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транспортные и командировочные расходы, соответствующие целям предоставления гранта, в объеме не более 5 процентов общего объема расходов;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оплата договоров на выполнение работ (оказание услуг), непосредственно связанных с созданием и внедрением комплексов цифровых сервисов и решений в объеме не более 75 процентов общего объема расходов;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расходы на приобретение средств защиты информации в целях создания и внедрения комплексов цифровых сервисов и решений в объеме не более 15 процентов общего объема расходов;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расходы на приобретение оборудования, в том числе информационно-вычислительных систем, товаров, работ и услуг, связанных с обеспечением информационно-вычислительной инфраструктуры, в целях создания и внедрения комплексов цифровых сервисов и решений в объеме не более 20 процентов общего объема расходов;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lastRenderedPageBreak/>
        <w:t>оплата работ и услуг, в том числе услуг связи, коммунальных и эксплуатационных услуг, арендная плата за пользование имуществом (за исключением земельных участков и других обособленных природных объектов), оплата работ и услуг по содержанию имущества и прочих расходов, соответствующих целям предоставления гранта, в объеме не более 5 процентов общего объема расходов;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расходы на приобретение прав на результаты интеллектуальной деятельности, в том числе на приобретение пользовательских, лицензионных прав на программное обеспечение, приобретение и обновление справочно-информационных баз данных, соответствующие целям предоставления гранта, в объеме не более 15 процентов общего объема расходов.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Расходы на закупку товаров, работ и услуг у других организаций определяются исходя из стоимости доступных на рынке аналогов.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Размер грантов определяется как сумма затрат по видам расходов всех получателей грантов, предусмотренных настоящим пунктом, в пределах установленных процентных ограничений, не превышающая 100 процентов лимитов бюджетных обязательств, доведенных в установленном порядке до Министерства науки и высшего образования Российской Федерации как получателя средств федерального бюджета на цели, указанные в настоящих Правилах.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10. В целях проведения конкурса Министерство науки и высшего образования Российской Федерации: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а) принимает решение о проведении конкурса и создает комиссию по проведению конкурса (далее - конкурсная комиссия);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б) разрабатывает и утверждает конкурсную документацию;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в) не менее чем за 30 календарных дней до истечения срока подачи на конкурс документов, указанных в </w:t>
      </w:r>
      <w:hyperlink w:anchor="P98" w:history="1">
        <w:r>
          <w:rPr>
            <w:color w:val="0000FF"/>
          </w:rPr>
          <w:t>пункте 12</w:t>
        </w:r>
      </w:hyperlink>
      <w:r>
        <w:t xml:space="preserve"> настоящих Правил, размещает на официальном сайте Министерства науки и высшего образования Российской Федерации и на едином портале бюджетной системы Российской Федерации (далее соответственно - официальный сайт, единый портал) в информационно-телекоммуникационной сети "Интернет" (далее - сеть "Интернет") объявление о проведении конкурса, содержащее следующие сведения: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сроки проведения конкурса (дата и время начала (окончания) подачи (приема) заявок, которые не могут быть меньше 30 календарных дней, следующих за днем размещения объявления о проведении конкурса, а также информация о возможности проведения нескольких этапов конкурса с указанием сроков (порядка) их проведения (при необходимости);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наименование, место нахождения, почтовый адрес, адрес электронной почты Министерства науки и высшего образования Российской Федерации;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результаты предоставления грантов и показатели, необходимые для достижения результатов предоставления грантов;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доменное имя, и (или) сетевой адрес, и (или) указатели страниц сайта в сети "Интернет", на котором обеспечивается проведение конкурса;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требования к участникам конкурса и перечень документов, представляемых участниками конкурса для подтверждения их соответствия указанным требованиям;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порядок подачи заявок и требования, предъявляемые к форме и содержанию заявок;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порядок отзыва заявок, порядок возврата заявок, определяющий в том числе основания для возврата заявок, порядок внесения изменений в заявки;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lastRenderedPageBreak/>
        <w:t>правила рассмотрения и оценки заявок;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порядок предоставления участникам конкурса разъяснений положений объявления о проведении конкурса, даты начала и окончания срока такого предоставления;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срок, в течение которого победители конкурса должны подписать соглашение о предоставлении гранта (далее - соглашение);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условия признания победителей конкурса уклонившимися от заключения соглашения;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даты размещения результатов конкурса на едином портале, а также на официальном сайте, которая не может быть позднее 14-го календарного дня, следующего за днем определения победителя конкурса;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г) обеспечивает проведение комплекса мер, необходимых для мониторинга достижения результатов предоставления грантов и значений показателей, необходимых для достижения результатов предоставления грантов.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11. Участниками конкурса являются технологические партнеры консорциумов, соответствующие требованиям, установленным настоящими Правилами.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Любой участник консорциума, в том числе технологический партнер консорциума, не может одновременно являться участником нескольких консорциумов.</w:t>
      </w:r>
    </w:p>
    <w:p w:rsidR="00530632" w:rsidRDefault="00530632">
      <w:pPr>
        <w:pStyle w:val="ConsPlusNormal"/>
        <w:spacing w:before="220"/>
        <w:ind w:firstLine="540"/>
        <w:jc w:val="both"/>
      </w:pPr>
      <w:bookmarkStart w:id="6" w:name="P98"/>
      <w:bookmarkEnd w:id="6"/>
      <w:r>
        <w:t>12. Для участия в конкурсе технологический партнер консорциума представляет в Министерство науки и высшего образования Российской Федерации заявку, включающую в том числе следующие документы: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а) сопроводительное письмо за подписью руководителя или иного уполномоченного лица об участии в конкурсе, включающее сведения о сумме запрашиваемого гранта и значения показателей, необходимых для достижения результата предоставления гранта;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б) описание проекта по созданию и внедрению продукта консорциума в организациях, соответствующего требованиям </w:t>
      </w:r>
      <w:hyperlink w:anchor="P111" w:history="1">
        <w:r>
          <w:rPr>
            <w:color w:val="0000FF"/>
          </w:rPr>
          <w:t>пункта 13</w:t>
        </w:r>
      </w:hyperlink>
      <w:r>
        <w:t xml:space="preserve"> настоящих Правил;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в) копия соглашения о консорциуме, подписанного всеми участниками консорциума, заверенная руководителем технологического партнера консорциума или уполномоченным им лицом;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г) общая смета расходов на реализацию проекта по созданию и внедрению продукта консорциума с указанием источников финансирования, в том числе объемов финансового обеспечения из федерального бюджета и внебюджетных источников, по форме, установленной конкурсной документацией;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д) справка об отсутствии у участника конкурса на 1-е число месяца, предшествующего месяцу подачи заявки,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Российской Федерацией, подписанная руководителем или уполномоченным лицом;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е) справка о том, что участник конкурса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</w:t>
      </w:r>
      <w:r>
        <w:lastRenderedPageBreak/>
        <w:t>операций (офшорные зоны), в совокупности превышает 50 процентов, подписанная руководителем или уполномоченным им лицом;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ж) справка о том, что участник конкурса не получает из федерального бюджета средства в соответствии с иными нормативными правовыми актами Российской Федерации на цели, указанные в настоящих Правилах, подписанная руководителем или уполномоченным им лицом;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з) справка о том, что на 1-е число месяца, предшествующего месяцу подачи заявки, участник конкурса не находится в процессе реорганизации (за исключением реорганизации в форме присоединения к юридическому лицу, являющемуся участником конкурса,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Федерации, подписанная руководителем организации или уполномоченным им лицом;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и) справка о том, что на 1-е число месяца, предшествующего месяцу подачи заявки,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конкурса;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к) согласие на публикацию (размещение) в сети "Интернет" информации об участнике конкурса, о подаваемой участником конкурса заявке, иной информации об участнике конкурса, связанной с конкурсом;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л) согласие на выполнение условий, указанных в </w:t>
      </w:r>
      <w:hyperlink w:anchor="P49" w:history="1">
        <w:r>
          <w:rPr>
            <w:color w:val="0000FF"/>
          </w:rPr>
          <w:t>пункте 4</w:t>
        </w:r>
      </w:hyperlink>
      <w:r>
        <w:t xml:space="preserve"> настоящих Правил;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м) согласие органа государственной власти (государственного органа) и (или) органа местного самоуправления, осуществляющего функции и полномочия учредителя в отношении участников конкурса, являющихся бюджетными или автономными учреждениями, на участие таких учреждений в конкурсе и последующее заключение участником конкурса соглашения, оформленного на бланке указанного учредителя (за исключением бюджетных и автономных учреждений, функции и полномочия учредителя которых осуществляет Министерство науки и высшего образования Российской Федерации или Правительство Российской Федерации).</w:t>
      </w:r>
    </w:p>
    <w:p w:rsidR="00530632" w:rsidRDefault="00530632">
      <w:pPr>
        <w:pStyle w:val="ConsPlusNormal"/>
        <w:spacing w:before="220"/>
        <w:ind w:firstLine="540"/>
        <w:jc w:val="both"/>
      </w:pPr>
      <w:bookmarkStart w:id="7" w:name="P111"/>
      <w:bookmarkEnd w:id="7"/>
      <w:r>
        <w:t>13. Проект по созданию и внедрению продукта консорциума в организациях (далее - проект консорциума) должен содержать следующую информацию: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а) указание одного из направлений, определенных в </w:t>
      </w:r>
      <w:hyperlink w:anchor="P49" w:history="1">
        <w:r>
          <w:rPr>
            <w:color w:val="0000FF"/>
          </w:rPr>
          <w:t>пункте 4</w:t>
        </w:r>
      </w:hyperlink>
      <w:r>
        <w:t xml:space="preserve"> настоящих Правил, которому соответствует проект консорциума;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б) аннотация и общее описание проекта консорциума;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в) план-график реализации проекта консорциума с указанием перечня мероприятий, сроков их реализации, ответственных исполнителей;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г) финансово-экономическое обоснование сметы проекта консорциума с указанием источников финансирования проекта консорциума, в том числе объемов финансового обеспечения из федерального бюджета и внебюджетных источников;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д) перечень участников проекта консорциума;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е) аналитический отчет по итогам обследования рынка цифровых сервисов и решений для организаций, подтверждающий отсутствие на рынке прямых аналогов предлагаемых к созданию продуктов консорциума в рамках проекта консорциума.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14. Документы, указанные в </w:t>
      </w:r>
      <w:hyperlink w:anchor="P98" w:history="1">
        <w:r>
          <w:rPr>
            <w:color w:val="0000FF"/>
          </w:rPr>
          <w:t>пункте 12</w:t>
        </w:r>
      </w:hyperlink>
      <w:r>
        <w:t xml:space="preserve"> настоящих Правил, представляются на бумажном и электронном носителях.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lastRenderedPageBreak/>
        <w:t>Все листы поданной заявки и прилагаемых к ней документов должны быть прошиты и пронумерованы, скреплены печатью (при наличии печати), подписаны руководителем (иным уполномоченным лицом) технологического партнера консорциума. Заявка должна содержать опись прилагаемых документов.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Датой представления документов, указанных в </w:t>
      </w:r>
      <w:hyperlink w:anchor="P98" w:history="1">
        <w:r>
          <w:rPr>
            <w:color w:val="0000FF"/>
          </w:rPr>
          <w:t>пункте 12</w:t>
        </w:r>
      </w:hyperlink>
      <w:r>
        <w:t xml:space="preserve"> настоящих Правил, считается дата их регистрации в Министерстве науки и высшего образования Российской Федерации.</w:t>
      </w:r>
    </w:p>
    <w:p w:rsidR="00530632" w:rsidRDefault="00530632">
      <w:pPr>
        <w:pStyle w:val="ConsPlusNormal"/>
        <w:spacing w:before="220"/>
        <w:ind w:firstLine="540"/>
        <w:jc w:val="both"/>
      </w:pPr>
      <w:bookmarkStart w:id="8" w:name="P121"/>
      <w:bookmarkEnd w:id="8"/>
      <w:r>
        <w:t>15. Участник конкурса на 1-е число месяца, предшествующего месяцу подачи заявки, должен соответствовать следующим требованиям: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а) у участника конкурса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б) у участника конкурса должна отсутствовать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в) участник конкурса не является получателем средств из федерального бюджета в соответствии с иными нормативными правовыми актами Российской Федерации на цели, установленные в настоящих Правилах;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г) участник конкурса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д) участник конкурса не должен находиться в процессе реорганизации (за исключением реорганизации в форме присоединения к юридическому лицу, являющемуся участником конкурса,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е) 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конкурса.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16. В рамках обеспечения проведения конкурса конкурсная комиссия: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а) осуществляет вскрытие конвертов с заявками, рассматривает заявки, принимает решение о соответствии участника конкурса и представленной им заявки требованиям, установленным настоящими Правилами, и допуске такой заявки к конкурсу или решение о несоответствии участника конкурса и (или) представленной им заявки требованиям, установленным настоящими Правилами, об отклонении заявки и о недопущении участника конкурса к участию в конкурсе и готовит протокол вскрытия заявок, содержащий сведения: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о дате, времени начала и окончания процедуры вскрытия конвертов с заявками;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о перерывах (при наличии) в процедуре вскрытия конвертов с заявками;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lastRenderedPageBreak/>
        <w:t>об участниках конкурса, подавших заявки;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об участниках конкурса, заявки которых были отклонены, с указанием причин их отклонения, в том числе положений, которым не соответствуют такие заявки.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В случае если представленное на конкурс количество заявок не позволяет провести процедуру вскрытия конвертов с заявками в течение одного дня, председатель конкурсной комиссии после окончания рабочего дня объявляет перерыв. Процедура вскрытия конвертов с заявками в случае объявления перерыва должна быть возобновлена на следующий рабочий день;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б) проводит оценку заявок и определяет победителей конкурса в соответствии с методикой оценки заявок на участие в конкурсе на предоставление грантов в форме субсидий из федерального бюджета юридическим лицам на реализацию мероприятий по внедрению комплексов цифровых сервисов и решений, созданных на базе цифровых платформ, в организациях, осуществляющих образовательную деятельность по образовательным программам высшего образования, согласно </w:t>
      </w:r>
      <w:hyperlink w:anchor="P272" w:history="1">
        <w:r>
          <w:rPr>
            <w:color w:val="0000FF"/>
          </w:rPr>
          <w:t>приложению</w:t>
        </w:r>
      </w:hyperlink>
      <w:r>
        <w:t xml:space="preserve"> (далее - методика) с учетом результатов оценки заявок. Готовит протокол рассмотрения заявок, включающий дату, время и место проведения рассмотрения заявок, дату, время и место оценки заявок, последовательность оценки заявок, присвоенные заявкам значения по каждому из предусмотренных критериев отбора получателей гранта, установленных </w:t>
      </w:r>
      <w:hyperlink w:anchor="P166" w:history="1">
        <w:r>
          <w:rPr>
            <w:color w:val="0000FF"/>
          </w:rPr>
          <w:t>пунктом 23</w:t>
        </w:r>
      </w:hyperlink>
      <w:r>
        <w:t xml:space="preserve"> настоящих Правил, принятое на основании результатов оценки решение о присвоении таким заявкам порядковых номеров и наименование участников конкурса, признанных победителями конкурса, с которыми заключается соглашение, и размер предоставляемых им грантов.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17. В состав конкурсной комиссии входят председатель, заместитель председателя, секретарь и члены конкурсной комиссии. В состав конкурсной комиссии включается представитель Министерства цифрового развития, связи и массовых коммуникаций Российской Федерации. Общее количество членов конкурсной комиссии должно составлять не менее 7 человек.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Председатель конкурсной комиссии: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организует работу конкурсной комиссии;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определяет место, дату и время проведения ее заседаний;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председательствует на заседаниях конкурсной комиссии;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руководит деятельностью конкурсной комиссии;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объявляет перерыв в процедуре вскрытия конвертов с заявками.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В отсутствие председателя конкурсной комиссии его функции исполняет заместитель председателя конкурсной комиссии.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Секретарь конкурсной комиссии: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обеспечивает подготовку материалов к заседаниям конкурсной комиссии;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своевременно уведомляет членов конкурсной комиссии о месте, дате и времени проведения ее заседаний;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ведет протоколы заседаний конкурсной комиссии;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обеспечивает хранение документов конкурсной комиссии.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Члены конкурсной комиссии: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принимают личное участие, в том числе путем использования систем видео-конференц-связи, </w:t>
      </w:r>
      <w:r>
        <w:lastRenderedPageBreak/>
        <w:t>в работе конкурсной комиссии, а при невозможности присутствовать заблаговременно извещают об этом секретаря конкурсной комиссии по электронной почте;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рассматривают заявки.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Работа конкурсной комиссии осуществляется в форме очных заседаний, в том числе путем использования систем видео-конференц-связи. Заседание конкурсной комиссии считается правомочным, если на нем присутствует не менее половины членов конкурсной комиссии.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Конкурсная комиссия вправе привлекать экспертов для участия в ее заседаниях.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18. Конкурсная комиссия в течение 20 рабочих дней со дня окончания срока подачи заявок осуществляет вскрытие и рассмотрение заявок и документов, поданных участниками конкурса, на соответствие требованиям, установленным настоящими Правилами, конкурсной документацией и объявлением о проведении конкурса, и принимает одно из следующих решений: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о допуске заявки к участию в конкурсе;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об отклонении заявки и недопущении участника конкурса к участию в конкурсе.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Протокол рассмотрения заявок подписывается всеми членами конкурсной комиссии, присутствующими при рассмотрении заявок, и размещается на официальном сайте не позднее 3 рабочих дней после подписания конкурсной комиссией протокола.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19. Решение об отклонении заявки и недопущении участника конкурса к конкурсу принимается в случае: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а) </w:t>
      </w:r>
      <w:proofErr w:type="gramStart"/>
      <w:r>
        <w:t>несоответствия</w:t>
      </w:r>
      <w:proofErr w:type="gramEnd"/>
      <w:r>
        <w:t xml:space="preserve"> представленных участником конкурса документов требованиям, установленным </w:t>
      </w:r>
      <w:hyperlink w:anchor="P98" w:history="1">
        <w:r>
          <w:rPr>
            <w:color w:val="0000FF"/>
          </w:rPr>
          <w:t>пунктом 12</w:t>
        </w:r>
      </w:hyperlink>
      <w:r>
        <w:t xml:space="preserve"> настоящих Правил;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б) подачи участником конкурса заявки и документов после даты и (или) времени, определенных для подачи заявок;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в) несоответствия участника конкурса требованиям, установленным </w:t>
      </w:r>
      <w:hyperlink w:anchor="P121" w:history="1">
        <w:r>
          <w:rPr>
            <w:color w:val="0000FF"/>
          </w:rPr>
          <w:t>пунктом 15</w:t>
        </w:r>
      </w:hyperlink>
      <w:r>
        <w:t xml:space="preserve"> настоящих Правил;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г) недостоверности предоставленной участником конкурса информации, в том числе информации о месте нахождения и адресе юридического лица.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20. Если по результатам рассмотрения заявок конкурсной комиссией принято решение об отказе в участии в конкурсе всем участникам конкурса, конкурс признается несостоявшимся.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21. Информация о том, что объявленный конкурс не состоялся, размещается на официальном сайте не позднее 2 рабочих дней после принятия конкурсной комиссией решения об отказе в участии в конкурсе всем участникам конкурса и признании конкурса несостоявшимся.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22. Отбор победителей конкурса осуществляется на основании оценки заявок в соответствии с критериями отбора участников конкурса.</w:t>
      </w:r>
    </w:p>
    <w:p w:rsidR="00530632" w:rsidRDefault="00530632">
      <w:pPr>
        <w:pStyle w:val="ConsPlusNormal"/>
        <w:spacing w:before="220"/>
        <w:ind w:firstLine="540"/>
        <w:jc w:val="both"/>
      </w:pPr>
      <w:bookmarkStart w:id="9" w:name="P166"/>
      <w:bookmarkEnd w:id="9"/>
      <w:r>
        <w:t>23. Критериями отбора участников конкурса являются: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а) степень детализации и проработки проекта консорциума;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б) квалификация участника конкурса, в том числе кадровые, материально-технические, организационные ресурсы, а также квалификация научно-образовательных партнеров консорциума;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lastRenderedPageBreak/>
        <w:t xml:space="preserve">в) </w:t>
      </w:r>
      <w:proofErr w:type="spellStart"/>
      <w:r>
        <w:t>тиражируемость</w:t>
      </w:r>
      <w:proofErr w:type="spellEnd"/>
      <w:r>
        <w:t xml:space="preserve"> продукта консорциума в рамках реализации проекта консорциума;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г) объем </w:t>
      </w:r>
      <w:proofErr w:type="spellStart"/>
      <w:r>
        <w:t>софинансирования</w:t>
      </w:r>
      <w:proofErr w:type="spellEnd"/>
      <w:r>
        <w:t xml:space="preserve"> проекта консорциума за счет внебюджетных источников.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24. Заявки участников конкурса, допущенных к участию в конкурсе, подлежат оценке конкурсной комиссией по соответствующему направлению, указанному в </w:t>
      </w:r>
      <w:hyperlink w:anchor="P49" w:history="1">
        <w:r>
          <w:rPr>
            <w:color w:val="0000FF"/>
          </w:rPr>
          <w:t>пункте 4</w:t>
        </w:r>
      </w:hyperlink>
      <w:r>
        <w:t xml:space="preserve"> настоящих Правил, на основе критериев отбора участников конкурса, установленных </w:t>
      </w:r>
      <w:hyperlink w:anchor="P166" w:history="1">
        <w:r>
          <w:rPr>
            <w:color w:val="0000FF"/>
          </w:rPr>
          <w:t>пунктом 23</w:t>
        </w:r>
      </w:hyperlink>
      <w:r>
        <w:t xml:space="preserve"> настоящих Правил, и в соответствии с </w:t>
      </w:r>
      <w:hyperlink w:anchor="P272" w:history="1">
        <w:r>
          <w:rPr>
            <w:color w:val="0000FF"/>
          </w:rPr>
          <w:t>методикой</w:t>
        </w:r>
      </w:hyperlink>
      <w:r>
        <w:t>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Конкурсная комиссия формирует рейтинг заявок не позднее 10 рабочих дней со дня подписания протокола рассмотрения заявок.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В целях формирования рейтинга заявок конкурсная комиссия присваивает каждой заявке порядковый номер (в порядке уменьшения суммы набранных при оценке баллов). Заявке, набравшей наибольшую сумму баллов, присваивается первый номер. Если 2 заявки или более набрали при проведении оценки одинаковую сумму баллов, меньший порядковый номер присваивается заявке, поданной по дате и времени первой. В случае если на конкурс подана только одна заявка, победителем конкурса признается участник конкурса, от которого подана единственная заявка, при условии соответствия участника конкурса и заявки требованиям, установленным настоящими Правилами.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Победителем конкурса признается участник конкурса, заявке которого конкурсной комиссией присвоен первый номер в рейтинге заявок.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По соответствующему направлению, указанному в </w:t>
      </w:r>
      <w:hyperlink w:anchor="P49" w:history="1">
        <w:r>
          <w:rPr>
            <w:color w:val="0000FF"/>
          </w:rPr>
          <w:t>пункте 4</w:t>
        </w:r>
      </w:hyperlink>
      <w:r>
        <w:t xml:space="preserve"> настоящих Правил, победителем может быть признан только один участник конкурса.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Конкурсная комиссия подводит итоги конкурса, определяет победителей конкурса с учетом результатов оценки заявок и готовит протокол по результатам конкурса, включающий наименование организатора конкурса, дату, место, время начала и окончания процедуры оценки заявок, информацию об участниках конкурса, заявки которых были рассмотрены, отклонены, сведения о заявках, допущенных к конкурсу, последовательность оценки заявок, присвоенные заявкам значения по каждому из предусмотренных критериев оценки заявок, принятое на основании результатов оценки заявок решение о присвоении таким заявкам порядковых номеров, результаты голосования членов конкурсной комиссии, наименование участников конкурса, признанных победителями, и объем предоставляемого гранта для каждого победителя конкурса (далее - получатель гранта), определенный в соответствии с </w:t>
      </w:r>
      <w:hyperlink w:anchor="P211" w:history="1">
        <w:r>
          <w:rPr>
            <w:color w:val="0000FF"/>
          </w:rPr>
          <w:t>пунктом 31</w:t>
        </w:r>
      </w:hyperlink>
      <w:r>
        <w:t xml:space="preserve"> настоящих Правил, который размещается не позднее 14-го календарного дня, следующего за днем определения победителя конкурса, на едином портале и официальном сайте.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25. Грант предоставляется на основании соглашения, которое заключается Министерством науки и высшего образования Российской Федерации и получателем гранта в соответствии с установленными Министерством финансов Российской Федерации типовыми формами в государственной интегрированной информационной системе управления общественными финансами "Электронный бюджет" и содержит в том числе следующие положения: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а) условие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науки и высшего образования Российской Федерации ранее доведенных лимитов бюджетных обязательств, приводящего к невозможности предоставления гранта, в размере, определенном в соглашении;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б) согласие получателя гранта на осуществление Министерством науки и высшего образования Российской Федерации и органами государственного финансового контроля проверок соблюдения целей, условий и порядка предоставления гранта, а также обязательство получателя гранта по включению в договоры (соглашения), заключенные в целях исполнения обязательств по соглашению, положений о согласии лиц, являющихся поставщиками (подрядчиками, </w:t>
      </w:r>
      <w:r>
        <w:lastRenderedPageBreak/>
        <w:t>исполнителями), на проведение проверок;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в) запрет на приобретение за счет средств гранта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гранта иных расходов, указанных в </w:t>
      </w:r>
      <w:hyperlink w:anchor="P68" w:history="1">
        <w:r>
          <w:rPr>
            <w:color w:val="0000FF"/>
          </w:rPr>
          <w:t>пункте 9</w:t>
        </w:r>
      </w:hyperlink>
      <w:r>
        <w:t xml:space="preserve"> настоящих Правил;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г) запрет на приобретение иными юридическими лицами, получающими средства на основании договоров, заключенных с получателями гранта, за счет гранта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гранта иных расходов, указанных в </w:t>
      </w:r>
      <w:hyperlink w:anchor="P68" w:history="1">
        <w:r>
          <w:rPr>
            <w:color w:val="0000FF"/>
          </w:rPr>
          <w:t>пункте 9</w:t>
        </w:r>
      </w:hyperlink>
      <w:r>
        <w:t xml:space="preserve"> настоящих Правил;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д) цели предоставления гранта и размер гранта;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е) условия и сроки (периодичность) предоставления гранта;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ж) значение результата предоставления гранта и показателей, необходимых для достижения результата предоставления гранта;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з) перечень расходов, на финансовое обеспечение которых предоставляется грант;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и) сроки (периодичность) перечисления гранта с учетом положений, установленных бюджетным законодательством Российской Федерации;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к) порядок и сроки предоставления отчетности по формам, определенными типовыми формами соглашений, установленными Министерством финансов Российской Федерации, и формам, установленным в соглашении, в соответствии с </w:t>
      </w:r>
      <w:hyperlink w:anchor="P235" w:history="1">
        <w:r>
          <w:rPr>
            <w:color w:val="0000FF"/>
          </w:rPr>
          <w:t>пунктом 39</w:t>
        </w:r>
      </w:hyperlink>
      <w:r>
        <w:t xml:space="preserve"> настоящих Правил;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л) возможность осуществления расходов, источником финансового обеспечения которых являются не использованные в отчетном финансовом году остатки грантов, при принятии Министерством науки и высшего образования Российской Федерации как получателем бюджетных средств по согласованию с Министерством финансов Российской Федерации в порядке, установленном Правительством Российской Федерации, решения о наличии потребности в указанных средствах или возврате указанных средств при отсутствии в них потребности;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м) положения о казначейском сопровождении в соответствии с бюджетным законодательством Российской Федерации.</w:t>
      </w:r>
    </w:p>
    <w:p w:rsidR="00530632" w:rsidRDefault="00530632">
      <w:pPr>
        <w:pStyle w:val="ConsPlusNormal"/>
        <w:spacing w:before="220"/>
        <w:ind w:firstLine="540"/>
        <w:jc w:val="both"/>
      </w:pPr>
      <w:bookmarkStart w:id="10" w:name="P190"/>
      <w:bookmarkEnd w:id="10"/>
      <w:r>
        <w:t>26. Получатель гранта на дату не ранее чем 1-ое число месяца, предшествующего месяцу, в котором планируется заключение соглашения, должен соответствовать следующим требованиям: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а) у получателя гранта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б) у получателя гранта должна отсутствовать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в) получатель гранта не является получателем средств из федерального бюджета в соответствии с иными нормативными правовыми актами Российской Федерации на цели, установленные настоящими Правилами;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lastRenderedPageBreak/>
        <w:t>г) получатель гранта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д) получатель гранта не должен находиться в процессе реорганизации (за исключением реорганизации в форме присоединения к юридическому лицу, являющемуся получателем гранта,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е) 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гранта.</w:t>
      </w:r>
    </w:p>
    <w:p w:rsidR="00530632" w:rsidRDefault="00530632">
      <w:pPr>
        <w:pStyle w:val="ConsPlusNormal"/>
        <w:spacing w:before="220"/>
        <w:ind w:firstLine="540"/>
        <w:jc w:val="both"/>
      </w:pPr>
      <w:bookmarkStart w:id="11" w:name="P197"/>
      <w:bookmarkEnd w:id="11"/>
      <w:r>
        <w:t>27. В целях заключения соглашения получатель гранта предоставляет в Министерство науки и высшего образования Российской Федерации следующие документы: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а) справка об отсутствии у получателя гранта на 1-е число месяца, предшествующего месяцу, в котором планируется заключение соглашения,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подписанная руководителем или уполномоченным им лицом;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б) справка об отсутствии у получателя гранта на 1-е число месяца, предшествующего месяцу, в котором планируется заключение соглашения,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Российской Федерацией, подписанная руководителем участника конкурса или уполномоченным им лицом;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в) справка о том, что получатель гранта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процентов, подписанная руководителем или уполномоченным им лицом;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г) справка о том, что получатель гранта не получает из федерального бюджета средства в соответствии с иными нормативными правовыми актами Российской Федерации на цели, указанные в настоящих Правилах, подписанная руководителем или уполномоченным им лицом;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д) справка о том, что на 1-е число месяца, предшествующего месяцу, в котором планируется заключение соглашения, получатель гранта не находится в процессе реорганизации (за исключением реорганизации в форме присоединения к юридическому лицу, являющемуся получателем гранта,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Федерации, подписанная руководителем или уполномоченным им лицом;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lastRenderedPageBreak/>
        <w:t>е) справка о том, что на 1-е число месяца, предшествующего месяцу, в котором планируется заключение соглашения,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гранта.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28. Министерство науки и высшего образования Российской Федерации в течение 30 календарных дней рассматривает представленные получателем гранта документы и принимает решение о заключении соглашения или мотивированное решение об отказе в заключении соглашения по основаниям, предусмотренным </w:t>
      </w:r>
      <w:hyperlink w:anchor="P205" w:history="1">
        <w:r>
          <w:rPr>
            <w:color w:val="0000FF"/>
          </w:rPr>
          <w:t>пунктом 29</w:t>
        </w:r>
      </w:hyperlink>
      <w:r>
        <w:t xml:space="preserve"> настоящих Правил.</w:t>
      </w:r>
    </w:p>
    <w:p w:rsidR="00530632" w:rsidRDefault="00530632">
      <w:pPr>
        <w:pStyle w:val="ConsPlusNormal"/>
        <w:spacing w:before="220"/>
        <w:ind w:firstLine="540"/>
        <w:jc w:val="both"/>
      </w:pPr>
      <w:bookmarkStart w:id="12" w:name="P205"/>
      <w:bookmarkEnd w:id="12"/>
      <w:r>
        <w:t>29. Основаниями для отказа в заключении соглашения являются: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а) несоответствие получателя гранта требованиям, установленным </w:t>
      </w:r>
      <w:hyperlink w:anchor="P190" w:history="1">
        <w:r>
          <w:rPr>
            <w:color w:val="0000FF"/>
          </w:rPr>
          <w:t>пунктом 26</w:t>
        </w:r>
      </w:hyperlink>
      <w:r>
        <w:t xml:space="preserve"> настоящих Правил;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б) несоответствие представленных получателем гранта документов требованиям, предусмотренным </w:t>
      </w:r>
      <w:hyperlink w:anchor="P197" w:history="1">
        <w:r>
          <w:rPr>
            <w:color w:val="0000FF"/>
          </w:rPr>
          <w:t>пунктом 27</w:t>
        </w:r>
      </w:hyperlink>
      <w:r>
        <w:t xml:space="preserve"> настоящих Правил, или непредставление (представление не в полном объеме) указанных документов;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в) установление факта недостоверности представленной получателем гранта информации.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30. Условием признания получателя гранта уклонившимся от подписания соглашения является </w:t>
      </w:r>
      <w:proofErr w:type="spellStart"/>
      <w:r>
        <w:t>неподписание</w:t>
      </w:r>
      <w:proofErr w:type="spellEnd"/>
      <w:r>
        <w:t xml:space="preserve"> получателем гранта соглашения в течение 15 рабочих дней со дня его формирования в государственной интегрированной информационной системе управления общественными финансами "Электронный бюджет".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В случае отказа в письменной форме или уклонения от подписания соглашения получателем гранта Министерство науки и высшего образования Российской Федерации вправе заключить соглашение с участником конкурса, занявшим место в рейтинге заявок, следующее за местом, занятым получателем гранта, отказавшимся (уклонившимся) от заключения соглашения, при наличии таких участников конкурса.</w:t>
      </w:r>
    </w:p>
    <w:p w:rsidR="00530632" w:rsidRDefault="00530632">
      <w:pPr>
        <w:pStyle w:val="ConsPlusNormal"/>
        <w:spacing w:before="220"/>
        <w:ind w:firstLine="540"/>
        <w:jc w:val="both"/>
      </w:pPr>
      <w:bookmarkStart w:id="13" w:name="P211"/>
      <w:bookmarkEnd w:id="13"/>
      <w:r>
        <w:t>31. В случае если совокупный размер запрашиваемых средств гранта согласно представленным заявкам не превышает объема лимитов бюджетных обязательств, размер предоставляемого гранта устанавливается в размерах, указанных в заявках.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Запрашиваемый объем финансирования из федерального бюджета в соответствии с заявкой не должен превышать предельный размер гранта, указанный в настоящем пункте, в том числе в пределах одного финансового года.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Предельный размер суммы гранта на 3-летний период деятельности не может превышать 1 511 184,21 тыс. рублей по одному из направлений, установленных </w:t>
      </w:r>
      <w:hyperlink w:anchor="P49" w:history="1">
        <w:r>
          <w:rPr>
            <w:color w:val="0000FF"/>
          </w:rPr>
          <w:t>пунктом 4</w:t>
        </w:r>
      </w:hyperlink>
      <w:r>
        <w:t xml:space="preserve"> настоящих Правил, а также объем финансирования по одному направлению не может превышать 760 521,85 тыс. рублей в первый год работы, 500 441,57 тыс. рублей - во второй год работы и 250 220,79 тыс. рублей - в третий.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В случае если совокупный размер запрашиваемых победителем (победителями) конкурса грантов согласно поданным заявкам превышает объем лимитов бюджетных обязательств, размер предоставляемого гранта определяется конкурсной комиссией исходя из сформированного в рамках конкурса рейтинга заявок.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32. В случае если размер предоставляемого гранта в соответствии с решением конкурсной комиссии меньше запрашиваемой в заявке суммы, получатель гранта вправе: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привлечь дополнительно внебюджетные средства в целях реализации мероприятий в </w:t>
      </w:r>
      <w:r>
        <w:lastRenderedPageBreak/>
        <w:t>полном объеме согласно указанной в заявке смете проекта консорциума;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отказаться от получения гранта, о чем получатель гранта обязан проинформировать Министерство науки и высшего образования Российской Федерации в письменной форме в течение 10 календарных дней со дня опубликования протокола оценки заявок.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33. Дополнительное соглашение о внесении изменений в соглашение, а также дополнительное соглашение о расторжении соглашения заключаются в государственной интегрированной информационной системе управления общественными финансами "Электронный бюджет" в соответствии с типовой формой, установленной Министерством финансов Российской Федерации.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34. Оценка эффективности осуществления получателем гранта расходов, источником финансового обеспечения которых является грант, осуществляется на основе достижения значений результата предоставления гранта и показателей, необходимых для достижения результата предоставления гранта, предусмотренных соглашением.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35. Перечисление гранта получателям грантов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получателем гранта распоряжений о совершении казначейских платежей для оплаты денежного обязательства получателя гранта.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36. Сведения о грантах размещаются на едином портале (в разделе единого портала)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37. Министерство науки и высшего образования Российской Федерации и органы государственного финансового контроля проводят обязательные проверки соблюдения получателем гранта, а также юридическими лицами, получающими средства на основании договоров, заключенных с получателями гранта, целей, условий и порядка предоставления гранта, установленных настоящими Правилами и соглашением.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38. В случае если по итогам года или по итогам достижения значения результата предоставления гранта и показателей, необходимых для достижения результата предоставления гранта, указанных в </w:t>
      </w:r>
      <w:hyperlink w:anchor="P60" w:history="1">
        <w:r>
          <w:rPr>
            <w:color w:val="0000FF"/>
          </w:rPr>
          <w:t>пунктах 5</w:t>
        </w:r>
      </w:hyperlink>
      <w:r>
        <w:t xml:space="preserve"> и </w:t>
      </w:r>
      <w:hyperlink w:anchor="P62" w:history="1">
        <w:r>
          <w:rPr>
            <w:color w:val="0000FF"/>
          </w:rPr>
          <w:t>6</w:t>
        </w:r>
      </w:hyperlink>
      <w:r>
        <w:t xml:space="preserve"> настоящих Правил, доля выполнения хотя бы одного из фактически достигнутых значений показателей, необходимых для достижения результата предоставления гранта, составляет менее 100 процентов значения, установленного соглашением, к получателю гранта применяются меры ответственности в форме возврата в федеральный бюджет части средств гранта (A), размер которой определяется по формуле:</w:t>
      </w: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jc w:val="center"/>
      </w:pPr>
      <w:r w:rsidRPr="00EA7F02">
        <w:rPr>
          <w:position w:val="-26"/>
        </w:rPr>
        <w:pict>
          <v:shape id="_x0000_i1025" style="width:161.25pt;height:37.5pt" coordsize="" o:spt="100" adj="0,,0" path="" filled="f" stroked="f">
            <v:stroke joinstyle="miter"/>
            <v:imagedata r:id="rId9" o:title="base_1_388521_32768"/>
            <v:formulas/>
            <v:path o:connecttype="segments"/>
          </v:shape>
        </w:pict>
      </w: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ind w:firstLine="540"/>
        <w:jc w:val="both"/>
      </w:pPr>
      <w:r>
        <w:t>при условии, что </w:t>
      </w:r>
      <w:r w:rsidRPr="00EA7F02">
        <w:rPr>
          <w:position w:val="-8"/>
        </w:rPr>
        <w:pict>
          <v:shape id="_x0000_i1026" style="width:52.5pt;height:19.5pt" coordsize="" o:spt="100" adj="0,,0" path="" filled="f" stroked="f">
            <v:stroke joinstyle="miter"/>
            <v:imagedata r:id="rId10" o:title="base_1_388521_32769"/>
            <v:formulas/>
            <v:path o:connecttype="segments"/>
          </v:shape>
        </w:pic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где: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1</w:t>
      </w:r>
      <w:r>
        <w:t xml:space="preserve"> - фактически достигнутое за отчетный период значение показателя 1;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2</w:t>
      </w:r>
      <w:r>
        <w:t xml:space="preserve"> - фактически достигнутое за отчетный период значение показателя 2;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1</w:t>
      </w:r>
      <w:r>
        <w:t xml:space="preserve"> - плановое значение показателя 1 за отчетный период;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lastRenderedPageBreak/>
        <w:t>D</w:t>
      </w:r>
      <w:r>
        <w:rPr>
          <w:vertAlign w:val="subscript"/>
        </w:rPr>
        <w:t>2</w:t>
      </w:r>
      <w:r>
        <w:t xml:space="preserve"> - плановое значение показателя 2 за отчетный период;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z - коэффициент, отражающий соблюдение требований к выполнению показателя 2 в соответствии с </w:t>
      </w:r>
      <w:hyperlink w:anchor="P65" w:history="1">
        <w:r>
          <w:rPr>
            <w:color w:val="0000FF"/>
          </w:rPr>
          <w:t>пунктом 7</w:t>
        </w:r>
      </w:hyperlink>
      <w:r>
        <w:t xml:space="preserve"> настоящих Правил и относящийся к результатам внедрения комплексов цифровых сервисов и решений, значение которого рассчитывается в соответствии с плановыми значениями соответствующего показателя, устанавливаемыми в соглашении;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V - объем средств гранта, предусмотренных до конца отчетного периода.</w:t>
      </w:r>
    </w:p>
    <w:p w:rsidR="00530632" w:rsidRDefault="00530632">
      <w:pPr>
        <w:pStyle w:val="ConsPlusNormal"/>
        <w:spacing w:before="220"/>
        <w:ind w:firstLine="540"/>
        <w:jc w:val="both"/>
      </w:pPr>
      <w:bookmarkStart w:id="14" w:name="P235"/>
      <w:bookmarkEnd w:id="14"/>
      <w:r>
        <w:t>39. Получатель гранта, с которым заключено соглашение, представляет ежегодно в течение 20 рабочих дней по окончании календарного года в Министерство науки и высшего образования Российской Федерации отчетные материалы, включающие: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а) подписанный руководителем или лицом, исполняющим обязанности руководителя, отчет об осуществлении расходов, источником финансового обеспечения которых является грант, по форме, определенной типовой формой соглашения, установленной Министерством финансов Российской Федерации;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б) подписанный руководителем или лицом, исполняющим обязанности руководителя, отчет о достижении результата предоставления гранта и показателей, необходимых для достижения результата предоставления гранта, по форме, определенной типовой формой соглашения, установленной Министерством финансов Российской Федерации;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в) подписанный руководителем или лицом, исполняющим обязанности руководителя, отчет, подтверждающий качественное достижение показателя 1 по форме, установленной в соглашении, содержащий: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техническое задание на разработку продукта консорциума (представляется не позднее 31 декабря 2021 г.);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программу и </w:t>
      </w:r>
      <w:hyperlink w:anchor="P272" w:history="1">
        <w:r>
          <w:rPr>
            <w:color w:val="0000FF"/>
          </w:rPr>
          <w:t>методику</w:t>
        </w:r>
      </w:hyperlink>
      <w:r>
        <w:t xml:space="preserve"> предварительных испытаний продукта консорциума (представляется не позднее 31 декабря 2021 г.);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протокол комиссии с участием представителей Министерства науки и высшего образования Российской Федерации и Министерства цифрового развития Российской Федерации о проведении программы и </w:t>
      </w:r>
      <w:hyperlink w:anchor="P272" w:history="1">
        <w:r>
          <w:rPr>
            <w:color w:val="0000FF"/>
          </w:rPr>
          <w:t>методики</w:t>
        </w:r>
      </w:hyperlink>
      <w:r>
        <w:t xml:space="preserve"> предварительных испытаний продукта консорциума (представляется не позднее 31 декабря 2021 г.);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заключение о доработке функционала и развитии продукта консорциума по итогам апробации и внедрения на базе научно-образовательных партнеров консорциума (представляется не позднее 31 декабря 2022 г.);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копию (копии) свидетельства (свидетельств) о государственной регистрации программы для электронных вычислительных машин и (или) базы данных, соответствующих продукту консорциума (свидетельство не может быть датировано более ранним числом, чем дата заключения соглашения; представляется не позднее 31 декабря 2023 г.);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г) подписанный руководителем или лицом, исполняющим обязанности руководителя, отчет, подтверждающий качественное достижение показателя 2 по форме, установленной в соглашении, содержащий: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копию организационно-распорядительный документа, подписанного руководителем или лицом, исполняющим обязанности руководителя организации, подтверждающего факт ввода в эксплуатацию продукта консорциума на базе организации на период не менее 3 лет (далее - документ о вводе в эксплуатацию);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lastRenderedPageBreak/>
        <w:t>документ, подтверждающий право на использование организацией продукта консорциума;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справку, подписанную руководителем или лицом, исполняющим обязанности руководителя организации, с приложением необходимых технических сведений, о количестве пользователей продукта консорциума в организации, а также о доле зарегистрированных и совершивших как минимум одно действие в продукте консорциума пользователей из числа работников и обучающихся организации (представляется не позднее чем через один год с даты подписания документа о вводе в эксплуатацию, но не позднее 31 декабря 2023 г.);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д) информацию и документы, подтверждающие использование внебюджетных источников, по форме, установленной в соглашении.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Министерство науки и высшего образования Российской Федерации вправе устанавливать в соглашении сроки и формы представления получателем гранта дополнительной отчетности.</w:t>
      </w:r>
    </w:p>
    <w:p w:rsidR="00530632" w:rsidRDefault="00530632">
      <w:pPr>
        <w:pStyle w:val="ConsPlusNormal"/>
        <w:spacing w:before="220"/>
        <w:ind w:firstLine="540"/>
        <w:jc w:val="both"/>
      </w:pPr>
      <w:bookmarkStart w:id="15" w:name="P250"/>
      <w:bookmarkEnd w:id="15"/>
      <w:r>
        <w:t xml:space="preserve">40. В случае </w:t>
      </w:r>
      <w:proofErr w:type="spellStart"/>
      <w:r>
        <w:t>недостижения</w:t>
      </w:r>
      <w:proofErr w:type="spellEnd"/>
      <w:r>
        <w:t xml:space="preserve"> получателем гранта значений результата предоставления гранта и показателей, необходимых для достижения результата предоставления гранта, в результате наступления обстоятельств непреодолимой силы меры ответственности в форме возврата в федеральный бюджет части средств гранта не применяются.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41. В случае установления по итогам проверок, проведенных Министерством науки и высшего образования Российской Федерации и (или) органом государственного финансового контроля, факта нарушения условий предоставления гранта, а также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гранта и показателей, необходимых для достижения результата предоставления гранта, предусмотренных настоящими Правилами и соглашением, за исключением случая, предусмотренного </w:t>
      </w:r>
      <w:hyperlink w:anchor="P250" w:history="1">
        <w:r>
          <w:rPr>
            <w:color w:val="0000FF"/>
          </w:rPr>
          <w:t>пунктом 40</w:t>
        </w:r>
      </w:hyperlink>
      <w:r>
        <w:t xml:space="preserve"> настоящих Правил, средства гранта подлежат возврату в доход федерального бюджета в размере, определенном: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а) требованием Министерства науки и высшего образования Российской Федерации, направленным заказным почтовым отправлением с уведомлением о вручении, - не позднее 10 рабочих дней со дня получения соответствующего требования получателем гранта;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б) представлением и (или) предписанием органа государственного финансового контроля - в срок, установленный в соответствии с бюджетным законодательством Российской Федерации.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42. Получателю гранта и иным юридическим лицам, получающим средства на основании договоров, заключенных с получателем гранта, запрещается приобретение за счет полученных из федерального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определенных настоящими Правилами, связанных с достижением целей предоставления гранта.</w:t>
      </w: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jc w:val="right"/>
        <w:outlineLvl w:val="1"/>
      </w:pPr>
      <w:r>
        <w:t>Приложение</w:t>
      </w:r>
    </w:p>
    <w:p w:rsidR="00530632" w:rsidRDefault="00530632">
      <w:pPr>
        <w:pStyle w:val="ConsPlusNormal"/>
        <w:jc w:val="right"/>
      </w:pPr>
      <w:r>
        <w:t>к Правилам предоставления грантов</w:t>
      </w:r>
    </w:p>
    <w:p w:rsidR="00530632" w:rsidRDefault="00530632">
      <w:pPr>
        <w:pStyle w:val="ConsPlusNormal"/>
        <w:jc w:val="right"/>
      </w:pPr>
      <w:r>
        <w:t>в форме субсидий из федерального</w:t>
      </w:r>
    </w:p>
    <w:p w:rsidR="00530632" w:rsidRDefault="00530632">
      <w:pPr>
        <w:pStyle w:val="ConsPlusNormal"/>
        <w:jc w:val="right"/>
      </w:pPr>
      <w:r>
        <w:t>бюджета юридическим лицам на реализацию</w:t>
      </w:r>
    </w:p>
    <w:p w:rsidR="00530632" w:rsidRDefault="00530632">
      <w:pPr>
        <w:pStyle w:val="ConsPlusNormal"/>
        <w:jc w:val="right"/>
      </w:pPr>
      <w:r>
        <w:t>мероприятий по внедрению комплексов</w:t>
      </w:r>
    </w:p>
    <w:p w:rsidR="00530632" w:rsidRDefault="00530632">
      <w:pPr>
        <w:pStyle w:val="ConsPlusNormal"/>
        <w:jc w:val="right"/>
      </w:pPr>
      <w:r>
        <w:t>цифровых сервисов и решений,</w:t>
      </w:r>
    </w:p>
    <w:p w:rsidR="00530632" w:rsidRDefault="00530632">
      <w:pPr>
        <w:pStyle w:val="ConsPlusNormal"/>
        <w:jc w:val="right"/>
      </w:pPr>
      <w:r>
        <w:t>созданных на базе цифровых платформ,</w:t>
      </w:r>
    </w:p>
    <w:p w:rsidR="00530632" w:rsidRDefault="00530632">
      <w:pPr>
        <w:pStyle w:val="ConsPlusNormal"/>
        <w:jc w:val="right"/>
      </w:pPr>
      <w:r>
        <w:t>в организациях, осуществляющих</w:t>
      </w:r>
    </w:p>
    <w:p w:rsidR="00530632" w:rsidRDefault="00530632">
      <w:pPr>
        <w:pStyle w:val="ConsPlusNormal"/>
        <w:jc w:val="right"/>
      </w:pPr>
      <w:r>
        <w:lastRenderedPageBreak/>
        <w:t>образовательную деятельность</w:t>
      </w:r>
    </w:p>
    <w:p w:rsidR="00530632" w:rsidRDefault="00530632">
      <w:pPr>
        <w:pStyle w:val="ConsPlusNormal"/>
        <w:jc w:val="right"/>
      </w:pPr>
      <w:r>
        <w:t>по образовательным программам</w:t>
      </w:r>
    </w:p>
    <w:p w:rsidR="00530632" w:rsidRDefault="00530632">
      <w:pPr>
        <w:pStyle w:val="ConsPlusNormal"/>
        <w:jc w:val="right"/>
      </w:pPr>
      <w:r>
        <w:t>высшего образования</w:t>
      </w: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Title"/>
        <w:jc w:val="center"/>
      </w:pPr>
      <w:bookmarkStart w:id="16" w:name="P272"/>
      <w:bookmarkEnd w:id="16"/>
      <w:r>
        <w:t>МЕТОДИКА</w:t>
      </w:r>
    </w:p>
    <w:p w:rsidR="00530632" w:rsidRDefault="00530632">
      <w:pPr>
        <w:pStyle w:val="ConsPlusTitle"/>
        <w:jc w:val="center"/>
      </w:pPr>
      <w:r>
        <w:t>ОЦЕНКИ ЗАЯВОК НА УЧАСТИЕ В КОНКУРСЕ</w:t>
      </w:r>
    </w:p>
    <w:p w:rsidR="00530632" w:rsidRDefault="00530632">
      <w:pPr>
        <w:pStyle w:val="ConsPlusTitle"/>
        <w:jc w:val="center"/>
      </w:pPr>
      <w:r>
        <w:t>НА ПРЕДОСТАВЛЕНИЕ ГРАНТОВ В ФОРМЕ СУБСИДИЙ</w:t>
      </w:r>
    </w:p>
    <w:p w:rsidR="00530632" w:rsidRDefault="00530632">
      <w:pPr>
        <w:pStyle w:val="ConsPlusTitle"/>
        <w:jc w:val="center"/>
      </w:pPr>
      <w:r>
        <w:t>ИЗ ФЕДЕРАЛЬНОГО БЮДЖЕТА ЮРИДИЧЕСКИМ ЛИЦАМ НА РЕАЛИЗАЦИЮ</w:t>
      </w:r>
    </w:p>
    <w:p w:rsidR="00530632" w:rsidRDefault="00530632">
      <w:pPr>
        <w:pStyle w:val="ConsPlusTitle"/>
        <w:jc w:val="center"/>
      </w:pPr>
      <w:r>
        <w:t>МЕРОПРИЯТИЙ ПО ВНЕДРЕНИЮ КОМПЛЕКСОВ ЦИФРОВЫХ СЕРВИСОВ</w:t>
      </w:r>
    </w:p>
    <w:p w:rsidR="00530632" w:rsidRDefault="00530632">
      <w:pPr>
        <w:pStyle w:val="ConsPlusTitle"/>
        <w:jc w:val="center"/>
      </w:pPr>
      <w:r>
        <w:t>И РЕШЕНИЙ, СОЗДАННЫХ НА БАЗЕ ЦИФРОВЫХ ПЛАТФОРМ,</w:t>
      </w:r>
    </w:p>
    <w:p w:rsidR="00530632" w:rsidRDefault="00530632">
      <w:pPr>
        <w:pStyle w:val="ConsPlusTitle"/>
        <w:jc w:val="center"/>
      </w:pPr>
      <w:r>
        <w:t>В ОРГАНИЗАЦИЯХ, ОСУЩЕСТВЛЯЮЩИХ ОБРАЗОВАТЕЛЬНУЮ</w:t>
      </w:r>
    </w:p>
    <w:p w:rsidR="00530632" w:rsidRDefault="00530632">
      <w:pPr>
        <w:pStyle w:val="ConsPlusTitle"/>
        <w:jc w:val="center"/>
      </w:pPr>
      <w:r>
        <w:t>ДЕЯТЕЛЬНОСТЬ ПО ОБРАЗОВАТЕЛЬНЫМ ПРОГРАММАМ</w:t>
      </w:r>
    </w:p>
    <w:p w:rsidR="00530632" w:rsidRDefault="00530632">
      <w:pPr>
        <w:pStyle w:val="ConsPlusTitle"/>
        <w:jc w:val="center"/>
      </w:pPr>
      <w:r>
        <w:t>ВЫСШЕГО ОБРАЗОВАНИЯ</w:t>
      </w: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ind w:firstLine="540"/>
        <w:jc w:val="both"/>
      </w:pPr>
      <w:r>
        <w:t>1. В целях определения победителей конкурса на предоставление грантов в форме субсидий из федерального бюджета юридическим лицам на реализацию мероприятий по внедрению комплексов цифровых сервисов и решений, созданных на базе цифровых платформ, в организациях, осуществляющих образовательную деятельность по образовательным программам высшего образования, формируется рейтинг заявок для участия в конкурсе (далее соответственно - цифровые сервисы и решения, организации, заявка).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2. Рейтинг заявок формируется путем подсчета общего количества баллов, присвоенных заявке, по каждому из критериев отбора участников конкурса, установленных </w:t>
      </w:r>
      <w:hyperlink w:anchor="P166" w:history="1">
        <w:r>
          <w:rPr>
            <w:color w:val="0000FF"/>
          </w:rPr>
          <w:t>пунктом 23</w:t>
        </w:r>
      </w:hyperlink>
      <w:r>
        <w:t xml:space="preserve"> Правил предоставления грантов в форме субсидий из федерального бюджета юридическим лицам на реализацию мероприятий по внедрению комплексов цифровых сервисов и решений, созданных на базе цифровых платформ, в организациях, осуществляющих образовательную деятельность по образовательным программам высшего образования, утвержденных постановлением Правительства Российской Федерации от 21 июня 2021 г. N 948 "Об утверждении Правил предоставления грантов в форме субсидий из федерального бюджета юридическим лицам на реализацию мероприятий по внедрению комплексов цифровых сервисов и решений, созданных на базе цифровых платформ, в организациях, осуществляющих образовательную деятельность по образовательным программам высшего образования" (далее соответственно - критерии, Правила).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 xml:space="preserve">3. Для каждого из критериев определены характеристики, в разрезе которых проводится оценка, соответствующие этим характеристикам перечни показателей, а также </w:t>
      </w:r>
      <w:proofErr w:type="spellStart"/>
      <w:r>
        <w:t>критериальные</w:t>
      </w:r>
      <w:proofErr w:type="spellEnd"/>
      <w:r>
        <w:t xml:space="preserve"> значения в баллах и вес в процентах.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4. Критерии и показатели оценки:</w:t>
      </w: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Title"/>
        <w:ind w:firstLine="540"/>
        <w:jc w:val="both"/>
        <w:outlineLvl w:val="2"/>
      </w:pPr>
      <w:r>
        <w:t>Критерий 1. Степень детализации и проработки проекта по созданию и внедрению продукта консорциума в организациях (далее - проект) - S</w:t>
      </w:r>
      <w:r>
        <w:rPr>
          <w:vertAlign w:val="subscript"/>
        </w:rPr>
        <w:t>1</w:t>
      </w:r>
      <w:r>
        <w:t>:</w:t>
      </w:r>
    </w:p>
    <w:p w:rsidR="00530632" w:rsidRDefault="0053063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4"/>
        <w:gridCol w:w="5371"/>
        <w:gridCol w:w="1406"/>
        <w:gridCol w:w="1417"/>
      </w:tblGrid>
      <w:tr w:rsidR="00530632">
        <w:tc>
          <w:tcPr>
            <w:tcW w:w="62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30632" w:rsidRDefault="00530632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:rsidR="00530632" w:rsidRDefault="00530632">
            <w:pPr>
              <w:pStyle w:val="ConsPlusNormal"/>
              <w:jc w:val="center"/>
            </w:pPr>
            <w:r>
              <w:t>Диапазон, баллов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30632" w:rsidRDefault="00530632">
            <w:pPr>
              <w:pStyle w:val="ConsPlusNormal"/>
              <w:jc w:val="center"/>
            </w:pPr>
            <w:r>
              <w:t xml:space="preserve">Вес </w:t>
            </w:r>
            <w:proofErr w:type="spellStart"/>
            <w:r>
              <w:t>W</w:t>
            </w:r>
            <w:r>
              <w:rPr>
                <w:vertAlign w:val="subscript"/>
              </w:rPr>
              <w:t>j</w:t>
            </w:r>
            <w:proofErr w:type="spellEnd"/>
            <w:r>
              <w:t>, процентов</w:t>
            </w:r>
          </w:p>
        </w:tc>
      </w:tr>
      <w:tr w:rsidR="00530632">
        <w:tblPrEx>
          <w:tblBorders>
            <w:insideH w:val="none" w:sz="0" w:space="0" w:color="auto"/>
          </w:tblBorders>
        </w:tblPrEx>
        <w:tc>
          <w:tcPr>
            <w:tcW w:w="854" w:type="dxa"/>
            <w:tcBorders>
              <w:top w:val="single" w:sz="4" w:space="0" w:color="auto"/>
              <w:bottom w:val="nil"/>
            </w:tcBorders>
          </w:tcPr>
          <w:p w:rsidR="00530632" w:rsidRDefault="00530632">
            <w:pPr>
              <w:pStyle w:val="ConsPlusNormal"/>
              <w:jc w:val="center"/>
            </w:pPr>
            <w:r>
              <w:t>К1.1</w:t>
            </w:r>
          </w:p>
        </w:tc>
        <w:tc>
          <w:tcPr>
            <w:tcW w:w="5371" w:type="dxa"/>
            <w:tcBorders>
              <w:top w:val="single" w:sz="4" w:space="0" w:color="auto"/>
              <w:bottom w:val="nil"/>
            </w:tcBorders>
          </w:tcPr>
          <w:p w:rsidR="00530632" w:rsidRDefault="00530632">
            <w:pPr>
              <w:pStyle w:val="ConsPlusNormal"/>
            </w:pPr>
            <w:r>
              <w:t>Степень детализации и проработки плана-графика реализации проекта</w:t>
            </w:r>
          </w:p>
        </w:tc>
        <w:tc>
          <w:tcPr>
            <w:tcW w:w="1406" w:type="dxa"/>
            <w:tcBorders>
              <w:top w:val="single" w:sz="4" w:space="0" w:color="auto"/>
              <w:bottom w:val="nil"/>
            </w:tcBorders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0 - 20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15</w:t>
            </w:r>
          </w:p>
        </w:tc>
      </w:tr>
      <w:tr w:rsidR="00530632">
        <w:tblPrEx>
          <w:tblBorders>
            <w:insideH w:val="none" w:sz="0" w:space="0" w:color="auto"/>
          </w:tblBorders>
        </w:tblPrEx>
        <w:tc>
          <w:tcPr>
            <w:tcW w:w="854" w:type="dxa"/>
            <w:tcBorders>
              <w:top w:val="nil"/>
              <w:bottom w:val="nil"/>
            </w:tcBorders>
          </w:tcPr>
          <w:p w:rsidR="00530632" w:rsidRDefault="00530632">
            <w:pPr>
              <w:pStyle w:val="ConsPlusNormal"/>
              <w:jc w:val="center"/>
            </w:pPr>
            <w:r>
              <w:t>К1.2</w:t>
            </w:r>
          </w:p>
        </w:tc>
        <w:tc>
          <w:tcPr>
            <w:tcW w:w="5371" w:type="dxa"/>
            <w:tcBorders>
              <w:top w:val="nil"/>
              <w:bottom w:val="nil"/>
            </w:tcBorders>
          </w:tcPr>
          <w:p w:rsidR="00530632" w:rsidRDefault="00530632">
            <w:pPr>
              <w:pStyle w:val="ConsPlusNormal"/>
            </w:pPr>
            <w:r>
              <w:t>Степень детализации и обоснованности финансового обеспечения (сметы) проекта с учетом соответствия целям, задачам и целевым показателям проекта</w:t>
            </w:r>
          </w:p>
        </w:tc>
        <w:tc>
          <w:tcPr>
            <w:tcW w:w="1406" w:type="dxa"/>
            <w:tcBorders>
              <w:top w:val="nil"/>
              <w:bottom w:val="nil"/>
            </w:tcBorders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0 - 20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15</w:t>
            </w:r>
          </w:p>
        </w:tc>
      </w:tr>
      <w:tr w:rsidR="00530632">
        <w:tblPrEx>
          <w:tblBorders>
            <w:insideH w:val="none" w:sz="0" w:space="0" w:color="auto"/>
          </w:tblBorders>
        </w:tblPrEx>
        <w:tc>
          <w:tcPr>
            <w:tcW w:w="854" w:type="dxa"/>
            <w:tcBorders>
              <w:top w:val="nil"/>
              <w:bottom w:val="nil"/>
            </w:tcBorders>
          </w:tcPr>
          <w:p w:rsidR="00530632" w:rsidRDefault="00530632">
            <w:pPr>
              <w:pStyle w:val="ConsPlusNormal"/>
              <w:jc w:val="center"/>
            </w:pPr>
            <w:r>
              <w:t>К1.3</w:t>
            </w:r>
          </w:p>
        </w:tc>
        <w:tc>
          <w:tcPr>
            <w:tcW w:w="5371" w:type="dxa"/>
            <w:tcBorders>
              <w:top w:val="nil"/>
              <w:bottom w:val="nil"/>
            </w:tcBorders>
          </w:tcPr>
          <w:p w:rsidR="00530632" w:rsidRDefault="00530632">
            <w:pPr>
              <w:pStyle w:val="ConsPlusNormal"/>
            </w:pPr>
            <w:proofErr w:type="spellStart"/>
            <w:r>
              <w:t>Инновационность</w:t>
            </w:r>
            <w:proofErr w:type="spellEnd"/>
            <w:r>
              <w:t xml:space="preserve"> и конкурентоспособность продукта консорциума, предлагаемого к созданию в рамках </w:t>
            </w:r>
            <w:r>
              <w:lastRenderedPageBreak/>
              <w:t>реализации проекта, в том числе полнота и актуальность аналитического отчета</w:t>
            </w:r>
          </w:p>
        </w:tc>
        <w:tc>
          <w:tcPr>
            <w:tcW w:w="1406" w:type="dxa"/>
            <w:tcBorders>
              <w:top w:val="nil"/>
              <w:bottom w:val="nil"/>
            </w:tcBorders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lastRenderedPageBreak/>
              <w:t>0 - 10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6</w:t>
            </w:r>
          </w:p>
        </w:tc>
      </w:tr>
      <w:tr w:rsidR="00530632">
        <w:tblPrEx>
          <w:tblBorders>
            <w:insideH w:val="none" w:sz="0" w:space="0" w:color="auto"/>
          </w:tblBorders>
        </w:tblPrEx>
        <w:tc>
          <w:tcPr>
            <w:tcW w:w="854" w:type="dxa"/>
            <w:tcBorders>
              <w:top w:val="nil"/>
              <w:bottom w:val="nil"/>
            </w:tcBorders>
          </w:tcPr>
          <w:p w:rsidR="00530632" w:rsidRDefault="00530632">
            <w:pPr>
              <w:pStyle w:val="ConsPlusNormal"/>
              <w:jc w:val="center"/>
            </w:pPr>
            <w:r>
              <w:lastRenderedPageBreak/>
              <w:t>К1.4</w:t>
            </w:r>
          </w:p>
        </w:tc>
        <w:tc>
          <w:tcPr>
            <w:tcW w:w="5371" w:type="dxa"/>
            <w:tcBorders>
              <w:top w:val="nil"/>
              <w:bottom w:val="nil"/>
            </w:tcBorders>
          </w:tcPr>
          <w:p w:rsidR="00530632" w:rsidRDefault="00530632">
            <w:pPr>
              <w:pStyle w:val="ConsPlusNormal"/>
            </w:pPr>
            <w:r>
              <w:t>Актуальность реализации проекта с учетом ориентации на решение реальных задач и проблем в деятельности организаций</w:t>
            </w:r>
          </w:p>
        </w:tc>
        <w:tc>
          <w:tcPr>
            <w:tcW w:w="1406" w:type="dxa"/>
            <w:tcBorders>
              <w:top w:val="nil"/>
              <w:bottom w:val="nil"/>
            </w:tcBorders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0 - 10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5</w:t>
            </w:r>
          </w:p>
        </w:tc>
      </w:tr>
      <w:tr w:rsidR="00530632">
        <w:tblPrEx>
          <w:tblBorders>
            <w:insideH w:val="none" w:sz="0" w:space="0" w:color="auto"/>
          </w:tblBorders>
        </w:tblPrEx>
        <w:tc>
          <w:tcPr>
            <w:tcW w:w="854" w:type="dxa"/>
            <w:tcBorders>
              <w:top w:val="nil"/>
              <w:bottom w:val="nil"/>
            </w:tcBorders>
          </w:tcPr>
          <w:p w:rsidR="00530632" w:rsidRDefault="00530632">
            <w:pPr>
              <w:pStyle w:val="ConsPlusNormal"/>
              <w:jc w:val="center"/>
            </w:pPr>
            <w:r>
              <w:t>К1.5</w:t>
            </w:r>
          </w:p>
        </w:tc>
        <w:tc>
          <w:tcPr>
            <w:tcW w:w="5371" w:type="dxa"/>
            <w:tcBorders>
              <w:top w:val="nil"/>
              <w:bottom w:val="nil"/>
            </w:tcBorders>
          </w:tcPr>
          <w:p w:rsidR="00530632" w:rsidRDefault="00530632">
            <w:pPr>
              <w:pStyle w:val="ConsPlusNormal"/>
            </w:pPr>
            <w:r>
              <w:t>Удельная эффективность расходования бюджетных средств при реализации проекта (коммерческий потенциал продукта консорциума, предлагаемого к созданию в рамках проекта)</w:t>
            </w:r>
          </w:p>
        </w:tc>
        <w:tc>
          <w:tcPr>
            <w:tcW w:w="1406" w:type="dxa"/>
            <w:tcBorders>
              <w:top w:val="nil"/>
              <w:bottom w:val="nil"/>
            </w:tcBorders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0 - 5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4</w:t>
            </w:r>
          </w:p>
        </w:tc>
      </w:tr>
      <w:tr w:rsidR="00530632">
        <w:tblPrEx>
          <w:tblBorders>
            <w:insideH w:val="none" w:sz="0" w:space="0" w:color="auto"/>
          </w:tblBorders>
        </w:tblPrEx>
        <w:tc>
          <w:tcPr>
            <w:tcW w:w="854" w:type="dxa"/>
            <w:tcBorders>
              <w:top w:val="nil"/>
              <w:bottom w:val="single" w:sz="4" w:space="0" w:color="auto"/>
            </w:tcBorders>
          </w:tcPr>
          <w:p w:rsidR="00530632" w:rsidRDefault="00530632">
            <w:pPr>
              <w:pStyle w:val="ConsPlusNormal"/>
              <w:jc w:val="center"/>
            </w:pPr>
            <w:r>
              <w:t>К1.6</w:t>
            </w:r>
          </w:p>
        </w:tc>
        <w:tc>
          <w:tcPr>
            <w:tcW w:w="5371" w:type="dxa"/>
            <w:tcBorders>
              <w:top w:val="nil"/>
              <w:bottom w:val="single" w:sz="4" w:space="0" w:color="auto"/>
            </w:tcBorders>
          </w:tcPr>
          <w:p w:rsidR="00530632" w:rsidRDefault="00530632">
            <w:pPr>
              <w:pStyle w:val="ConsPlusNormal"/>
            </w:pPr>
            <w:r>
              <w:t>В продукте консорциума, предлагаемого к созданию в рамках проекта, используются "сквозные" цифровые технологии</w:t>
            </w:r>
          </w:p>
        </w:tc>
        <w:tc>
          <w:tcPr>
            <w:tcW w:w="1406" w:type="dxa"/>
            <w:tcBorders>
              <w:top w:val="nil"/>
              <w:bottom w:val="single" w:sz="4" w:space="0" w:color="auto"/>
            </w:tcBorders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0 - 2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2</w:t>
            </w:r>
          </w:p>
        </w:tc>
      </w:tr>
    </w:tbl>
    <w:p w:rsidR="00530632" w:rsidRDefault="00530632">
      <w:pPr>
        <w:pStyle w:val="ConsPlusNormal"/>
        <w:jc w:val="both"/>
      </w:pPr>
    </w:p>
    <w:p w:rsidR="00530632" w:rsidRDefault="00530632">
      <w:pPr>
        <w:pStyle w:val="ConsPlusTitle"/>
        <w:ind w:firstLine="540"/>
        <w:jc w:val="both"/>
        <w:outlineLvl w:val="2"/>
      </w:pPr>
      <w:r>
        <w:t>Критерий 2. Квалификация участника конкурса, в том числе кадровые, материально-технические, организационные ресурсы, а также квалификация научно-образовательных партнеров консорциума - S</w:t>
      </w:r>
      <w:r>
        <w:rPr>
          <w:vertAlign w:val="subscript"/>
        </w:rPr>
        <w:t>2</w:t>
      </w:r>
      <w:r>
        <w:t>:</w:t>
      </w:r>
    </w:p>
    <w:p w:rsidR="00530632" w:rsidRDefault="0053063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4"/>
        <w:gridCol w:w="5371"/>
        <w:gridCol w:w="1406"/>
        <w:gridCol w:w="1417"/>
      </w:tblGrid>
      <w:tr w:rsidR="00530632">
        <w:tc>
          <w:tcPr>
            <w:tcW w:w="6225" w:type="dxa"/>
            <w:gridSpan w:val="2"/>
          </w:tcPr>
          <w:p w:rsidR="00530632" w:rsidRDefault="00530632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06" w:type="dxa"/>
          </w:tcPr>
          <w:p w:rsidR="00530632" w:rsidRDefault="00530632">
            <w:pPr>
              <w:pStyle w:val="ConsPlusNormal"/>
              <w:jc w:val="center"/>
            </w:pPr>
            <w:r>
              <w:t>Диапазон, баллов</w:t>
            </w:r>
          </w:p>
        </w:tc>
        <w:tc>
          <w:tcPr>
            <w:tcW w:w="1417" w:type="dxa"/>
          </w:tcPr>
          <w:p w:rsidR="00530632" w:rsidRDefault="00530632">
            <w:pPr>
              <w:pStyle w:val="ConsPlusNormal"/>
              <w:jc w:val="center"/>
            </w:pPr>
            <w:r>
              <w:t xml:space="preserve">Вес </w:t>
            </w:r>
            <w:proofErr w:type="spellStart"/>
            <w:r>
              <w:t>W</w:t>
            </w:r>
            <w:r>
              <w:rPr>
                <w:vertAlign w:val="subscript"/>
              </w:rPr>
              <w:t>j</w:t>
            </w:r>
            <w:proofErr w:type="spellEnd"/>
            <w:r>
              <w:t>, процентов</w:t>
            </w:r>
          </w:p>
        </w:tc>
      </w:tr>
      <w:tr w:rsidR="00530632">
        <w:tc>
          <w:tcPr>
            <w:tcW w:w="854" w:type="dxa"/>
          </w:tcPr>
          <w:p w:rsidR="00530632" w:rsidRDefault="00530632">
            <w:pPr>
              <w:pStyle w:val="ConsPlusNormal"/>
              <w:jc w:val="center"/>
            </w:pPr>
            <w:r>
              <w:t>К2.1</w:t>
            </w:r>
          </w:p>
        </w:tc>
        <w:tc>
          <w:tcPr>
            <w:tcW w:w="5371" w:type="dxa"/>
          </w:tcPr>
          <w:p w:rsidR="00530632" w:rsidRDefault="00530632">
            <w:pPr>
              <w:pStyle w:val="ConsPlusNormal"/>
            </w:pPr>
            <w:r>
              <w:t>Опыт и ресурсы участника конкурса в части создания и внедрения программных, программно-аппаратных средств (продуктов), в том числе в интересах Организаций</w:t>
            </w:r>
          </w:p>
        </w:tc>
        <w:tc>
          <w:tcPr>
            <w:tcW w:w="1406" w:type="dxa"/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0 - 10</w:t>
            </w:r>
          </w:p>
        </w:tc>
        <w:tc>
          <w:tcPr>
            <w:tcW w:w="1417" w:type="dxa"/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15</w:t>
            </w:r>
          </w:p>
        </w:tc>
      </w:tr>
      <w:tr w:rsidR="00530632">
        <w:tc>
          <w:tcPr>
            <w:tcW w:w="854" w:type="dxa"/>
          </w:tcPr>
          <w:p w:rsidR="00530632" w:rsidRDefault="00530632">
            <w:pPr>
              <w:pStyle w:val="ConsPlusNormal"/>
              <w:jc w:val="center"/>
            </w:pPr>
            <w:r>
              <w:t>К2.2</w:t>
            </w:r>
          </w:p>
        </w:tc>
        <w:tc>
          <w:tcPr>
            <w:tcW w:w="5371" w:type="dxa"/>
          </w:tcPr>
          <w:p w:rsidR="00530632" w:rsidRDefault="00530632">
            <w:pPr>
              <w:pStyle w:val="ConsPlusNormal"/>
            </w:pPr>
            <w:r>
              <w:t>Квалификация, а также степень региональной и отраслевой представленности научно-образовательных партнеров консорциума, технологическим партнером которого является участник конкурса</w:t>
            </w:r>
          </w:p>
        </w:tc>
        <w:tc>
          <w:tcPr>
            <w:tcW w:w="1406" w:type="dxa"/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0 - 10</w:t>
            </w:r>
          </w:p>
        </w:tc>
        <w:tc>
          <w:tcPr>
            <w:tcW w:w="1417" w:type="dxa"/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15</w:t>
            </w:r>
          </w:p>
        </w:tc>
      </w:tr>
    </w:tbl>
    <w:p w:rsidR="00530632" w:rsidRDefault="00530632">
      <w:pPr>
        <w:pStyle w:val="ConsPlusNormal"/>
        <w:jc w:val="both"/>
      </w:pPr>
    </w:p>
    <w:p w:rsidR="00530632" w:rsidRDefault="00530632">
      <w:pPr>
        <w:pStyle w:val="ConsPlusTitle"/>
        <w:ind w:firstLine="540"/>
        <w:jc w:val="both"/>
        <w:outlineLvl w:val="2"/>
      </w:pPr>
      <w:r>
        <w:t xml:space="preserve">Критерий 3. </w:t>
      </w:r>
      <w:proofErr w:type="spellStart"/>
      <w:r>
        <w:t>Тиражируемость</w:t>
      </w:r>
      <w:proofErr w:type="spellEnd"/>
      <w:r>
        <w:t xml:space="preserve"> продукта консорциума в рамках реализации проекта - S</w:t>
      </w:r>
      <w:r>
        <w:rPr>
          <w:vertAlign w:val="subscript"/>
        </w:rPr>
        <w:t>3</w:t>
      </w:r>
      <w:r>
        <w:t>:</w:t>
      </w:r>
    </w:p>
    <w:p w:rsidR="00530632" w:rsidRDefault="0053063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4"/>
        <w:gridCol w:w="5371"/>
        <w:gridCol w:w="1406"/>
        <w:gridCol w:w="1417"/>
      </w:tblGrid>
      <w:tr w:rsidR="00530632">
        <w:tc>
          <w:tcPr>
            <w:tcW w:w="6225" w:type="dxa"/>
            <w:gridSpan w:val="2"/>
          </w:tcPr>
          <w:p w:rsidR="00530632" w:rsidRDefault="00530632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06" w:type="dxa"/>
          </w:tcPr>
          <w:p w:rsidR="00530632" w:rsidRDefault="00530632">
            <w:pPr>
              <w:pStyle w:val="ConsPlusNormal"/>
              <w:jc w:val="center"/>
            </w:pPr>
            <w:r>
              <w:t>Диапазон, баллов</w:t>
            </w:r>
          </w:p>
        </w:tc>
        <w:tc>
          <w:tcPr>
            <w:tcW w:w="1417" w:type="dxa"/>
          </w:tcPr>
          <w:p w:rsidR="00530632" w:rsidRDefault="00530632">
            <w:pPr>
              <w:pStyle w:val="ConsPlusNormal"/>
              <w:jc w:val="center"/>
            </w:pPr>
            <w:r>
              <w:t xml:space="preserve">Вес </w:t>
            </w:r>
            <w:proofErr w:type="spellStart"/>
            <w:r>
              <w:t>W</w:t>
            </w:r>
            <w:r>
              <w:rPr>
                <w:vertAlign w:val="subscript"/>
              </w:rPr>
              <w:t>j</w:t>
            </w:r>
            <w:proofErr w:type="spellEnd"/>
            <w:r>
              <w:t>, процентов</w:t>
            </w:r>
          </w:p>
        </w:tc>
      </w:tr>
      <w:tr w:rsidR="00530632">
        <w:tc>
          <w:tcPr>
            <w:tcW w:w="854" w:type="dxa"/>
          </w:tcPr>
          <w:p w:rsidR="00530632" w:rsidRDefault="00530632">
            <w:pPr>
              <w:pStyle w:val="ConsPlusNormal"/>
              <w:jc w:val="center"/>
            </w:pPr>
            <w:r>
              <w:t>К3.1</w:t>
            </w:r>
          </w:p>
        </w:tc>
        <w:tc>
          <w:tcPr>
            <w:tcW w:w="5371" w:type="dxa"/>
          </w:tcPr>
          <w:p w:rsidR="00530632" w:rsidRDefault="00530632">
            <w:pPr>
              <w:pStyle w:val="ConsPlusNormal"/>
            </w:pPr>
            <w:r>
              <w:t>Правовые, организационные и технологические условия реализации проекта, обеспечивающие возможность дальнейшего тиражирования продукта консорциума, предлагаемого к созданию в рамках проекта, для организаций</w:t>
            </w:r>
          </w:p>
        </w:tc>
        <w:tc>
          <w:tcPr>
            <w:tcW w:w="1406" w:type="dxa"/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0 - 2</w:t>
            </w:r>
          </w:p>
        </w:tc>
        <w:tc>
          <w:tcPr>
            <w:tcW w:w="1417" w:type="dxa"/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15</w:t>
            </w:r>
          </w:p>
        </w:tc>
      </w:tr>
      <w:tr w:rsidR="00530632">
        <w:tc>
          <w:tcPr>
            <w:tcW w:w="854" w:type="dxa"/>
          </w:tcPr>
          <w:p w:rsidR="00530632" w:rsidRDefault="00530632">
            <w:pPr>
              <w:pStyle w:val="ConsPlusNormal"/>
              <w:jc w:val="center"/>
            </w:pPr>
            <w:r>
              <w:t>К3.2</w:t>
            </w:r>
          </w:p>
        </w:tc>
        <w:tc>
          <w:tcPr>
            <w:tcW w:w="5371" w:type="dxa"/>
          </w:tcPr>
          <w:p w:rsidR="00530632" w:rsidRDefault="00530632">
            <w:pPr>
              <w:pStyle w:val="ConsPlusNormal"/>
            </w:pPr>
            <w:r>
              <w:t>Обязательства участника конкурса по количеству организаций, на базе которых будет внедрен продукт консорциума, предлагаемого к созданию в рамках проекта (не менее 50 организаций)</w:t>
            </w:r>
          </w:p>
        </w:tc>
        <w:tc>
          <w:tcPr>
            <w:tcW w:w="1406" w:type="dxa"/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0 - 10</w:t>
            </w:r>
          </w:p>
        </w:tc>
        <w:tc>
          <w:tcPr>
            <w:tcW w:w="1417" w:type="dxa"/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3</w:t>
            </w:r>
          </w:p>
        </w:tc>
      </w:tr>
    </w:tbl>
    <w:p w:rsidR="00530632" w:rsidRDefault="00530632">
      <w:pPr>
        <w:pStyle w:val="ConsPlusNormal"/>
        <w:jc w:val="both"/>
      </w:pPr>
    </w:p>
    <w:p w:rsidR="00530632" w:rsidRDefault="00530632">
      <w:pPr>
        <w:pStyle w:val="ConsPlusTitle"/>
        <w:ind w:firstLine="540"/>
        <w:jc w:val="both"/>
        <w:outlineLvl w:val="2"/>
      </w:pPr>
      <w:r>
        <w:t xml:space="preserve">Критерий 4. Объем </w:t>
      </w:r>
      <w:proofErr w:type="spellStart"/>
      <w:r>
        <w:t>софинансирования</w:t>
      </w:r>
      <w:proofErr w:type="spellEnd"/>
      <w:r>
        <w:t xml:space="preserve"> проекта за счет внебюджетных источников - S</w:t>
      </w:r>
      <w:r>
        <w:rPr>
          <w:vertAlign w:val="subscript"/>
        </w:rPr>
        <w:t>5</w:t>
      </w:r>
      <w:r>
        <w:t>:</w:t>
      </w:r>
    </w:p>
    <w:p w:rsidR="00530632" w:rsidRDefault="0053063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4"/>
        <w:gridCol w:w="5371"/>
        <w:gridCol w:w="1406"/>
        <w:gridCol w:w="1417"/>
      </w:tblGrid>
      <w:tr w:rsidR="00530632">
        <w:tc>
          <w:tcPr>
            <w:tcW w:w="6225" w:type="dxa"/>
            <w:gridSpan w:val="2"/>
          </w:tcPr>
          <w:p w:rsidR="00530632" w:rsidRDefault="00530632">
            <w:pPr>
              <w:pStyle w:val="ConsPlusNormal"/>
              <w:jc w:val="center"/>
            </w:pPr>
            <w:r>
              <w:lastRenderedPageBreak/>
              <w:t>Наименование показателя</w:t>
            </w:r>
          </w:p>
        </w:tc>
        <w:tc>
          <w:tcPr>
            <w:tcW w:w="1406" w:type="dxa"/>
          </w:tcPr>
          <w:p w:rsidR="00530632" w:rsidRDefault="00530632">
            <w:pPr>
              <w:pStyle w:val="ConsPlusNormal"/>
              <w:jc w:val="center"/>
            </w:pPr>
            <w:r>
              <w:t>Диапазон, баллов</w:t>
            </w:r>
          </w:p>
        </w:tc>
        <w:tc>
          <w:tcPr>
            <w:tcW w:w="1417" w:type="dxa"/>
          </w:tcPr>
          <w:p w:rsidR="00530632" w:rsidRDefault="00530632">
            <w:pPr>
              <w:pStyle w:val="ConsPlusNormal"/>
              <w:jc w:val="center"/>
            </w:pPr>
            <w:r>
              <w:t xml:space="preserve">Вес </w:t>
            </w:r>
            <w:proofErr w:type="spellStart"/>
            <w:r>
              <w:t>W</w:t>
            </w:r>
            <w:r>
              <w:rPr>
                <w:vertAlign w:val="subscript"/>
              </w:rPr>
              <w:t>j</w:t>
            </w:r>
            <w:proofErr w:type="spellEnd"/>
            <w:r>
              <w:t>, процентов</w:t>
            </w:r>
          </w:p>
        </w:tc>
      </w:tr>
      <w:tr w:rsidR="00530632">
        <w:tc>
          <w:tcPr>
            <w:tcW w:w="854" w:type="dxa"/>
          </w:tcPr>
          <w:p w:rsidR="00530632" w:rsidRDefault="00530632">
            <w:pPr>
              <w:pStyle w:val="ConsPlusNormal"/>
              <w:jc w:val="center"/>
            </w:pPr>
            <w:r>
              <w:t>К4.1</w:t>
            </w:r>
          </w:p>
        </w:tc>
        <w:tc>
          <w:tcPr>
            <w:tcW w:w="5371" w:type="dxa"/>
            <w:vAlign w:val="bottom"/>
          </w:tcPr>
          <w:p w:rsidR="00530632" w:rsidRDefault="00530632">
            <w:pPr>
              <w:pStyle w:val="ConsPlusNormal"/>
            </w:pPr>
            <w:r>
              <w:t>Доля внебюджетного финансирования (не менее 30 процентов от общей стоимости проекта)</w:t>
            </w:r>
          </w:p>
        </w:tc>
        <w:tc>
          <w:tcPr>
            <w:tcW w:w="1406" w:type="dxa"/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0 - 5</w:t>
            </w:r>
          </w:p>
        </w:tc>
        <w:tc>
          <w:tcPr>
            <w:tcW w:w="1417" w:type="dxa"/>
            <w:vAlign w:val="center"/>
          </w:tcPr>
          <w:p w:rsidR="00530632" w:rsidRDefault="00530632">
            <w:pPr>
              <w:pStyle w:val="ConsPlusNormal"/>
              <w:jc w:val="center"/>
            </w:pPr>
            <w:r>
              <w:t>5</w:t>
            </w:r>
          </w:p>
        </w:tc>
      </w:tr>
    </w:tbl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ind w:firstLine="540"/>
        <w:jc w:val="both"/>
      </w:pPr>
      <w:r>
        <w:t xml:space="preserve">5. Оценка каждой заявки осуществляется по соответствующему направлению, указанному в </w:t>
      </w:r>
      <w:hyperlink w:anchor="P49" w:history="1">
        <w:r>
          <w:rPr>
            <w:color w:val="0000FF"/>
          </w:rPr>
          <w:t>пункте 4</w:t>
        </w:r>
      </w:hyperlink>
      <w:r>
        <w:t xml:space="preserve"> Правил, в соответствии с установленными критериями по формуле:</w:t>
      </w:r>
    </w:p>
    <w:p w:rsidR="00530632" w:rsidRDefault="00530632">
      <w:pPr>
        <w:pStyle w:val="ConsPlusNormal"/>
        <w:jc w:val="both"/>
      </w:pPr>
    </w:p>
    <w:p w:rsidR="00530632" w:rsidRPr="00530632" w:rsidRDefault="00530632">
      <w:pPr>
        <w:pStyle w:val="ConsPlusNormal"/>
        <w:jc w:val="center"/>
        <w:rPr>
          <w:lang w:val="en-US"/>
        </w:rPr>
      </w:pPr>
      <w:r w:rsidRPr="00530632">
        <w:rPr>
          <w:lang w:val="en-US"/>
        </w:rPr>
        <w:t>S</w:t>
      </w:r>
      <w:r w:rsidRPr="00530632">
        <w:rPr>
          <w:vertAlign w:val="subscript"/>
          <w:lang w:val="en-US"/>
        </w:rPr>
        <w:t>0i</w:t>
      </w:r>
      <w:r w:rsidRPr="00530632">
        <w:rPr>
          <w:lang w:val="en-US"/>
        </w:rPr>
        <w:t xml:space="preserve"> = S</w:t>
      </w:r>
      <w:r w:rsidRPr="00530632">
        <w:rPr>
          <w:vertAlign w:val="subscript"/>
          <w:lang w:val="en-US"/>
        </w:rPr>
        <w:t>1i</w:t>
      </w:r>
      <w:r w:rsidRPr="00530632">
        <w:rPr>
          <w:lang w:val="en-US"/>
        </w:rPr>
        <w:t xml:space="preserve"> + S</w:t>
      </w:r>
      <w:r w:rsidRPr="00530632">
        <w:rPr>
          <w:vertAlign w:val="subscript"/>
          <w:lang w:val="en-US"/>
        </w:rPr>
        <w:t>2i</w:t>
      </w:r>
      <w:r w:rsidRPr="00530632">
        <w:rPr>
          <w:lang w:val="en-US"/>
        </w:rPr>
        <w:t xml:space="preserve"> + S</w:t>
      </w:r>
      <w:r w:rsidRPr="00530632">
        <w:rPr>
          <w:vertAlign w:val="subscript"/>
          <w:lang w:val="en-US"/>
        </w:rPr>
        <w:t>3i</w:t>
      </w:r>
      <w:r w:rsidRPr="00530632">
        <w:rPr>
          <w:lang w:val="en-US"/>
        </w:rPr>
        <w:t xml:space="preserve"> + S</w:t>
      </w:r>
      <w:r w:rsidRPr="00530632">
        <w:rPr>
          <w:vertAlign w:val="subscript"/>
          <w:lang w:val="en-US"/>
        </w:rPr>
        <w:t>4i</w:t>
      </w:r>
      <w:r w:rsidRPr="00530632">
        <w:rPr>
          <w:lang w:val="en-US"/>
        </w:rPr>
        <w:t>,</w:t>
      </w:r>
    </w:p>
    <w:p w:rsidR="00530632" w:rsidRPr="00530632" w:rsidRDefault="00530632">
      <w:pPr>
        <w:pStyle w:val="ConsPlusNormal"/>
        <w:jc w:val="both"/>
        <w:rPr>
          <w:lang w:val="en-US"/>
        </w:rPr>
      </w:pPr>
    </w:p>
    <w:p w:rsidR="00530632" w:rsidRDefault="00530632">
      <w:pPr>
        <w:pStyle w:val="ConsPlusNormal"/>
        <w:ind w:firstLine="540"/>
        <w:jc w:val="both"/>
      </w:pPr>
      <w:r>
        <w:t>где: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0i</w:t>
      </w:r>
      <w:r>
        <w:t xml:space="preserve"> - общее количество баллов, присваиваемое i-й заявке;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1i</w:t>
      </w:r>
      <w:r>
        <w:t xml:space="preserve"> - общее количество баллов, присваиваемое i-й заявке в результате оценки по всем показателям критерия 1;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2i</w:t>
      </w:r>
      <w:r>
        <w:t xml:space="preserve"> - общее количество баллов, присваиваемое i-й заявке в результате оценки по всем показателям критерия 2;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3i</w:t>
      </w:r>
      <w:r>
        <w:t xml:space="preserve"> - общее количество баллов, присваиваемое i-й заявке в результате оценки по всем показателям критерия 3;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4i</w:t>
      </w:r>
      <w:r>
        <w:t xml:space="preserve"> - общее количество баллов, присваиваемое i-й заявке в результате оценки по всем показателям критерия 4.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6. Всем показателям оценки конкурсной заявки присвоены "веса" в баллах, отражающие меру их значимости среди всей их совокупности.</w:t>
      </w:r>
    </w:p>
    <w:p w:rsidR="00530632" w:rsidRDefault="00530632">
      <w:pPr>
        <w:pStyle w:val="ConsPlusNormal"/>
        <w:spacing w:before="220"/>
        <w:ind w:firstLine="540"/>
        <w:jc w:val="both"/>
      </w:pPr>
      <w:r>
        <w:t>7. Расчет баллов, начисляемых по каждому критерию, осуществляется по следующей формуле:</w:t>
      </w: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jc w:val="center"/>
      </w:pPr>
      <w:r w:rsidRPr="00EA7F02">
        <w:rPr>
          <w:position w:val="-29"/>
        </w:rPr>
        <w:pict>
          <v:shape id="_x0000_i1027" style="width:117.75pt;height:40.5pt" coordsize="" o:spt="100" adj="0,,0" path="" filled="f" stroked="f">
            <v:stroke joinstyle="miter"/>
            <v:imagedata r:id="rId11" o:title="base_1_388521_32770"/>
            <v:formulas/>
            <v:path o:connecttype="segments"/>
          </v:shape>
        </w:pict>
      </w:r>
    </w:p>
    <w:p w:rsidR="00530632" w:rsidRDefault="00530632">
      <w:pPr>
        <w:pStyle w:val="ConsPlusNormal"/>
        <w:jc w:val="both"/>
      </w:pPr>
    </w:p>
    <w:p w:rsidR="00530632" w:rsidRDefault="00530632">
      <w:pPr>
        <w:pStyle w:val="ConsPlusNormal"/>
        <w:ind w:firstLine="540"/>
        <w:jc w:val="both"/>
      </w:pPr>
      <w:r>
        <w:t>где:</w:t>
      </w:r>
    </w:p>
    <w:p w:rsidR="00530632" w:rsidRDefault="00530632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ni</w:t>
      </w:r>
      <w:proofErr w:type="spellEnd"/>
      <w:r>
        <w:t xml:space="preserve"> - общее количество баллов, присваиваемое i-й заявке в результате оценки по всем показателям критерия n;</w:t>
      </w:r>
    </w:p>
    <w:p w:rsidR="00530632" w:rsidRDefault="00530632">
      <w:pPr>
        <w:pStyle w:val="ConsPlusNormal"/>
        <w:spacing w:before="220"/>
        <w:ind w:firstLine="540"/>
        <w:jc w:val="both"/>
      </w:pPr>
      <w:proofErr w:type="spellStart"/>
      <w:r>
        <w:t>K</w:t>
      </w:r>
      <w:r>
        <w:rPr>
          <w:vertAlign w:val="subscript"/>
        </w:rPr>
        <w:t>ij</w:t>
      </w:r>
      <w:proofErr w:type="spellEnd"/>
      <w:r>
        <w:t xml:space="preserve"> - значение показателя, указанное в i-й заявке. В случае если значение </w:t>
      </w:r>
      <w:proofErr w:type="spellStart"/>
      <w:r>
        <w:t>K</w:t>
      </w:r>
      <w:r>
        <w:rPr>
          <w:vertAlign w:val="subscript"/>
        </w:rPr>
        <w:t>ij</w:t>
      </w:r>
      <w:proofErr w:type="spellEnd"/>
      <w:r>
        <w:t xml:space="preserve"> меньше установленного неснижаемого значения показателя, то </w:t>
      </w:r>
      <w:proofErr w:type="spellStart"/>
      <w:r>
        <w:t>K</w:t>
      </w:r>
      <w:r>
        <w:rPr>
          <w:vertAlign w:val="subscript"/>
        </w:rPr>
        <w:t>ij</w:t>
      </w:r>
      <w:proofErr w:type="spellEnd"/>
      <w:r>
        <w:t xml:space="preserve"> = 0;</w:t>
      </w:r>
    </w:p>
    <w:p w:rsidR="00530632" w:rsidRDefault="00530632">
      <w:pPr>
        <w:pStyle w:val="ConsPlusNormal"/>
        <w:spacing w:before="220"/>
        <w:ind w:firstLine="540"/>
        <w:jc w:val="both"/>
      </w:pPr>
      <w:proofErr w:type="spellStart"/>
      <w:r>
        <w:t>K</w:t>
      </w:r>
      <w:r>
        <w:rPr>
          <w:vertAlign w:val="subscript"/>
        </w:rPr>
        <w:t>jmax</w:t>
      </w:r>
      <w:proofErr w:type="spellEnd"/>
      <w:r>
        <w:t xml:space="preserve"> - наибольшее значение j-</w:t>
      </w:r>
      <w:proofErr w:type="spellStart"/>
      <w:r>
        <w:t>го</w:t>
      </w:r>
      <w:proofErr w:type="spellEnd"/>
      <w:r>
        <w:t xml:space="preserve"> показателя среди всех заявок;</w:t>
      </w:r>
    </w:p>
    <w:p w:rsidR="003579FB" w:rsidRDefault="00530632" w:rsidP="00530632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j</w:t>
      </w:r>
      <w:proofErr w:type="spellEnd"/>
      <w:r>
        <w:t xml:space="preserve"> - вес j-</w:t>
      </w:r>
      <w:proofErr w:type="spellStart"/>
      <w:r>
        <w:t>го</w:t>
      </w:r>
      <w:proofErr w:type="spellEnd"/>
      <w:r>
        <w:t xml:space="preserve"> показателя, входящего в состав критерия.</w:t>
      </w:r>
      <w:bookmarkStart w:id="17" w:name="_GoBack"/>
      <w:bookmarkEnd w:id="17"/>
    </w:p>
    <w:sectPr w:rsidR="003579FB" w:rsidSect="00D17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632"/>
    <w:rsid w:val="003579FB"/>
    <w:rsid w:val="0053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105C54-3EB0-4219-AF40-1B4B58D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6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06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06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F4EAF2790143BB11D557EDEF4573C16C633E8886E71EF4B75387118796851F4C0F72595DE8043A013875A374FB68859AA033DFA47042CEB5WB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FF4EAF2790143BB11D557EDEF4573C16C633E8886E71EF4B75387118796851F4C0F72595DE8043A013875A374FB68859AA033DFA47042CEB5WB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FF4EAF2790143BB11D557EDEF4573C16C693E8486E11EF4B75387118796851F5E0F2A555DEA1F3C072D23F232BAWFK" TargetMode="External"/><Relationship Id="rId11" Type="http://schemas.openxmlformats.org/officeDocument/2006/relationships/image" Target="media/image3.wmf"/><Relationship Id="rId5" Type="http://schemas.openxmlformats.org/officeDocument/2006/relationships/hyperlink" Target="consultantplus://offline/ref=4FF4EAF2790143BB11D557EDEF4573C16C633E8886E71EF4B75387118796851F4C0F72595DE8043A013875A374FB68859AA033DFA47042CEB5WBK" TargetMode="External"/><Relationship Id="rId10" Type="http://schemas.openxmlformats.org/officeDocument/2006/relationships/image" Target="media/image2.wmf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8858</Words>
  <Characters>50497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2021-07-02T10:22:00Z</dcterms:created>
  <dcterms:modified xsi:type="dcterms:W3CDTF">2021-07-02T10:22:00Z</dcterms:modified>
</cp:coreProperties>
</file>