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CD2" w:rsidRDefault="00A54CD2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54CD2" w:rsidRDefault="00A54CD2">
      <w:pPr>
        <w:pStyle w:val="ConsPlusNormal"/>
        <w:jc w:val="both"/>
        <w:outlineLvl w:val="0"/>
      </w:pPr>
    </w:p>
    <w:p w:rsidR="00A54CD2" w:rsidRDefault="00A54CD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54CD2" w:rsidRDefault="00A54CD2">
      <w:pPr>
        <w:pStyle w:val="ConsPlusTitle"/>
        <w:jc w:val="center"/>
      </w:pPr>
    </w:p>
    <w:p w:rsidR="00A54CD2" w:rsidRDefault="00A54CD2">
      <w:pPr>
        <w:pStyle w:val="ConsPlusTitle"/>
        <w:jc w:val="center"/>
      </w:pPr>
      <w:r>
        <w:t>ПОСТАНОВЛЕНИЕ</w:t>
      </w:r>
    </w:p>
    <w:p w:rsidR="00A54CD2" w:rsidRDefault="00A54CD2">
      <w:pPr>
        <w:pStyle w:val="ConsPlusTitle"/>
        <w:jc w:val="center"/>
      </w:pPr>
      <w:r>
        <w:t>от 2 апреля 2022 г. N 574</w:t>
      </w:r>
    </w:p>
    <w:p w:rsidR="00A54CD2" w:rsidRDefault="00A54CD2">
      <w:pPr>
        <w:pStyle w:val="ConsPlusTitle"/>
        <w:jc w:val="center"/>
      </w:pPr>
    </w:p>
    <w:p w:rsidR="00A54CD2" w:rsidRDefault="00A54CD2">
      <w:pPr>
        <w:pStyle w:val="ConsPlusTitle"/>
        <w:jc w:val="center"/>
      </w:pPr>
      <w:r>
        <w:t>ОБ УТВЕРЖДЕНИИ ПРАВИЛ</w:t>
      </w:r>
    </w:p>
    <w:p w:rsidR="00A54CD2" w:rsidRDefault="00A54CD2">
      <w:pPr>
        <w:pStyle w:val="ConsPlusTitle"/>
        <w:jc w:val="center"/>
      </w:pPr>
      <w:r>
        <w:t>ПРЕДОСТАВЛЕНИЯ СУБСИДИЙ ИЗ ФЕДЕРАЛЬНОГО БЮДЖЕТА КРЕДИТНЫМ</w:t>
      </w:r>
    </w:p>
    <w:p w:rsidR="00A54CD2" w:rsidRDefault="00A54CD2">
      <w:pPr>
        <w:pStyle w:val="ConsPlusTitle"/>
        <w:jc w:val="center"/>
      </w:pPr>
      <w:r>
        <w:t>ОРГАНИЗАЦИЯМ НА ВОЗМЕЩЕНИЕ НЕДОПОЛУЧЕННЫХ ИМИ ДОХОДОВ</w:t>
      </w:r>
    </w:p>
    <w:p w:rsidR="00A54CD2" w:rsidRDefault="00A54CD2">
      <w:pPr>
        <w:pStyle w:val="ConsPlusTitle"/>
        <w:jc w:val="center"/>
      </w:pPr>
      <w:r>
        <w:t>ПО КРЕДИТАМ, ВЫДАННЫМ СИСТЕМООБРАЗУЮЩИМ ОРГАНИЗАЦИЯМ</w:t>
      </w:r>
    </w:p>
    <w:p w:rsidR="00A54CD2" w:rsidRDefault="00A54CD2">
      <w:pPr>
        <w:pStyle w:val="ConsPlusTitle"/>
        <w:jc w:val="center"/>
      </w:pPr>
      <w:r>
        <w:t>ТОПЛИВНО-ЭНЕРГЕТИЧЕСКОГО КОМПЛЕКСА И ОРГАНИЗАЦИЯМ,</w:t>
      </w:r>
    </w:p>
    <w:p w:rsidR="00A54CD2" w:rsidRDefault="00A54CD2">
      <w:pPr>
        <w:pStyle w:val="ConsPlusTitle"/>
        <w:jc w:val="center"/>
      </w:pPr>
      <w:r>
        <w:t>ВХОДЯЩИМ В ГРУППУ ЛИЦ СИСТЕМООБРАЗУЮЩЕЙ ОРГАНИЗАЦИИ</w:t>
      </w:r>
    </w:p>
    <w:p w:rsidR="00A54CD2" w:rsidRDefault="00A54CD2">
      <w:pPr>
        <w:pStyle w:val="ConsPlusTitle"/>
        <w:jc w:val="center"/>
      </w:pPr>
      <w:r>
        <w:t>ТОПЛИВНО-ЭНЕРГЕТИЧЕСКОГО КОМПЛЕКСА</w:t>
      </w:r>
    </w:p>
    <w:p w:rsidR="00A54CD2" w:rsidRDefault="00A54CD2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54CD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54CD2" w:rsidRDefault="00A54CD2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54CD2" w:rsidRDefault="00A54CD2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54CD2" w:rsidRDefault="00A54CD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54CD2" w:rsidRDefault="00A54CD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21.04.2022 </w:t>
            </w:r>
            <w:hyperlink r:id="rId5" w:history="1">
              <w:r>
                <w:rPr>
                  <w:color w:val="0000FF"/>
                </w:rPr>
                <w:t>N 723</w:t>
              </w:r>
            </w:hyperlink>
            <w:r>
              <w:rPr>
                <w:color w:val="392C69"/>
              </w:rPr>
              <w:t>,</w:t>
            </w:r>
          </w:p>
          <w:p w:rsidR="00A54CD2" w:rsidRDefault="00A54CD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27.05.2022 </w:t>
            </w:r>
            <w:hyperlink r:id="rId6" w:history="1">
              <w:r>
                <w:rPr>
                  <w:color w:val="0000FF"/>
                </w:rPr>
                <w:t>N 953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54CD2" w:rsidRDefault="00A54CD2">
            <w:pPr>
              <w:spacing w:after="1" w:line="0" w:lineRule="atLeast"/>
            </w:pPr>
          </w:p>
        </w:tc>
      </w:tr>
    </w:tbl>
    <w:p w:rsidR="00A54CD2" w:rsidRDefault="00A54CD2">
      <w:pPr>
        <w:pStyle w:val="ConsPlusNormal"/>
        <w:jc w:val="both"/>
      </w:pPr>
    </w:p>
    <w:p w:rsidR="00A54CD2" w:rsidRDefault="00A54CD2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4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кредитным организациям на возмещение недополученных ими доходов по кредитам, выданным системообразующим организациям топливно-энергетического комплекса и организациям, входящим в группу лиц системообразующей организации топливно-энергетического комплекса.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A54CD2" w:rsidRDefault="00A54CD2">
      <w:pPr>
        <w:pStyle w:val="ConsPlusNormal"/>
        <w:jc w:val="both"/>
      </w:pPr>
    </w:p>
    <w:p w:rsidR="00A54CD2" w:rsidRDefault="00A54CD2">
      <w:pPr>
        <w:pStyle w:val="ConsPlusNormal"/>
        <w:jc w:val="right"/>
      </w:pPr>
      <w:r>
        <w:t>Председатель Правительства</w:t>
      </w:r>
    </w:p>
    <w:p w:rsidR="00A54CD2" w:rsidRDefault="00A54CD2">
      <w:pPr>
        <w:pStyle w:val="ConsPlusNormal"/>
        <w:jc w:val="right"/>
      </w:pPr>
      <w:r>
        <w:t>Российской Федерации</w:t>
      </w:r>
    </w:p>
    <w:p w:rsidR="00A54CD2" w:rsidRDefault="00A54CD2">
      <w:pPr>
        <w:pStyle w:val="ConsPlusNormal"/>
        <w:jc w:val="right"/>
      </w:pPr>
      <w:r>
        <w:t>М.МИШУСТИН</w:t>
      </w:r>
    </w:p>
    <w:p w:rsidR="00A54CD2" w:rsidRDefault="00A54CD2">
      <w:pPr>
        <w:pStyle w:val="ConsPlusNormal"/>
        <w:jc w:val="both"/>
      </w:pPr>
    </w:p>
    <w:p w:rsidR="00A54CD2" w:rsidRDefault="00A54CD2">
      <w:pPr>
        <w:pStyle w:val="ConsPlusNormal"/>
        <w:jc w:val="both"/>
      </w:pPr>
    </w:p>
    <w:p w:rsidR="00A54CD2" w:rsidRDefault="00A54CD2">
      <w:pPr>
        <w:pStyle w:val="ConsPlusNormal"/>
        <w:jc w:val="both"/>
      </w:pPr>
    </w:p>
    <w:p w:rsidR="00A54CD2" w:rsidRDefault="00A54CD2">
      <w:pPr>
        <w:pStyle w:val="ConsPlusNormal"/>
        <w:jc w:val="both"/>
      </w:pPr>
    </w:p>
    <w:p w:rsidR="00A54CD2" w:rsidRDefault="00A54CD2">
      <w:pPr>
        <w:pStyle w:val="ConsPlusNormal"/>
        <w:jc w:val="both"/>
      </w:pPr>
    </w:p>
    <w:p w:rsidR="00A54CD2" w:rsidRDefault="00A54CD2">
      <w:pPr>
        <w:pStyle w:val="ConsPlusNormal"/>
        <w:jc w:val="right"/>
        <w:outlineLvl w:val="0"/>
      </w:pPr>
      <w:r>
        <w:t>Утверждены</w:t>
      </w:r>
    </w:p>
    <w:p w:rsidR="00A54CD2" w:rsidRDefault="00A54CD2">
      <w:pPr>
        <w:pStyle w:val="ConsPlusNormal"/>
        <w:jc w:val="right"/>
      </w:pPr>
      <w:r>
        <w:t>постановлением Правительства</w:t>
      </w:r>
    </w:p>
    <w:p w:rsidR="00A54CD2" w:rsidRDefault="00A54CD2">
      <w:pPr>
        <w:pStyle w:val="ConsPlusNormal"/>
        <w:jc w:val="right"/>
      </w:pPr>
      <w:r>
        <w:t>Российской Федерации</w:t>
      </w:r>
    </w:p>
    <w:p w:rsidR="00A54CD2" w:rsidRDefault="00A54CD2">
      <w:pPr>
        <w:pStyle w:val="ConsPlusNormal"/>
        <w:jc w:val="right"/>
      </w:pPr>
      <w:r>
        <w:t>от 2 апреля 2022 г. N 574</w:t>
      </w:r>
    </w:p>
    <w:p w:rsidR="00A54CD2" w:rsidRDefault="00A54CD2">
      <w:pPr>
        <w:pStyle w:val="ConsPlusNormal"/>
        <w:jc w:val="both"/>
      </w:pPr>
    </w:p>
    <w:p w:rsidR="00A54CD2" w:rsidRDefault="00A54CD2">
      <w:pPr>
        <w:pStyle w:val="ConsPlusTitle"/>
        <w:jc w:val="center"/>
      </w:pPr>
      <w:bookmarkStart w:id="0" w:name="P34"/>
      <w:bookmarkEnd w:id="0"/>
      <w:r>
        <w:t>ПРАВИЛА</w:t>
      </w:r>
    </w:p>
    <w:p w:rsidR="00A54CD2" w:rsidRDefault="00A54CD2">
      <w:pPr>
        <w:pStyle w:val="ConsPlusTitle"/>
        <w:jc w:val="center"/>
      </w:pPr>
      <w:r>
        <w:t>ПРЕДОСТАВЛЕНИЯ СУБСИДИЙ ИЗ ФЕДЕРАЛЬНОГО БЮДЖЕТА КРЕДИТНЫМ</w:t>
      </w:r>
    </w:p>
    <w:p w:rsidR="00A54CD2" w:rsidRDefault="00A54CD2">
      <w:pPr>
        <w:pStyle w:val="ConsPlusTitle"/>
        <w:jc w:val="center"/>
      </w:pPr>
      <w:r>
        <w:t>ОРГАНИЗАЦИЯМ НА ВОЗМЕЩЕНИЕ НЕДОПОЛУЧЕННЫХ ИМИ ДОХОДОВ</w:t>
      </w:r>
    </w:p>
    <w:p w:rsidR="00A54CD2" w:rsidRDefault="00A54CD2">
      <w:pPr>
        <w:pStyle w:val="ConsPlusTitle"/>
        <w:jc w:val="center"/>
      </w:pPr>
      <w:r>
        <w:t>ПО КРЕДИТАМ, ВЫДАННЫМ СИСТЕМООБРАЗУЮЩИМ ОРГАНИЗАЦИЯМ</w:t>
      </w:r>
    </w:p>
    <w:p w:rsidR="00A54CD2" w:rsidRDefault="00A54CD2">
      <w:pPr>
        <w:pStyle w:val="ConsPlusTitle"/>
        <w:jc w:val="center"/>
      </w:pPr>
      <w:r>
        <w:t>ТОПЛИВНО-ЭНЕРГЕТИЧЕСКОГО КОМПЛЕКСА И ОРГАНИЗАЦИЯМ,</w:t>
      </w:r>
    </w:p>
    <w:p w:rsidR="00A54CD2" w:rsidRDefault="00A54CD2">
      <w:pPr>
        <w:pStyle w:val="ConsPlusTitle"/>
        <w:jc w:val="center"/>
      </w:pPr>
      <w:r>
        <w:t>ВХОДЯЩИМ В ГРУППУ ЛИЦ СИСТЕМООБРАЗУЮЩЕЙ ОРГАНИЗАЦИИ</w:t>
      </w:r>
    </w:p>
    <w:p w:rsidR="00A54CD2" w:rsidRDefault="00A54CD2">
      <w:pPr>
        <w:pStyle w:val="ConsPlusTitle"/>
        <w:jc w:val="center"/>
      </w:pPr>
      <w:r>
        <w:t>ТОПЛИВНО-ЭНЕРГЕТИЧЕСКОГО КОМПЛЕКСА</w:t>
      </w:r>
    </w:p>
    <w:p w:rsidR="00A54CD2" w:rsidRDefault="00A54CD2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54CD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54CD2" w:rsidRDefault="00A54CD2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54CD2" w:rsidRDefault="00A54CD2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54CD2" w:rsidRDefault="00A54CD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54CD2" w:rsidRDefault="00A54CD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21.04.2022 </w:t>
            </w:r>
            <w:hyperlink r:id="rId7" w:history="1">
              <w:r>
                <w:rPr>
                  <w:color w:val="0000FF"/>
                </w:rPr>
                <w:t>N 723</w:t>
              </w:r>
            </w:hyperlink>
            <w:r>
              <w:rPr>
                <w:color w:val="392C69"/>
              </w:rPr>
              <w:t>,</w:t>
            </w:r>
          </w:p>
          <w:p w:rsidR="00A54CD2" w:rsidRDefault="00A54CD2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от 27.05.2022 </w:t>
            </w:r>
            <w:hyperlink r:id="rId8" w:history="1">
              <w:r>
                <w:rPr>
                  <w:color w:val="0000FF"/>
                </w:rPr>
                <w:t>N 953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54CD2" w:rsidRDefault="00A54CD2">
            <w:pPr>
              <w:spacing w:after="1" w:line="0" w:lineRule="atLeast"/>
            </w:pPr>
          </w:p>
        </w:tc>
      </w:tr>
    </w:tbl>
    <w:p w:rsidR="00A54CD2" w:rsidRDefault="00A54CD2">
      <w:pPr>
        <w:pStyle w:val="ConsPlusNormal"/>
        <w:jc w:val="both"/>
      </w:pPr>
    </w:p>
    <w:p w:rsidR="00A54CD2" w:rsidRDefault="00A54CD2">
      <w:pPr>
        <w:pStyle w:val="ConsPlusNormal"/>
        <w:ind w:firstLine="540"/>
        <w:jc w:val="both"/>
      </w:pPr>
      <w:bookmarkStart w:id="1" w:name="P45"/>
      <w:bookmarkEnd w:id="1"/>
      <w:r>
        <w:t>1. Настоящие Правила устанавливают цели, условия и порядок предоставления субсидий из федерального бюджета кредитным организациям на возмещение недополученных ими доходов по кредитам, выданным системообразующим организациям и организациям, входящим в группу лиц системообразующей организации (далее соответственно - кредит, субсидии).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Субсидия предоставляется в рамках государственной </w:t>
      </w:r>
      <w:hyperlink r:id="rId9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энергетики" в целях оказания государственной поддержки в сложных экономических условиях системообразующим организациям и организациям, входящим в группу лиц системообразующей организации, путем выдачи кредита по льготной процентной ставке на пополнение оборотных средств.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Сведения о субсидии размещаются на едином портале бюджетной системы Российской Федерации в информационно-телекоммуникационной сети "Интернет" в разделе "Бюджет"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2. Понятия, используемые в настоящих Правилах, означают следующее: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"единый портал" - портал предоставления мер финансовой государственной поддержки (https://promote.budget.gov.ru);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"заемщик" - организация, основной вид деятельности (для организаций, осуществляющих деятельность в сферах производства нефтепродуктов или предоставления услуг в области добычи нефти и природного газа - основной или дополнительный вид деятельности) которой соответствует видам деятельности по перечню согласно </w:t>
      </w:r>
      <w:hyperlink w:anchor="P251" w:history="1">
        <w:r>
          <w:rPr>
            <w:color w:val="0000FF"/>
          </w:rPr>
          <w:t>приложению N 1</w:t>
        </w:r>
      </w:hyperlink>
      <w:r>
        <w:t xml:space="preserve"> и являющаяся системообразующей организацией и (или) юридическим лицом, учрежденным в соответствии с законодательством Российской Федерации и входящим в группу лиц системообразующей организации в соответствии с положениями </w:t>
      </w:r>
      <w:hyperlink r:id="rId10" w:history="1">
        <w:r>
          <w:rPr>
            <w:color w:val="0000FF"/>
          </w:rPr>
          <w:t>статьи 9</w:t>
        </w:r>
      </w:hyperlink>
      <w:r>
        <w:t xml:space="preserve"> Федерального закона "О защите конкуренции";</w:t>
      </w:r>
    </w:p>
    <w:p w:rsidR="00A54CD2" w:rsidRDefault="00A54CD2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27.05.2022 N 953)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"кредитная организация" - российская кредитная организация, включенная в перечень системно значимых кредитных организаций согласно методике, предусмотренной </w:t>
      </w:r>
      <w:hyperlink r:id="rId12" w:history="1">
        <w:r>
          <w:rPr>
            <w:color w:val="0000FF"/>
          </w:rPr>
          <w:t>частью шестой статьи 57</w:t>
        </w:r>
      </w:hyperlink>
      <w:r>
        <w:t xml:space="preserve"> Федерального закона "О Центральном банке Российской Федерации (Банке России)", и (или) российская кредитная организация, в отношении которой иностранными государствами в 2022 году введены </w:t>
      </w:r>
      <w:proofErr w:type="spellStart"/>
      <w:r>
        <w:t>санкционные</w:t>
      </w:r>
      <w:proofErr w:type="spellEnd"/>
      <w:r>
        <w:t xml:space="preserve"> ограничения, и (или) российская кредитная организация, определенная решением Правительства Российской Федерации, и (или) уполномоченная кредитная организация, ответственная за проведение расчетов между субъектами оптового рынка электрической энергии и мощности;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"кредитный договор (соглашение)" - кредитный договор (соглашение) и (или) дополнительное соглашение к кредитному договору (соглашению) об открытии кредитной линии, заключенный после вступления в силу постановления Правительства Российской Федерации от 2 апреля 2022 г. N 574 "Об утверждении Правил предоставления субсидий из федерального бюджета кредитным организациям на возмещение недополученных ими доходов по кредитам, выданным системообразующим организациям топливно-энергетического комплекса и организациям, входящим в группу лиц системообразующей организации топливно-энергетического комплекса", по которому получатель субсидии предоставил заемщику в 2022 году кредит или часть кредита в рублях на срок до 12 месяцев на пополнение оборотных средств - на оплату заемщиком расходов на цели текущей операционной деятельности (в том числе авансовых платежей), за исключением следующих операций, не относящихся к операционной деятельности: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осуществление стимулирующих выплат, выплачиваемых из прибыли и (или) не входящих в </w:t>
      </w:r>
      <w:r>
        <w:lastRenderedPageBreak/>
        <w:t>расчет фонда заработной платы;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оплата транспортных расходов, не связанных с производственной деятельностью;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выплата дивидендов;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оплата налогов, сборов и иных платежей, по которым предусмотрена отсрочка платежей или не наступили сроки оплаты;</w:t>
      </w:r>
    </w:p>
    <w:p w:rsidR="00A54CD2" w:rsidRDefault="00A54CD2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21.04.2022 N 723)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аренда помещений и оборудования, приобретение и сервисное обслуживание оборудования, не участвующего в производственной деятельности заемщика;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рефинансирование ранее полученных кредитов и займов, в том числе погашение обязательств заемщика перед кредитной организацией и третьими лицами по полученным от них кредитам и (или) займам, включая оплату процентов, комиссий, неустоек и иных вознаграждений, а также обязательств по договорам факторинга;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размещение предоставленных заемщику кредитных средств на депозитах, а также в иных финансовых инструментах;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оплата топливно-энергетических ресурсов, потребление которых не связано с производственной деятельностью;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приобретение векселей или эмиссионных ценных бумаг, осуществление вложений в уставные капиталы других юридических лиц (включая покупку акций на вторичном рынке);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пополнение расчетного счета заемщика, открытого в иной кредитной организации;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не связанные с операционной деятельностью валютные операции;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"льготная процентная ставка" - процентная ставка по кредиту, установленная кредитным договором (соглашением), в размере не более 11 процентов годовых;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"период льготного кредитования" - период, в течение которого получателю субсидии компенсируются недополученные доходы по кредитам в соответствии с настоящими Правилами, составляющий не более 12 месяцев начиная с даты заключения кредитного договора (соглашения);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"получатель субсидии" - кредитная организация, включенная по результатам отбора Министерством энергетики Российской Федерации в перечень получателей субсидий и заключившая соглашение (договор) о предоставлении субсидии (далее - соглашение);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"реестр заемщиков" - сформированный получателем субсидии реестр заемщиков, заключивших с кредитной организацией кредитные договоры (соглашения), по форме согласно </w:t>
      </w:r>
      <w:hyperlink w:anchor="P302" w:history="1">
        <w:r>
          <w:rPr>
            <w:color w:val="0000FF"/>
          </w:rPr>
          <w:t>приложению N 2</w:t>
        </w:r>
      </w:hyperlink>
      <w:r>
        <w:t>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"реестр потенциальных заемщиков" - сформированный получателем субсидии реестр заемщиков, подавших заявку на получение средств по кредитным договорам (соглашениям), получивших положительное решение кредитного комитета кредитной организации, по форме согласно </w:t>
      </w:r>
      <w:hyperlink w:anchor="P460" w:history="1">
        <w:r>
          <w:rPr>
            <w:color w:val="0000FF"/>
          </w:rPr>
          <w:t>приложению N 3</w:t>
        </w:r>
      </w:hyperlink>
      <w:r>
        <w:t>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"системообразующая организация" - организация топливно-энергетического комплекса, включенная в перечень (перечни) системообразующих организаций российской экономики в соответствии с критериями или дополнительными основаниями, утвержденными Правительственной комиссией по повышению устойчивости развития российской экономики, относящаяся к сфере ведения Министерства энергетики Российской Федерации.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lastRenderedPageBreak/>
        <w:t>3. Субсидии предоставляются получателям субсидии в связи с предоставлением заемщикам льготной процентной ставки.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Субсидии предоставляются получателям субсидий по кредитным договорам (соглашениям) в размере увеличенной на 3 процента годовых разницы между ключевой ставкой, установленной Центральным банком Российской Федерации, и 11 процентами годовых.</w:t>
      </w:r>
    </w:p>
    <w:p w:rsidR="00A54CD2" w:rsidRDefault="00A54CD2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21.04.2022 N 723)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4. В целях предоставления субсидии Министерством энергетики Российской Федерации проводится отбор кредитных организаций (далее - отбор) на основании заявок, направленных участниками отбора для участия в отборе (далее - заявки на участие в отборе), исходя из соответствия участника отбора категориям и (или) критериям отбора. Для проведения отборов Министерство энергетики Российской Федерации до 1 июня 2022 г.:</w:t>
      </w:r>
    </w:p>
    <w:p w:rsidR="00A54CD2" w:rsidRDefault="00A54CD2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21.04.2022 N 723)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а) размещает на едином портале и (или) на официальном сайте в информационно-телекоммуникационной сети "Интернет" объявление о проведении отбора с указанием: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даты начала подачи и даты окончания приема заявок на участие в отборе;</w:t>
      </w:r>
    </w:p>
    <w:p w:rsidR="00A54CD2" w:rsidRDefault="00A54CD2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21.04.2022 N 723)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наименования, места нахождения, почтового адреса и адреса электронной почты Министерства энергетики Российской Федерации;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результатов предоставления субсидии в соответствии с </w:t>
      </w:r>
      <w:hyperlink w:anchor="P224" w:history="1">
        <w:r>
          <w:rPr>
            <w:color w:val="0000FF"/>
          </w:rPr>
          <w:t>пунктом 34</w:t>
        </w:r>
      </w:hyperlink>
      <w:r>
        <w:t xml:space="preserve"> настоящих Правил;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доменного имени и (или) указателей страниц государственной интегрированной информационной системы управления общественными финансами "Электронный бюджет" (далее - система "Электронный бюджет") и (или) иного сайта в информационно-телекоммуникационной сети "Интернет", в которых обеспечивается проведение отбора;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требований (категорий и (или) критериев) к участникам отбора в соответствии с </w:t>
      </w:r>
      <w:hyperlink w:anchor="P151" w:history="1">
        <w:r>
          <w:rPr>
            <w:color w:val="0000FF"/>
          </w:rPr>
          <w:t>подпунктом "д" пункта 16</w:t>
        </w:r>
      </w:hyperlink>
      <w:r>
        <w:t xml:space="preserve"> и </w:t>
      </w:r>
      <w:hyperlink w:anchor="P158" w:history="1">
        <w:r>
          <w:rPr>
            <w:color w:val="0000FF"/>
          </w:rPr>
          <w:t>пунктом 17</w:t>
        </w:r>
      </w:hyperlink>
      <w:r>
        <w:t xml:space="preserve"> настоящих Правил и перечня документов, представляемых участниками отбора для подтверждения их соответствия указанным требованиям, а также перечень документов, подтверждающих соответствие заемщиков условиям, указанным в </w:t>
      </w:r>
      <w:hyperlink w:anchor="P116" w:history="1">
        <w:r>
          <w:rPr>
            <w:color w:val="0000FF"/>
          </w:rPr>
          <w:t>подпунктах "к"</w:t>
        </w:r>
      </w:hyperlink>
      <w:r>
        <w:t xml:space="preserve"> - </w:t>
      </w:r>
      <w:hyperlink w:anchor="P128" w:history="1">
        <w:r>
          <w:rPr>
            <w:color w:val="0000FF"/>
          </w:rPr>
          <w:t>"н" пункта 8</w:t>
        </w:r>
      </w:hyperlink>
      <w:r>
        <w:t xml:space="preserve"> настоящих Правил;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порядка подачи заявок на участие в отборе и требований, предъявляемых к форме и содержанию заявок на участие в отборе, в соответствии с </w:t>
      </w:r>
      <w:hyperlink w:anchor="P145" w:history="1">
        <w:r>
          <w:rPr>
            <w:color w:val="0000FF"/>
          </w:rPr>
          <w:t>пунктами 16</w:t>
        </w:r>
      </w:hyperlink>
      <w:r>
        <w:t xml:space="preserve"> и </w:t>
      </w:r>
      <w:hyperlink w:anchor="P158" w:history="1">
        <w:r>
          <w:rPr>
            <w:color w:val="0000FF"/>
          </w:rPr>
          <w:t>17</w:t>
        </w:r>
      </w:hyperlink>
      <w:r>
        <w:t xml:space="preserve"> настоящих Правил;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порядка отзыва заявок на участие в отборе, порядка возврата заявок на участие в отборе, определяющего в том числе основания для возврата заявок на участие в отборе, порядка внесения изменений в заявки на участие в отборе;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правил рассмотрения и оценки заявок на участие в отборе в соответствии с </w:t>
      </w:r>
      <w:hyperlink w:anchor="P164" w:history="1">
        <w:r>
          <w:rPr>
            <w:color w:val="0000FF"/>
          </w:rPr>
          <w:t>пунктами 18</w:t>
        </w:r>
      </w:hyperlink>
      <w:r>
        <w:t xml:space="preserve"> - </w:t>
      </w:r>
      <w:hyperlink w:anchor="P169" w:history="1">
        <w:r>
          <w:rPr>
            <w:color w:val="0000FF"/>
          </w:rPr>
          <w:t>20</w:t>
        </w:r>
      </w:hyperlink>
      <w:r>
        <w:t xml:space="preserve"> настоящих Правил;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порядка предоставления участникам отбора разъяснений положений объявления о проведении отбора, даты начала и даты окончания срока такого предоставления;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срока, в течение которого участники отбора, включенные в перечень получателей субсидии, должны подписать соглашение;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условий признания участников отбора, включенных в перечень получателей субсидии, уклонившимися от заключения соглашения;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lastRenderedPageBreak/>
        <w:t>даты размещения результатов отбора на едином портале и в системе "Электронный бюджет", которая не может быть позднее 14-го календарного дня, следующего за днем формирования перечня получателей субсидии;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б) образует конкурсную комиссию и утверждает положение о конкурсной комиссии.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5. Субсидии предоставляются ежемесячно Министерством энергетики Российской Федерации в пределах лимитов бюджетных обязательств, доведенных в установленном порядке до Министерства энергетики Российской Федерации как получателя средств федерального бюджета на цели, предусмотренные </w:t>
      </w:r>
      <w:hyperlink w:anchor="P45" w:history="1">
        <w:r>
          <w:rPr>
            <w:color w:val="0000FF"/>
          </w:rPr>
          <w:t>пунктом 1</w:t>
        </w:r>
      </w:hyperlink>
      <w:r>
        <w:t xml:space="preserve"> настоящих Правил (далее - лимиты бюджетных обязательств).</w:t>
      </w:r>
    </w:p>
    <w:p w:rsidR="00A54CD2" w:rsidRDefault="00A54CD2">
      <w:pPr>
        <w:pStyle w:val="ConsPlusNormal"/>
        <w:spacing w:before="220"/>
        <w:ind w:firstLine="540"/>
        <w:jc w:val="both"/>
      </w:pPr>
      <w:bookmarkStart w:id="2" w:name="P93"/>
      <w:bookmarkEnd w:id="2"/>
      <w:r>
        <w:t>6. Субсидии предоставляются получателям субсидий для заключения и исполнения кредитных договоров (соглашений) со льготной процентной ставкой, соответствующих следующим требованиям:</w:t>
      </w:r>
    </w:p>
    <w:p w:rsidR="00A54CD2" w:rsidRDefault="00A54CD2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27.05.2022 N 953)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а) кредитный договор (соглашение) заключен после дня вступления в силу постановления Правительства Российской Федерации от 2 апреля 2022 г. N 574 "Об утверждении Правил предоставления субсидий из федерального бюджета кредитным организациям на возмещение недополученных ими доходов по кредитам, выданным системообразующим организациям топливно-энергетического комплекса и организациям, входящим в группу лиц системообразующей организации топливно-энергетического комплекса";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б) условия кредитного договора (соглашения) предусматривают установление льготной процентной ставки на период льготного кредитования;</w:t>
      </w:r>
    </w:p>
    <w:p w:rsidR="00A54CD2" w:rsidRDefault="00A54CD2">
      <w:pPr>
        <w:pStyle w:val="ConsPlusNormal"/>
        <w:spacing w:before="220"/>
        <w:ind w:firstLine="540"/>
        <w:jc w:val="both"/>
      </w:pPr>
      <w:bookmarkStart w:id="3" w:name="P97"/>
      <w:bookmarkEnd w:id="3"/>
      <w:r>
        <w:t>в) кредитный договор (соглашение) содержит условие, в соответствии с которым предоставленные заемщику средства не могут быть размещены на депозитах, а также в иных финансовых инструментах, продажа или передача которых обеспечивает получение денежных средств (ценные бумаги, денежные обязательства, фьючерсы и опционы, прочие финансовые инструменты);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г) кредитный договор (соглашение) не предусматривает взимания с заемщика комиссий и сборов, иных платежей, за исключением платы за пользование лимитом кредитной линии (за резервирование кредитной линии), взимаемой за не использованный заемщиком остаток лимита кредитной линии, комиссии за досрочное погашение в размере не более 1,5 процента годовых от досрочно погашаемой суммы по кредитному договору (соглашению), а также штрафных санкций в случае неисполнения заемщиком условий кредитного договора (соглашения);</w:t>
      </w:r>
    </w:p>
    <w:p w:rsidR="00A54CD2" w:rsidRDefault="00A54CD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21.04.2022 N 723)</w:t>
      </w:r>
    </w:p>
    <w:p w:rsidR="00A54CD2" w:rsidRDefault="00A54CD2">
      <w:pPr>
        <w:pStyle w:val="ConsPlusNormal"/>
        <w:spacing w:before="220"/>
        <w:ind w:firstLine="540"/>
        <w:jc w:val="both"/>
      </w:pPr>
      <w:bookmarkStart w:id="4" w:name="P100"/>
      <w:bookmarkEnd w:id="4"/>
      <w:r>
        <w:t>д) кредитный договор (соглашение) предусматривает получение заемщиком кредита в рублях, размер которого рассчитывается исходя из одной четвертой выручки заемщика за 2021 год, умноженной на 0,7, и не превышает 10 млрд. рублей, а для юридических лиц, входящих в одну группу лиц одной системообразующей организации (включая эту системообразующую организацию), - не превышает 30 млрд. рублей;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е) кредитный договор (соглашение) предусматривает получение заемщиком кредита по льготной процентной ставке в размере не более 11 процентов годовых;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ж) кредитный договор (соглашение) содержит условие о запрете на объявление и выплату дивидендов (распределение прибыли) заемщиком в течение действия кредитного договора (соглашения), за исключением случаев, предусмотренных отдельными решениями Правительства Российской Федерации.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7. В целях исполнения условия, предусмотренного </w:t>
      </w:r>
      <w:hyperlink w:anchor="P97" w:history="1">
        <w:r>
          <w:rPr>
            <w:color w:val="0000FF"/>
          </w:rPr>
          <w:t>подпунктом "в" пункта 6</w:t>
        </w:r>
      </w:hyperlink>
      <w:r>
        <w:t xml:space="preserve"> настоящих </w:t>
      </w:r>
      <w:r>
        <w:lastRenderedPageBreak/>
        <w:t>Правил, заемщик обязан: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а) в составе документов для заключения кредитного договора (соглашения) направить в кредитную организацию справку об имеющихся депозитах и </w:t>
      </w:r>
      <w:proofErr w:type="gramStart"/>
      <w:r>
        <w:t>иных финансовых инструментах</w:t>
      </w:r>
      <w:proofErr w:type="gramEnd"/>
      <w:r>
        <w:t xml:space="preserve"> и изменении депозитных счетов, в том числе об открытии новых;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б) при получении кредита по льготной процентной ставке направлять в Министерство энергетики Российской Федерации ежеквартально актуальную информацию об имеющихся депозитах и иных финансовых инструментах.</w:t>
      </w:r>
    </w:p>
    <w:p w:rsidR="00A54CD2" w:rsidRDefault="00A54CD2">
      <w:pPr>
        <w:pStyle w:val="ConsPlusNormal"/>
        <w:spacing w:before="220"/>
        <w:ind w:firstLine="540"/>
        <w:jc w:val="both"/>
      </w:pPr>
      <w:bookmarkStart w:id="5" w:name="P106"/>
      <w:bookmarkEnd w:id="5"/>
      <w:r>
        <w:t>8. Субсидия предоставляется получателю субсидии при условии соответствия заемщиков в период действия кредитного договора (соглашения) одновременно следующим условиям:</w:t>
      </w:r>
    </w:p>
    <w:p w:rsidR="00A54CD2" w:rsidRDefault="00A54CD2">
      <w:pPr>
        <w:pStyle w:val="ConsPlusNormal"/>
        <w:spacing w:before="220"/>
        <w:ind w:firstLine="540"/>
        <w:jc w:val="both"/>
      </w:pPr>
      <w:bookmarkStart w:id="6" w:name="P107"/>
      <w:bookmarkEnd w:id="6"/>
      <w:r>
        <w:t xml:space="preserve">а) заемщик не является субъектом малого или среднего предпринимательства согласно Федеральному </w:t>
      </w:r>
      <w:hyperlink r:id="rId19" w:history="1">
        <w:r>
          <w:rPr>
            <w:color w:val="0000FF"/>
          </w:rPr>
          <w:t>закону</w:t>
        </w:r>
      </w:hyperlink>
      <w:r>
        <w:t xml:space="preserve"> "О развитии малого и среднего предпринимательства в Российской Федерации";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б) заемщик обладает статусом налогового резидента Российской Федерации;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в) заемщик не находится в процессе реорганизации (за исключением реорганизации в форме присоединения к заемщику другого юридического лица или преобразования при условии сохранения заемщиком статуса системообразующей организации или юридического лица, входящего в группу лиц такой организации в соответствии с положениями </w:t>
      </w:r>
      <w:hyperlink r:id="rId20" w:history="1">
        <w:r>
          <w:rPr>
            <w:color w:val="0000FF"/>
          </w:rPr>
          <w:t>статьи 9</w:t>
        </w:r>
      </w:hyperlink>
      <w:r>
        <w:t xml:space="preserve"> Федерального закона "О защите конкуренции"), ликвидации, не является организацией, приостановившей деятельность на территории Российской Федерации, а заемщик, являющийся организацией розничной торговли, функционирует в полном объеме;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г) в отношении заемщика не возбуждено производство по делу о несостоятельности (банкротстве) в соответствии с законодательством Российской Федерации о несостоятельности (банкротстве);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д) заемщик с даты заключения кредитного договора (соглашения) не имел просроченных свыше 90 календарных дней платежей, направленных на исполнение обязательств заемщика по кредитным договорам, договорам поручительства, требований по возмещению заемщиком гаранту выплаченных в соответствии с условиями банковской гарантии денежных сумм (положительная кредитная история);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е) заемщик не имеет в течение периода, равного 60 календарным дням, предшествующего дате заключения кредитного договора (соглашения), просроченной задолженности по налогам, сборам и иным обязательным платежам в бюджеты бюджетной системы Российской Федерации, превышающей 500 тыс. рублей;</w:t>
      </w:r>
    </w:p>
    <w:p w:rsidR="00A54CD2" w:rsidRDefault="00A54CD2">
      <w:pPr>
        <w:pStyle w:val="ConsPlusNormal"/>
        <w:spacing w:before="220"/>
        <w:ind w:firstLine="540"/>
        <w:jc w:val="both"/>
      </w:pPr>
      <w:bookmarkStart w:id="7" w:name="P113"/>
      <w:bookmarkEnd w:id="7"/>
      <w:r>
        <w:t>ж) заемщик обеспечивает сохранение занятости на период действия кредитного договора (соглашения) не менее 85 процентов среднесписочной численности работников по отношению к 1-му числу месяца, предшествующего дате заключения кредитного договора (соглашения);</w:t>
      </w:r>
    </w:p>
    <w:p w:rsidR="00A54CD2" w:rsidRDefault="00A54CD2">
      <w:pPr>
        <w:pStyle w:val="ConsPlusNormal"/>
        <w:spacing w:before="220"/>
        <w:ind w:firstLine="540"/>
        <w:jc w:val="both"/>
      </w:pPr>
      <w:bookmarkStart w:id="8" w:name="P114"/>
      <w:bookmarkEnd w:id="8"/>
      <w:r>
        <w:t xml:space="preserve">з) заемщик, являющийся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 </w:t>
      </w:r>
      <w:hyperlink r:id="rId21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процентов, осуществляет свою операционную деятельность на территории Российской Федерации;</w:t>
      </w:r>
    </w:p>
    <w:p w:rsidR="00A54CD2" w:rsidRDefault="00A54CD2">
      <w:pPr>
        <w:pStyle w:val="ConsPlusNormal"/>
        <w:spacing w:before="220"/>
        <w:ind w:firstLine="540"/>
        <w:jc w:val="both"/>
      </w:pPr>
      <w:bookmarkStart w:id="9" w:name="P115"/>
      <w:bookmarkEnd w:id="9"/>
      <w:r>
        <w:t xml:space="preserve">и) в реестре дисквалифицированных лиц отсутствуют сведения о дисквалифицированном </w:t>
      </w:r>
      <w:r>
        <w:lastRenderedPageBreak/>
        <w:t>руководителе заемщика;</w:t>
      </w:r>
    </w:p>
    <w:p w:rsidR="00A54CD2" w:rsidRDefault="00A54CD2">
      <w:pPr>
        <w:pStyle w:val="ConsPlusNormal"/>
        <w:spacing w:before="220"/>
        <w:ind w:firstLine="540"/>
        <w:jc w:val="both"/>
      </w:pPr>
      <w:bookmarkStart w:id="10" w:name="P116"/>
      <w:bookmarkEnd w:id="10"/>
      <w:r>
        <w:t>к) для таких видов деятельности, как производство, передача и распределение электроэнергии, передача электроэнергии и технологическое присоединение к распределительным электросетям, торговля электроэнергией, производство, передача и распределение пара и горячей воды, кондиционирование воздуха, заемщик должен дополнительно соответствовать одному из следующих условий: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выручка заемщика по соответствующим видам деятельности за прошедший квартал 2022 года снизилась относительно выручки за соответствующий квартал 2021 года более чем на 10 процентов;</w:t>
      </w:r>
    </w:p>
    <w:p w:rsidR="00A54CD2" w:rsidRDefault="00A54CD2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21.04.2022 N 723)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уровень оплаты, определенный как отношение поступлений денежных средств к начислению и (или) отпуску продукции за поставленные товары и (или) оказанные услуги по соответствующим видам деятельности, за прошедший период 2022 года снизился относительно уровня оплаты за соответствующий период 2021 года на 10 процентов;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л) для такого вида деятельности, как деятельность трубопроводного транспорта, заемщик должен дополнительно соответствовать одному из следующих условий: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выручка заемщика по соответствующим видам деятельности за прошедший квартал 2022 года снизилась относительно выручки за соответствующий квартал 2021 года более чем на 15 процентов;</w:t>
      </w:r>
    </w:p>
    <w:p w:rsidR="00A54CD2" w:rsidRDefault="00A54CD2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21.04.2022 N 723)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уровень оплаты, определенный как отношение поступлений денежных средств к начислению и (или) отпуску продукции за поставленные товары и (или) оказанные услуги по соответствующим видам деятельности, за прошедший период 2022 года снизился относительно уровня оплаты за соответствующий период 2021 года на 15 процентов;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м) для таких видов деятельности, как добыча нефти и нефтяного (попутного) газа, добыча природного газа и газового конденсата, торговля розничная моторным топливом в специализированных магазинах, производство и реализация продукции крупнотоннажной нефтегазохимии, добыча угля, предоставление субсидий осуществляется по отдельным решениям Правительства Российской Федерации при дополнительном соответствии заемщика одному из следующих условий: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выручка заемщика по соответствующим видам деятельности за прошедший квартал 2022 года снизилась относительно выручки за соответствующий квартал 2021 года более чем на 30 процентов;</w:t>
      </w:r>
    </w:p>
    <w:p w:rsidR="00A54CD2" w:rsidRDefault="00A54CD2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21.04.2022 N 723)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уровень оплаты, определенный как отношение поступлений денежных средств к начислению и (или) отпуску продукции за поставленные товары и (или) оказанные услуги по соответствующим видам деятельности, за прошедший период 2022 года снизился относительно уровня оплаты за соответствующий период 2021 года на 30 процентов;</w:t>
      </w:r>
    </w:p>
    <w:p w:rsidR="00A54CD2" w:rsidRDefault="00A54CD2">
      <w:pPr>
        <w:pStyle w:val="ConsPlusNormal"/>
        <w:spacing w:before="220"/>
        <w:ind w:firstLine="540"/>
        <w:jc w:val="both"/>
      </w:pPr>
      <w:bookmarkStart w:id="11" w:name="P128"/>
      <w:bookmarkEnd w:id="11"/>
      <w:r>
        <w:t>н) для такого вида деятельности, как производство нефтепродуктов, заемщик должен соответствовать одновременно следующим условиям: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организация не входит в одну группу лиц с другими организациями, осуществляющими хозяйственную деятельность по таким видам, как добыча нефти и нефтяного (попутного) газа и (или) добыча природного газа и газового конденсата, с суммарной добычей всех видов углеводородного сырья за предшествующий отчетный год более 25 млн. тут;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lastRenderedPageBreak/>
        <w:t>организация за предшествующий отчетный год получила выручку от реализации нефтепродуктов на внутреннем рынке Российской Федерации.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9. Соответствие заемщика условию, предусмотренному </w:t>
      </w:r>
      <w:hyperlink w:anchor="P113" w:history="1">
        <w:r>
          <w:rPr>
            <w:color w:val="0000FF"/>
          </w:rPr>
          <w:t>подпунктом "ж" пункта 8</w:t>
        </w:r>
      </w:hyperlink>
      <w:r>
        <w:t xml:space="preserve"> настоящих Правил, подтверждается заемщиком: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а) письмом (в свободной форме), ежемесячно направляемым в адрес кредитной организации не позднее 1-го рабочего дня месяца, следующего за отчетным месяцем;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б) письмом по форме, утвержденной Пенсионным фондом Российской Федерации, ежемесячно направляемым в адрес кредитной организации не позднее 15-го числа месяца, следующего за отчетным месяцем.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10. Ответственность за соответствие заемщиков требованиям настоящих Правил, за соответствие кредитных договоров (соглашений) условиям настоящих Правил, а также за целевое использование кредита несет получатель субсидии.</w:t>
      </w:r>
    </w:p>
    <w:p w:rsidR="00A54CD2" w:rsidRDefault="00A54CD2">
      <w:pPr>
        <w:pStyle w:val="ConsPlusNormal"/>
        <w:spacing w:before="220"/>
        <w:ind w:firstLine="540"/>
        <w:jc w:val="both"/>
      </w:pPr>
      <w:bookmarkStart w:id="12" w:name="P135"/>
      <w:bookmarkEnd w:id="12"/>
      <w:r>
        <w:t xml:space="preserve">11. Получатель субсидии в случае </w:t>
      </w:r>
      <w:proofErr w:type="spellStart"/>
      <w:r>
        <w:t>непредоставления</w:t>
      </w:r>
      <w:proofErr w:type="spellEnd"/>
      <w:r>
        <w:t xml:space="preserve"> ему субсидии полностью или частично на цели, предусмотренные </w:t>
      </w:r>
      <w:hyperlink w:anchor="P45" w:history="1">
        <w:r>
          <w:rPr>
            <w:color w:val="0000FF"/>
          </w:rPr>
          <w:t>пунктом 1</w:t>
        </w:r>
      </w:hyperlink>
      <w:r>
        <w:t xml:space="preserve"> настоящих Правил, вправе в одностороннем порядке изменить размер процентной ставки, указанный в кредитном договоре (соглашении).</w:t>
      </w:r>
    </w:p>
    <w:p w:rsidR="00A54CD2" w:rsidRDefault="00A54CD2">
      <w:pPr>
        <w:pStyle w:val="ConsPlusNormal"/>
        <w:jc w:val="both"/>
      </w:pPr>
      <w:r>
        <w:t xml:space="preserve">(п. 11 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21.04.2022 N 723)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12. Количество и периодичность проведения отборов, а также подведения итогов отборов определяется Министерством энергетики Российской Федерации.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13. Заемщики самостоятельно выбирают кредитную организацию из числа включенных в перечень системно значимых кредитных организаций, утверждаемый Председателем Центрального банка Российской Федерации в соответствии с методикой определения системно значимых кредитных организаций, утвержденной указанием Центрального банка Российской Федерации, и (или) российских кредитных организаций, в отношении которых иностранными государствами в 2022 году введены </w:t>
      </w:r>
      <w:proofErr w:type="spellStart"/>
      <w:r>
        <w:t>санкционные</w:t>
      </w:r>
      <w:proofErr w:type="spellEnd"/>
      <w:r>
        <w:t xml:space="preserve"> ограничения, и (или) уполномоченную кредитную организацию, ответственную за проведение расчетов между субъектами оптового рынка электрической энергии и мощности, для получения кредита по льготной процентной ставке и представляют документы, необходимые для получения кредита по льготной процентной ставке.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Заемщик обязуется при заключении кредитного договора (соглашения) по льготной процентной ставке более чем с одним банком уведомлять кредитные организации, с которыми заключил и (или) заключает такие кредитные договоры (соглашения), о суммах и российских кредитных организациях, с которыми кредитные договоры (соглашения) заключены и (или) заключаются в соответствии с настоящими Правилами.</w:t>
      </w:r>
    </w:p>
    <w:p w:rsidR="00A54CD2" w:rsidRDefault="00A54CD2">
      <w:pPr>
        <w:pStyle w:val="ConsPlusNormal"/>
        <w:jc w:val="both"/>
      </w:pPr>
      <w:r>
        <w:t xml:space="preserve">(абзац введен </w:t>
      </w:r>
      <w:hyperlink r:id="rId26" w:history="1">
        <w:r>
          <w:rPr>
            <w:color w:val="0000FF"/>
          </w:rPr>
          <w:t>Постановлением</w:t>
        </w:r>
      </w:hyperlink>
      <w:r>
        <w:t xml:space="preserve"> Правительства РФ от 21.04.2022 N 723)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Совокупный объем кредитов, привлекаемых по кредитным договорам (соглашениям) по льготной процентной ставке, для одного заемщика рассчитывается исходя из одной четвертой выручки заемщика за 2021 год, умноженной на 0,7, и не превышает 10 млрд. рублей, а для юридических лиц, входящих в одну группу лиц одной системообразующей организации (включая эту системообразующую организацию), - не должен превышать 30 млрд. рублей.</w:t>
      </w:r>
    </w:p>
    <w:p w:rsidR="00A54CD2" w:rsidRDefault="00A54CD2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27.05.2022 N 953)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14. Проверка соответствия заемщиков требованиям настоящих Правил, применяемых к заемщикам, и определение возможности получения средств по кредитным договорам (соглашениям) выполняются кредитной организацией самостоятельно в соответствии с правилами и процедурами, принятыми в соответствующей кредитной организации.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15. Заемщики, претендующие на получение кредита по льготной процентной ставке, включаются в реестр потенциальных заемщиков получателем субсидии.</w:t>
      </w:r>
    </w:p>
    <w:p w:rsidR="00A54CD2" w:rsidRDefault="00A54CD2">
      <w:pPr>
        <w:pStyle w:val="ConsPlusNormal"/>
        <w:spacing w:before="220"/>
        <w:ind w:firstLine="540"/>
        <w:jc w:val="both"/>
      </w:pPr>
      <w:bookmarkStart w:id="13" w:name="P145"/>
      <w:bookmarkEnd w:id="13"/>
      <w:r>
        <w:lastRenderedPageBreak/>
        <w:t>16. Кредитные организации, претендующие на получение субсидии в соответствии с настоящими Правилами, представляют в Министерство энергетики Российской Федерации заявку на участие в отборе, к которой прилагают следующие документы: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а) сведения о государственной регистрации кредитной организации в качестве </w:t>
      </w:r>
      <w:proofErr w:type="gramStart"/>
      <w:r>
        <w:t>юридического лица</w:t>
      </w:r>
      <w:proofErr w:type="gramEnd"/>
      <w:r>
        <w:t xml:space="preserve"> и копия лицензии на осуществление банковских операций, выданной Центральным банком Российской Федерации;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б) заверенные кредитной организацией или нотариально удостоверенные копии учредительных документов кредитной организации;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в) справка, подписанная руководителем кредитной организации либо уполномоченным лицом кредитной организации, действующим на основании доверенности (далее - уполномоченное лицо кредитной организации), скрепленная печатью (при наличии) кредитной организации, с указанием банковских реквизитов и счетов, на которые следует перечислять субсидию;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г) доверенность уполномоченного лица кредитной организации, удостоверяющая право такого лица на подписание заявки на участие в отборе и (или) иных документов на участие кредитной организации в отборе (если заявка на участие в отборе и (или) документы подписаны уполномоченным лицом кредитной организации, действующим на основании доверенности);</w:t>
      </w:r>
    </w:p>
    <w:p w:rsidR="00A54CD2" w:rsidRDefault="00A54CD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21.04.2022 N 723)</w:t>
      </w:r>
    </w:p>
    <w:p w:rsidR="00A54CD2" w:rsidRDefault="00A54CD2">
      <w:pPr>
        <w:pStyle w:val="ConsPlusNormal"/>
        <w:spacing w:before="220"/>
        <w:ind w:firstLine="540"/>
        <w:jc w:val="both"/>
      </w:pPr>
      <w:bookmarkStart w:id="14" w:name="P151"/>
      <w:bookmarkEnd w:id="14"/>
      <w:r>
        <w:t>д) справка, подписанная уполномоченным лицом кредитной организации, скрепленная печатью (при наличии) кредитной организации, подтверждающая, что на дату подачи заявки на участие в отборе кредитная организация соответствует следующим критериям: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у кредитной организации на дату не ранее чем за 30 календарных дней до даты подачи заявки на участие в отборе отсутствует задолженность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 о налогах и сборах;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кредитная организация по состоянию на дату не ранее чем за 30 календарных дней до даты подачи заявки на участие в отборе не имеет просроченной задолженности по возврату в федеральный бюджет субсидий, бюджетных инвестиций, предоставленных из федерального бюджета в том числе в соответствии с иными правовыми актами Российской Федерации, и иной просроченной (неурегулированной) задолженности по денежным обязательствам перед Российской Федерацией;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кредитная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 </w:t>
      </w:r>
      <w:hyperlink r:id="rId29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кредитная организация по состоянию на дату не ранее чем за 30 календарных дней до даты подачи заявки на участие в отборе не получает средства из федерального бюджета на основании иных нормативных правовых актов на цели, предусмотренные </w:t>
      </w:r>
      <w:hyperlink w:anchor="P45" w:history="1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кредитная организация на дату подачи заявки на участие в отборе не находится в процессе реорганизации (за исключением реорганизации в форме присоединения к кредитной организации другого юридического лица), ликвидации, в отношении ее не введена процедура банкротства, деятельность кредитной организации не приостановлена;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lastRenderedPageBreak/>
        <w:t>кредитная организация не должна получать средства из федерального бюджета (бюджета субъекта Российской Федерации, местного бюджета), из которого планируется предоставление субсидии в соответствии с настоящими Правилами, на основании иных нормативных правовых актов Российской Федерации (нормативных правовых актов субъекта Российской Федерации, муниципальных правовых актов) на цели, предусмотренные настоящими Правилами.</w:t>
      </w:r>
    </w:p>
    <w:p w:rsidR="00A54CD2" w:rsidRDefault="00A54CD2">
      <w:pPr>
        <w:pStyle w:val="ConsPlusNormal"/>
        <w:spacing w:before="220"/>
        <w:ind w:firstLine="540"/>
        <w:jc w:val="both"/>
      </w:pPr>
      <w:bookmarkStart w:id="15" w:name="P158"/>
      <w:bookmarkEnd w:id="15"/>
      <w:r>
        <w:t xml:space="preserve">17. Дополнительно к документам, предусмотренным </w:t>
      </w:r>
      <w:hyperlink w:anchor="P145" w:history="1">
        <w:r>
          <w:rPr>
            <w:color w:val="0000FF"/>
          </w:rPr>
          <w:t>пунктом 16</w:t>
        </w:r>
      </w:hyperlink>
      <w:r>
        <w:t xml:space="preserve"> настоящих Правил, кредитная организация представляет:</w:t>
      </w:r>
    </w:p>
    <w:p w:rsidR="00A54CD2" w:rsidRDefault="00A54CD2">
      <w:pPr>
        <w:pStyle w:val="ConsPlusNormal"/>
        <w:spacing w:before="220"/>
        <w:ind w:firstLine="540"/>
        <w:jc w:val="both"/>
      </w:pPr>
      <w:bookmarkStart w:id="16" w:name="P159"/>
      <w:bookmarkEnd w:id="16"/>
      <w:r>
        <w:t>а) реестр потенциальных заемщиков, подписанный уполномоченным лицом кредитной организации, с приложением копий поданных заемщиками заявок на получение средств по кредитным договорам (соглашениям), заверенных в установленном порядке кредитной организацией;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б) справку, подписанную уполномоченным лицом кредитной организации, скрепленную печатью (при наличии) этой кредитной организации, подтверждающую, что заемщики, включенные в реестр потенциальных заемщиков, представленный в соответствии с </w:t>
      </w:r>
      <w:hyperlink w:anchor="P159" w:history="1">
        <w:r>
          <w:rPr>
            <w:color w:val="0000FF"/>
          </w:rPr>
          <w:t>подпунктом "а"</w:t>
        </w:r>
      </w:hyperlink>
      <w:r>
        <w:t xml:space="preserve"> настоящего пункта, соответствуют положениям, предусмотренным </w:t>
      </w:r>
      <w:hyperlink w:anchor="P106" w:history="1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в) предварительный план-график ежемесячного остатка ссудной задолженности заемщиков по кредитным договорам (соглашениям) в текущем финансовом году с расчетом прогнозной суммы субсидии, сформированный с учетом положений настоящих Правил;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г) документы (копии документов), подтверждающие, что заемщик является юридическим лицом, входящим в группу лиц системообразующей организации в соответствии с положениями </w:t>
      </w:r>
      <w:hyperlink r:id="rId30" w:history="1">
        <w:r>
          <w:rPr>
            <w:color w:val="0000FF"/>
          </w:rPr>
          <w:t>статьи 9</w:t>
        </w:r>
      </w:hyperlink>
      <w:r>
        <w:t xml:space="preserve"> Федерального закона "О защите конкуренции" (в случае, если заемщик отсутствует в перечне (перечнях) системообразующих организаций);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д) иные документы, указанные в объявлении о проведении отбора.</w:t>
      </w:r>
    </w:p>
    <w:p w:rsidR="00A54CD2" w:rsidRDefault="00A54CD2">
      <w:pPr>
        <w:pStyle w:val="ConsPlusNormal"/>
        <w:spacing w:before="220"/>
        <w:ind w:firstLine="540"/>
        <w:jc w:val="both"/>
      </w:pPr>
      <w:bookmarkStart w:id="17" w:name="P164"/>
      <w:bookmarkEnd w:id="17"/>
      <w:r>
        <w:t>18. Министерство энергетики Российской Федерации обеспечивает регистрацию поступивших в установленные в объявлении о проведении отбора сроки заявок на участие в отборе и прилагаемых к ним документов в течение 2 рабочих дней со дня их поступления и направляет их на рассмотрение в конкурсную комиссию.</w:t>
      </w:r>
    </w:p>
    <w:p w:rsidR="00A54CD2" w:rsidRDefault="00A54CD2">
      <w:pPr>
        <w:pStyle w:val="ConsPlusNormal"/>
        <w:spacing w:before="220"/>
        <w:ind w:firstLine="540"/>
        <w:jc w:val="both"/>
      </w:pPr>
      <w:bookmarkStart w:id="18" w:name="P165"/>
      <w:bookmarkEnd w:id="18"/>
      <w:r>
        <w:t>19. Конкурсная комиссия в течение 10 рабочих дней с даты поступления рассматривает полученные заявки на участие в отборе и прилагаемые к ним документы.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В случае соответствия заявки на участие в отборе и прилагаемых к ней документов положениям настоящих Правил конкурсная комиссия принимает решение о возможности предоставления субсидии получателю субсидии с установлением объема средств в пределах лимитов бюджетных обязательств (далее - лимит субсидии).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Уведомление о принятом решении направляется Министерством энергетики Российской Федерации получателю субсидии не позднее 2 рабочих дней со дня его принятия.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При несоответствии заявки на участие в отборе и прилагаемых к ней документов положениям настоящих Правил, а также при наличии недостоверных сведений в заявке на участие в отборе и документах конкурсная комиссия принимает решение об отклонении заявки на получение субсидии и уведомляет об этом (с указанием причин отклонения) кредитную организацию в течение 5 рабочих дней, а также уведомляет о сроках направления повторной заявки на получение субсидии.</w:t>
      </w:r>
    </w:p>
    <w:p w:rsidR="00A54CD2" w:rsidRDefault="00A54CD2">
      <w:pPr>
        <w:pStyle w:val="ConsPlusNormal"/>
        <w:spacing w:before="220"/>
        <w:ind w:firstLine="540"/>
        <w:jc w:val="both"/>
      </w:pPr>
      <w:bookmarkStart w:id="19" w:name="P169"/>
      <w:bookmarkEnd w:id="19"/>
      <w:r>
        <w:t xml:space="preserve">20. По итогам принятия решений, указанных в </w:t>
      </w:r>
      <w:hyperlink w:anchor="P165" w:history="1">
        <w:r>
          <w:rPr>
            <w:color w:val="0000FF"/>
          </w:rPr>
          <w:t>пункте 19</w:t>
        </w:r>
      </w:hyperlink>
      <w:r>
        <w:t xml:space="preserve"> настоящих Правил, Министерство энергетики Российской Федерации не позднее 60 календарных дней с даты принятия таких решений формирует перечень получателей субсидий в пределах общего лимита субсидий.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lastRenderedPageBreak/>
        <w:t>Общий лимит субсидий по каждому виду экономической деятельности, предоставляемых получателям субсидий в текущем финансовом году, определяется Министерством энергетики Российской Федерации в размере, не превышающем общего лимита бюджетных обязательств.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Министерство энергетики Российской Федерации устанавливает лимит субсидии для каждого получателя субсидии пропорционально объемам средств, представленных в документах, предусмотренных </w:t>
      </w:r>
      <w:hyperlink w:anchor="P145" w:history="1">
        <w:r>
          <w:rPr>
            <w:color w:val="0000FF"/>
          </w:rPr>
          <w:t>пунктами 16</w:t>
        </w:r>
      </w:hyperlink>
      <w:r>
        <w:t xml:space="preserve"> - </w:t>
      </w:r>
      <w:hyperlink w:anchor="P158" w:history="1">
        <w:r>
          <w:rPr>
            <w:color w:val="0000FF"/>
          </w:rPr>
          <w:t>17</w:t>
        </w:r>
      </w:hyperlink>
      <w:r>
        <w:t xml:space="preserve"> настоящих Правил, в пределах лимитов бюджетных обязательств по видам деятельности.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В сроки, указанные в объявлении о проведении отбора, Министерство энергетики Российской Федерации размещает на едином портале и (или) официальном сайте Министерства энергетики Российской Федерации в информационно-телекоммуникационной сети "Интернет" результаты рассмотрения заявок на участие в отборе, включающие следующие сведения:</w:t>
      </w:r>
    </w:p>
    <w:p w:rsidR="00A54CD2" w:rsidRDefault="00A54CD2">
      <w:pPr>
        <w:pStyle w:val="ConsPlusNormal"/>
        <w:jc w:val="both"/>
      </w:pPr>
      <w:r>
        <w:t xml:space="preserve">(абзац введен </w:t>
      </w:r>
      <w:hyperlink r:id="rId31" w:history="1">
        <w:r>
          <w:rPr>
            <w:color w:val="0000FF"/>
          </w:rPr>
          <w:t>Постановлением</w:t>
        </w:r>
      </w:hyperlink>
      <w:r>
        <w:t xml:space="preserve"> Правительства РФ от 21.04.2022 N 723)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дата, время и место рассмотрения заявок на участие в отборе;</w:t>
      </w:r>
    </w:p>
    <w:p w:rsidR="00A54CD2" w:rsidRDefault="00A54CD2">
      <w:pPr>
        <w:pStyle w:val="ConsPlusNormal"/>
        <w:jc w:val="both"/>
      </w:pPr>
      <w:r>
        <w:t xml:space="preserve">(абзац введен </w:t>
      </w:r>
      <w:hyperlink r:id="rId32" w:history="1">
        <w:r>
          <w:rPr>
            <w:color w:val="0000FF"/>
          </w:rPr>
          <w:t>Постановлением</w:t>
        </w:r>
      </w:hyperlink>
      <w:r>
        <w:t xml:space="preserve"> Правительства РФ от 21.04.2022 N 723)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информация об участниках отбора, заявки на участие в отборе которых были рассмотрены;</w:t>
      </w:r>
    </w:p>
    <w:p w:rsidR="00A54CD2" w:rsidRDefault="00A54CD2">
      <w:pPr>
        <w:pStyle w:val="ConsPlusNormal"/>
        <w:jc w:val="both"/>
      </w:pPr>
      <w:r>
        <w:t xml:space="preserve">(абзац введен </w:t>
      </w:r>
      <w:hyperlink r:id="rId33" w:history="1">
        <w:r>
          <w:rPr>
            <w:color w:val="0000FF"/>
          </w:rPr>
          <w:t>Постановлением</w:t>
        </w:r>
      </w:hyperlink>
      <w:r>
        <w:t xml:space="preserve"> Правительства РФ от 21.04.2022 N 723)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информация об участниках отбора, заявки на участие в отборе которых были отклонены (с указанием причин отклонения, в том числе положений объявления о проведении отбора, которым не соответствуют заявки на участие в отборе);</w:t>
      </w:r>
    </w:p>
    <w:p w:rsidR="00A54CD2" w:rsidRDefault="00A54CD2">
      <w:pPr>
        <w:pStyle w:val="ConsPlusNormal"/>
        <w:jc w:val="both"/>
      </w:pPr>
      <w:r>
        <w:t xml:space="preserve">(абзац введен </w:t>
      </w:r>
      <w:hyperlink r:id="rId34" w:history="1">
        <w:r>
          <w:rPr>
            <w:color w:val="0000FF"/>
          </w:rPr>
          <w:t>Постановлением</w:t>
        </w:r>
      </w:hyperlink>
      <w:r>
        <w:t xml:space="preserve"> Правительства РФ от 21.04.2022 N 723)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наименования кредитных организаций, с которыми заключаются соглашения о предоставлении субсидий, и размер предоставляемых субсидий.</w:t>
      </w:r>
    </w:p>
    <w:p w:rsidR="00A54CD2" w:rsidRDefault="00A54CD2">
      <w:pPr>
        <w:pStyle w:val="ConsPlusNormal"/>
        <w:jc w:val="both"/>
      </w:pPr>
      <w:r>
        <w:t xml:space="preserve">(абзац введен </w:t>
      </w:r>
      <w:hyperlink r:id="rId35" w:history="1">
        <w:r>
          <w:rPr>
            <w:color w:val="0000FF"/>
          </w:rPr>
          <w:t>Постановлением</w:t>
        </w:r>
      </w:hyperlink>
      <w:r>
        <w:t xml:space="preserve"> Правительства РФ от 21.04.2022 N 723)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21. Получатели субсидий самостоятельно заключают с заемщиками, включаемыми в реестр потенциальных заемщиков, кредитные договоры (соглашения) и предоставляют средства кредита.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Допускается заключение заемщиками кредитных договоров (соглашений) с несколькими получателями субсидий при условии соблюдения положений, предусмотренных </w:t>
      </w:r>
      <w:hyperlink w:anchor="P100" w:history="1">
        <w:r>
          <w:rPr>
            <w:color w:val="0000FF"/>
          </w:rPr>
          <w:t>подпунктом "д" пункта 6</w:t>
        </w:r>
      </w:hyperlink>
      <w:r>
        <w:t xml:space="preserve"> и </w:t>
      </w:r>
      <w:hyperlink w:anchor="P114" w:history="1">
        <w:r>
          <w:rPr>
            <w:color w:val="0000FF"/>
          </w:rPr>
          <w:t>подпунктом "з" пункта 8</w:t>
        </w:r>
      </w:hyperlink>
      <w:r>
        <w:t xml:space="preserve"> настоящих Правил. Ответственность за выполнение этих положений несут получатели субсидий.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22. Субсидии предоставляются на основании соглашений, заключаемых Министерством энергетики Российской Федерации с получателями субсидий в системе "Электронный бюджет" в соответствии с типовой </w:t>
      </w:r>
      <w:hyperlink r:id="rId36" w:history="1">
        <w:r>
          <w:rPr>
            <w:color w:val="0000FF"/>
          </w:rPr>
          <w:t>формой</w:t>
        </w:r>
      </w:hyperlink>
      <w:r>
        <w:t>, утверждаемой Министерством финансов Российской Федерации, и подписанных усиленной квалифицированной электронной подписью лиц, имеющих право действовать от имени каждой из сторон. Соглашение заключается в сроки, указанные в объявлении о проведении отбора.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23. В соглашении предусматриваются в том числе: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а) согласие получателя субсидии на осуществление Министерством энергетики Российской Федерации проверок соблюдения получателем субсидии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финансового контроля в соответствии со </w:t>
      </w:r>
      <w:hyperlink r:id="rId37" w:history="1">
        <w:r>
          <w:rPr>
            <w:color w:val="0000FF"/>
          </w:rPr>
          <w:t>статьями 268.1</w:t>
        </w:r>
      </w:hyperlink>
      <w:r>
        <w:t xml:space="preserve"> и </w:t>
      </w:r>
      <w:hyperlink r:id="rId38" w:history="1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A54CD2" w:rsidRDefault="00A54CD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Правительства РФ от 21.04.2022 N 723)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б) результаты предоставления субсидии и показатели, необходимые для достижения результатов предоставления субсидии, предусмотренные </w:t>
      </w:r>
      <w:hyperlink w:anchor="P224" w:history="1">
        <w:r>
          <w:rPr>
            <w:color w:val="0000FF"/>
          </w:rPr>
          <w:t>пунктом 34</w:t>
        </w:r>
      </w:hyperlink>
      <w:r>
        <w:t xml:space="preserve"> настоящих Правил;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lastRenderedPageBreak/>
        <w:t xml:space="preserve">в) обязанность представления получателем субсидии отчетности о достижении значений результатов предоставления субсидии и показателей, необходимых для достижения результата предоставления субсидии, предусмотренного </w:t>
      </w:r>
      <w:hyperlink w:anchor="P224" w:history="1">
        <w:r>
          <w:rPr>
            <w:color w:val="0000FF"/>
          </w:rPr>
          <w:t>пунктом 34</w:t>
        </w:r>
      </w:hyperlink>
      <w:r>
        <w:t xml:space="preserve"> настоящих Правил, и право Министерства энергетики Российской Федерации устанавливать сроки и формы представления получателем субсидии дополнительной отчетности в рамках реализации настоящих Правил;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г) обязанность получателя субсидии по </w:t>
      </w:r>
      <w:proofErr w:type="spellStart"/>
      <w:r>
        <w:t>неувеличению</w:t>
      </w:r>
      <w:proofErr w:type="spellEnd"/>
      <w:r>
        <w:t xml:space="preserve"> применяемых льготных процентных ставок и объемов платежей заемщика по кредитам, включенным в заявку на получение субсидии, за исключением: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штрафных санкций в случае неисполнения заемщиком условий кредитного договора (соглашения);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случая, предусмотренного </w:t>
      </w:r>
      <w:hyperlink w:anchor="P135" w:history="1">
        <w:r>
          <w:rPr>
            <w:color w:val="0000FF"/>
          </w:rPr>
          <w:t>пунктом 11</w:t>
        </w:r>
      </w:hyperlink>
      <w:r>
        <w:t xml:space="preserve"> настоящих Правил;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д) порядок внесения изменений в соглашение, в том числе в случае изменения лимита бюджетных обязательств. В случае уменьшения Министерству энергетики Российской Федерации как получателю средств федерального бюджета ранее доведенных лимитов бюджетных обязательств, приводящего к невозможности предоставления субсидии в размере, определенном в соглашении, предусматривается условие о согласовании новых условий этого соглашения или о его расторжении при </w:t>
      </w:r>
      <w:proofErr w:type="spellStart"/>
      <w:r>
        <w:t>недостижении</w:t>
      </w:r>
      <w:proofErr w:type="spellEnd"/>
      <w:r>
        <w:t xml:space="preserve"> согласия по новым условиям;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е) лимит субсидии, установленный </w:t>
      </w:r>
      <w:hyperlink w:anchor="P169" w:history="1">
        <w:r>
          <w:rPr>
            <w:color w:val="0000FF"/>
          </w:rPr>
          <w:t>пунктом 20</w:t>
        </w:r>
      </w:hyperlink>
      <w:r>
        <w:t xml:space="preserve"> настоящих Правил.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24. Получатель субсидии вправе представлять не позднее 7-го рабочего дня каждого месяца в текущем финансовом году в Министерство энергетики Российской Федерации предложение об изменении размера субсидии, необходимого получателю субсидии для предоставления заемщикам льготной процентной ставки в соответствии с настоящими Правилами в пределах установленных лимитов субсидии.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25. Право на получение субсидии возникает у получателя субсидии с даты заключения соглашения, но не ранее даты фактического перечисления заемщиком процентов по кредитному договору (соглашению).</w:t>
      </w:r>
    </w:p>
    <w:p w:rsidR="00A54CD2" w:rsidRDefault="00A54CD2">
      <w:pPr>
        <w:pStyle w:val="ConsPlusNormal"/>
        <w:spacing w:before="220"/>
        <w:ind w:firstLine="540"/>
        <w:jc w:val="both"/>
      </w:pPr>
      <w:bookmarkStart w:id="20" w:name="P197"/>
      <w:bookmarkEnd w:id="20"/>
      <w:r>
        <w:t>26. Ежемесячное перечисление субсидии осуществляется в размере, рассчитанном как произведение суммы среднедневного остатка ссудной задолженности заемщиков по кредитным договорам (соглашениям) и ставки субсидирования по кредитным договорам (соглашениям), деленное на количество дней в текущем году и умноженное на количество дней в отчетном месяце.</w:t>
      </w:r>
    </w:p>
    <w:p w:rsidR="00A54CD2" w:rsidRDefault="00A54CD2">
      <w:pPr>
        <w:pStyle w:val="ConsPlusNormal"/>
        <w:jc w:val="both"/>
      </w:pPr>
      <w:r>
        <w:t xml:space="preserve">(в ред. </w:t>
      </w:r>
      <w:hyperlink r:id="rId40" w:history="1">
        <w:r>
          <w:rPr>
            <w:color w:val="0000FF"/>
          </w:rPr>
          <w:t>Постановления</w:t>
        </w:r>
      </w:hyperlink>
      <w:r>
        <w:t xml:space="preserve"> Правительства РФ от 21.04.2022 N 723)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Среднедневной остаток ссудной задолженности заемщика по кредитному договору (соглашению) за отчетный месяц (СДО) определяется по формуле:</w:t>
      </w:r>
    </w:p>
    <w:p w:rsidR="00A54CD2" w:rsidRDefault="00A54CD2">
      <w:pPr>
        <w:pStyle w:val="ConsPlusNormal"/>
        <w:jc w:val="both"/>
      </w:pPr>
    </w:p>
    <w:p w:rsidR="00A54CD2" w:rsidRDefault="00A54CD2">
      <w:pPr>
        <w:pStyle w:val="ConsPlusNormal"/>
        <w:jc w:val="center"/>
      </w:pPr>
      <w:r w:rsidRPr="001111B5">
        <w:rPr>
          <w:position w:val="-26"/>
        </w:rPr>
        <w:pict>
          <v:shape id="_x0000_i1025" style="width:78.35pt;height:36.85pt" coordsize="" o:spt="100" adj="0,,0" path="" filled="f" stroked="f">
            <v:stroke joinstyle="miter"/>
            <v:imagedata r:id="rId41" o:title="base_1_417949_32768"/>
            <v:formulas/>
            <v:path o:connecttype="segments"/>
          </v:shape>
        </w:pict>
      </w:r>
    </w:p>
    <w:p w:rsidR="00A54CD2" w:rsidRDefault="00A54CD2">
      <w:pPr>
        <w:pStyle w:val="ConsPlusNormal"/>
        <w:jc w:val="both"/>
      </w:pPr>
    </w:p>
    <w:p w:rsidR="00A54CD2" w:rsidRDefault="00A54CD2">
      <w:pPr>
        <w:pStyle w:val="ConsPlusNormal"/>
        <w:ind w:firstLine="540"/>
        <w:jc w:val="both"/>
      </w:pPr>
      <w:r>
        <w:t>где: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n - количество дней в отчетном месяце;</w:t>
      </w:r>
    </w:p>
    <w:p w:rsidR="00A54CD2" w:rsidRDefault="00A54CD2">
      <w:pPr>
        <w:pStyle w:val="ConsPlusNormal"/>
        <w:spacing w:before="220"/>
        <w:ind w:firstLine="540"/>
        <w:jc w:val="both"/>
      </w:pPr>
      <w:proofErr w:type="spellStart"/>
      <w:r>
        <w:t>О</w:t>
      </w:r>
      <w:r>
        <w:rPr>
          <w:vertAlign w:val="subscript"/>
        </w:rPr>
        <w:t>i</w:t>
      </w:r>
      <w:proofErr w:type="spellEnd"/>
      <w:r>
        <w:t xml:space="preserve"> - остаток ссудной задолженности заемщика по кредитному договору (соглашению) на конец i-</w:t>
      </w:r>
      <w:proofErr w:type="spellStart"/>
      <w:r>
        <w:t>го</w:t>
      </w:r>
      <w:proofErr w:type="spellEnd"/>
      <w:r>
        <w:t xml:space="preserve"> дня в отчетном месяце.</w:t>
      </w:r>
    </w:p>
    <w:p w:rsidR="00A54CD2" w:rsidRDefault="00A54CD2">
      <w:pPr>
        <w:pStyle w:val="ConsPlusNormal"/>
        <w:spacing w:before="220"/>
        <w:ind w:firstLine="540"/>
        <w:jc w:val="both"/>
      </w:pPr>
      <w:bookmarkStart w:id="21" w:name="P206"/>
      <w:bookmarkEnd w:id="21"/>
      <w:r>
        <w:t>27. Получатель субсидии для получения субсидии представляет в Министерство энергетики Российской Федерации не позднее 7-го рабочего дня каждого месяца следующие документы: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lastRenderedPageBreak/>
        <w:t>а) заявление на получение субсидии в свободной форме (далее - заявление), подписанное руководителем получателя субсидии или уполномоченным им лицом (с представлением документов, подтверждающих полномочия этого лица);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б) реестр заемщиков по форме, предусмотренной </w:t>
      </w:r>
      <w:hyperlink w:anchor="P302" w:history="1">
        <w:r>
          <w:rPr>
            <w:color w:val="0000FF"/>
          </w:rPr>
          <w:t>приложением N 2</w:t>
        </w:r>
      </w:hyperlink>
      <w:r>
        <w:t xml:space="preserve"> к настоящим Правилам, подписанный руководителем получателя субсидии или уполномоченным им лицом (с представлением документов, подтверждающих полномочия этого лица).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28. Получатель субсидии несет ответственность за комплектность и достоверность документов, представленных в соответствии с </w:t>
      </w:r>
      <w:hyperlink w:anchor="P206" w:history="1">
        <w:r>
          <w:rPr>
            <w:color w:val="0000FF"/>
          </w:rPr>
          <w:t>пунктом 27</w:t>
        </w:r>
      </w:hyperlink>
      <w:r>
        <w:t xml:space="preserve"> настоящих Правил.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В случае если в реестре заемщиков, направляемом в составе документов для получения субсидии, присутствуют заемщики, не представленные в реестре потенциальных заемщиков, направляемом в составе заявки на получение субсидии в соответствии с </w:t>
      </w:r>
      <w:hyperlink w:anchor="P159" w:history="1">
        <w:r>
          <w:rPr>
            <w:color w:val="0000FF"/>
          </w:rPr>
          <w:t>подпунктом "а" пункта 17</w:t>
        </w:r>
      </w:hyperlink>
      <w:r>
        <w:t xml:space="preserve"> настоящих Правил, получатель субсидии представляет документы, подтверждающие соответствие кредитных договоров (соглашений) с такими заемщиками и соответствие таких заемщиков требованиям </w:t>
      </w:r>
      <w:hyperlink w:anchor="P93" w:history="1">
        <w:r>
          <w:rPr>
            <w:color w:val="0000FF"/>
          </w:rPr>
          <w:t>пунктов 6</w:t>
        </w:r>
      </w:hyperlink>
      <w:r>
        <w:t xml:space="preserve"> и </w:t>
      </w:r>
      <w:hyperlink w:anchor="P106" w:history="1">
        <w:r>
          <w:rPr>
            <w:color w:val="0000FF"/>
          </w:rPr>
          <w:t>8</w:t>
        </w:r>
      </w:hyperlink>
      <w:r>
        <w:t xml:space="preserve"> настоящих Правил при направлении документов для получения субсидии.</w:t>
      </w:r>
    </w:p>
    <w:p w:rsidR="00A54CD2" w:rsidRDefault="00A54CD2">
      <w:pPr>
        <w:pStyle w:val="ConsPlusNormal"/>
        <w:jc w:val="both"/>
      </w:pPr>
      <w:r>
        <w:t xml:space="preserve">(абзац введен </w:t>
      </w:r>
      <w:hyperlink r:id="rId42" w:history="1">
        <w:r>
          <w:rPr>
            <w:color w:val="0000FF"/>
          </w:rPr>
          <w:t>Постановлением</w:t>
        </w:r>
      </w:hyperlink>
      <w:r>
        <w:t xml:space="preserve"> Правительства РФ от 21.04.2022 N 723)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29. Министерство энергетики Российской Федерации: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а) регистрирует в порядке очередности заявления и прилагаемые к ним документы, указанные в </w:t>
      </w:r>
      <w:hyperlink w:anchor="P206" w:history="1">
        <w:r>
          <w:rPr>
            <w:color w:val="0000FF"/>
          </w:rPr>
          <w:t>пункте 27</w:t>
        </w:r>
      </w:hyperlink>
      <w:r>
        <w:t xml:space="preserve"> настоящих Правил, в течение 7 рабочих дней со дня их поступления проверяет их комплектность и соответствие положениям, предусмотренным </w:t>
      </w:r>
      <w:hyperlink w:anchor="P206" w:history="1">
        <w:r>
          <w:rPr>
            <w:color w:val="0000FF"/>
          </w:rPr>
          <w:t>пунктом 27</w:t>
        </w:r>
      </w:hyperlink>
      <w:r>
        <w:t xml:space="preserve"> настоящих Правил, и принимает решение о предоставлении субсидии или об отказе в предоставлении субсидии. Указанный срок может быть продлен Министерством энергетики Российской Федерации не более чем на 5 рабочих дней в целях получения от получателя субсидии документов, не представленных и (или) не оформленных в соответствии с положениями, предусмотренными </w:t>
      </w:r>
      <w:hyperlink w:anchor="P206" w:history="1">
        <w:r>
          <w:rPr>
            <w:color w:val="0000FF"/>
          </w:rPr>
          <w:t>пунктом 27</w:t>
        </w:r>
      </w:hyperlink>
      <w:r>
        <w:t xml:space="preserve"> настоящих Правил;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б) обеспечивает в установленном порядке перечисление субсидии на корреспондентский счет получателя субсидии, открытый в учреждении Центрального банка Российской Федерации, в размере, рассчитанном в соответствии с </w:t>
      </w:r>
      <w:hyperlink w:anchor="P197" w:history="1">
        <w:r>
          <w:rPr>
            <w:color w:val="0000FF"/>
          </w:rPr>
          <w:t>пунктом 26</w:t>
        </w:r>
      </w:hyperlink>
      <w:r>
        <w:t xml:space="preserve"> настоящих Правил, в течение 10 рабочих дней со дня принятия решения о предоставлении субсидии.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30. В случае несоответствия представленных получателем субсидии документов положениям, предусмотренным </w:t>
      </w:r>
      <w:hyperlink w:anchor="P206" w:history="1">
        <w:r>
          <w:rPr>
            <w:color w:val="0000FF"/>
          </w:rPr>
          <w:t>пунктом 27</w:t>
        </w:r>
      </w:hyperlink>
      <w:r>
        <w:t xml:space="preserve"> настоящих Правил, или непредставления (представления не в полном объеме) указанных документов, или недостоверности представленной получателем субсидии информации, или несоответствия получателя субсидий требованиям (категориям и (или) критериям) к участникам отбора, указанным в объявлении о проведении соответствующего отбора, Министерство энергетики Российской Федерации в течение 10 рабочих дней со дня принятия указанного решения направляет получателю субсидии уведомление об отказе в предоставлении субсидии с указанием причин принятия такого решения.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31. Получатель субсидии ежеквартально, не позднее 20-го числа месяца, следующего за отчетным кварталом, представляет в Министерство энергетики Российской Федерации: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а) отчет о достижении значений результатов предоставления субсидии и показателей, необходимых для достижения результатов предоставления субсидии, по форме, установленной типовой формой соглашения, утвержденной Министерством финансов Российской Федерации;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б) отчет о целевом использовании средств по кредитным договорам (соглашениям), полученных заемщиками.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32. В целях осуществления контроля за целевым использованием субсидии получатель </w:t>
      </w:r>
      <w:r>
        <w:lastRenderedPageBreak/>
        <w:t>субсидии направляет ежемесячно, не позднее 10 рабочих дней со дня окончания отчетного месяца, в Министерство энергетики Российской Федерации отчет о целевом использовании субсидии, который содержит в том числе: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а) сведения о платежах по процентам и комиссиям в рамках указанных в заявлении кредитных договоров (соглашений);</w:t>
      </w:r>
    </w:p>
    <w:p w:rsidR="00A54CD2" w:rsidRDefault="00A54CD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Правительства РФ от 21.04.2022 N 723)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б) выписки по ссудному счету по кредитным договорам (соглашениям) на пополнение оборотных средств, подтверждающие выдачу кредита в отчетном месяце и (или) в месяцах, предшествующих отчетному месяцу, в случае, если они не представлялись ранее в Министерство энергетики Российской Федерации.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33. Получатель субсидии по запросу Министерства энергетики Российской Федерации представляет документы, подтверждающие соответствие кредитного договора (соглашения) целям, предусмотренным </w:t>
      </w:r>
      <w:hyperlink w:anchor="P45" w:history="1">
        <w:r>
          <w:rPr>
            <w:color w:val="0000FF"/>
          </w:rPr>
          <w:t>пунктом 1</w:t>
        </w:r>
      </w:hyperlink>
      <w:r>
        <w:t xml:space="preserve"> настоящих Правил, в течение 5 рабочих дней со дня поступления соответствующего запроса.</w:t>
      </w:r>
    </w:p>
    <w:p w:rsidR="00A54CD2" w:rsidRDefault="00A54CD2">
      <w:pPr>
        <w:pStyle w:val="ConsPlusNormal"/>
        <w:spacing w:before="220"/>
        <w:ind w:firstLine="540"/>
        <w:jc w:val="both"/>
      </w:pPr>
      <w:bookmarkStart w:id="22" w:name="P224"/>
      <w:bookmarkEnd w:id="22"/>
      <w:r>
        <w:t>34. Результатом предоставления субсидии является объем выданных на 31 декабря 2022 г. получателем субсидии кредитов в рамках кредитных договоров (соглашений) в сумме, указанной в соглашении.</w:t>
      </w:r>
    </w:p>
    <w:p w:rsidR="00A54CD2" w:rsidRDefault="00A54CD2">
      <w:pPr>
        <w:pStyle w:val="ConsPlusNormal"/>
        <w:jc w:val="both"/>
      </w:pPr>
      <w:r>
        <w:t xml:space="preserve">(п. 34 в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Правительства РФ от 27.05.2022 N 953)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35. В случае выявления получателем субсидии нецелевого использования заемщиком средств кредита получатель субсидии в течение 3 рабочих дней информирует Министерство энергетики Российской Федерации о факте нарушения.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36. Министерство энергетики Российской Федерации осуществляет проверку соблюдения получателем субсидии порядка и условий предоставления субсидии (за исключением контроля соответствия заемщиков условиям, предусмотренным </w:t>
      </w:r>
      <w:hyperlink w:anchor="P107" w:history="1">
        <w:r>
          <w:rPr>
            <w:color w:val="0000FF"/>
          </w:rPr>
          <w:t>подпунктами "а"</w:t>
        </w:r>
      </w:hyperlink>
      <w:r>
        <w:t xml:space="preserve"> - </w:t>
      </w:r>
      <w:hyperlink w:anchor="P115" w:history="1">
        <w:r>
          <w:rPr>
            <w:color w:val="0000FF"/>
          </w:rPr>
          <w:t>"и" пункта 8</w:t>
        </w:r>
      </w:hyperlink>
      <w:r>
        <w:t xml:space="preserve"> настоящих Правил), в том числе в части достижения результатов предоставления субсидии, органы государственного финансового контроля осуществляют проверку в соответствии со </w:t>
      </w:r>
      <w:hyperlink r:id="rId45" w:history="1">
        <w:r>
          <w:rPr>
            <w:color w:val="0000FF"/>
          </w:rPr>
          <w:t>статьями 268.1</w:t>
        </w:r>
      </w:hyperlink>
      <w:r>
        <w:t xml:space="preserve"> и </w:t>
      </w:r>
      <w:hyperlink r:id="rId46" w:history="1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A54CD2" w:rsidRDefault="00A54CD2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Правительства РФ от 21.04.2022 N 723)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Министерство энергетики Российской Федерации проводит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в </w:t>
      </w:r>
      <w:hyperlink r:id="rId48" w:history="1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37. В случае установления факта нарушения получателем субсидии условий, установленных при предоставлении субсидии, а также в случае </w:t>
      </w:r>
      <w:proofErr w:type="spellStart"/>
      <w:r>
        <w:t>недостижения</w:t>
      </w:r>
      <w:proofErr w:type="spellEnd"/>
      <w:r>
        <w:t xml:space="preserve"> им значений результатов предоставления субсидии и показателей, необходимых для достижения результата предоставления субсидии, указанных в </w:t>
      </w:r>
      <w:hyperlink w:anchor="P224" w:history="1">
        <w:r>
          <w:rPr>
            <w:color w:val="0000FF"/>
          </w:rPr>
          <w:t>пункте 34</w:t>
        </w:r>
      </w:hyperlink>
      <w:r>
        <w:t xml:space="preserve"> настоящих Правил, субсидия подлежит возврату в доход федерального бюджета в порядке, установленном бюджетным законодательством Российской Федерации, в размере суммы субсидии, использованной с нарушением условий, установленных при предоставлении субсидии, а также в размере не использованного для достижения указанных в </w:t>
      </w:r>
      <w:hyperlink w:anchor="P224" w:history="1">
        <w:r>
          <w:rPr>
            <w:color w:val="0000FF"/>
          </w:rPr>
          <w:t>пункте 34</w:t>
        </w:r>
      </w:hyperlink>
      <w:r>
        <w:t xml:space="preserve"> настоящих Правил показателей (объем субсидий, не направленный на предоставление льготного кредитования) объема субсидии:</w:t>
      </w:r>
    </w:p>
    <w:p w:rsidR="00A54CD2" w:rsidRDefault="00A54CD2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Правительства РФ от 21.04.2022 N 723)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на основании требования Министерства энергетики Российской Федерации - в течение 10 календарных дней со дня получения указанного требования;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 xml:space="preserve">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</w:t>
      </w:r>
      <w:r>
        <w:lastRenderedPageBreak/>
        <w:t>Федерации.</w:t>
      </w:r>
    </w:p>
    <w:p w:rsidR="00A54CD2" w:rsidRDefault="00A54CD2">
      <w:pPr>
        <w:pStyle w:val="ConsPlusNormal"/>
        <w:spacing w:before="220"/>
        <w:ind w:firstLine="540"/>
        <w:jc w:val="both"/>
      </w:pPr>
      <w:r>
        <w:t>При этом получатель субсидии обязан уплатить за каждый день использования средств субсидии с нарушением условий, установленных при предоставлении субсидии, пеню, размер которой составляет одну трехсотую ключевой ставки Центрального банка Российской Федерации, которая действует по состоянию на 1-й день использования средств субсидии с нарушением этих условий, от суммы субсидии, использованной с нарушением этих условий.</w:t>
      </w:r>
    </w:p>
    <w:p w:rsidR="00A54CD2" w:rsidRDefault="00A54CD2">
      <w:pPr>
        <w:pStyle w:val="ConsPlusNormal"/>
        <w:jc w:val="both"/>
      </w:pPr>
    </w:p>
    <w:p w:rsidR="00A54CD2" w:rsidRDefault="00A54CD2">
      <w:pPr>
        <w:pStyle w:val="ConsPlusNormal"/>
        <w:jc w:val="both"/>
      </w:pPr>
    </w:p>
    <w:p w:rsidR="00A54CD2" w:rsidRDefault="00A54CD2">
      <w:pPr>
        <w:pStyle w:val="ConsPlusNormal"/>
        <w:jc w:val="both"/>
      </w:pPr>
    </w:p>
    <w:p w:rsidR="00A54CD2" w:rsidRDefault="00A54CD2">
      <w:pPr>
        <w:pStyle w:val="ConsPlusNormal"/>
        <w:jc w:val="both"/>
      </w:pPr>
    </w:p>
    <w:p w:rsidR="00A54CD2" w:rsidRDefault="00A54CD2">
      <w:pPr>
        <w:pStyle w:val="ConsPlusNormal"/>
        <w:jc w:val="both"/>
      </w:pPr>
    </w:p>
    <w:p w:rsidR="00A54CD2" w:rsidRDefault="00A54CD2">
      <w:pPr>
        <w:pStyle w:val="ConsPlusNormal"/>
        <w:jc w:val="right"/>
        <w:outlineLvl w:val="1"/>
      </w:pPr>
      <w:r>
        <w:t>Приложение N 1</w:t>
      </w:r>
    </w:p>
    <w:p w:rsidR="00A54CD2" w:rsidRDefault="00A54CD2">
      <w:pPr>
        <w:pStyle w:val="ConsPlusNormal"/>
        <w:jc w:val="right"/>
      </w:pPr>
      <w:r>
        <w:t>к Правилам предоставления</w:t>
      </w:r>
    </w:p>
    <w:p w:rsidR="00A54CD2" w:rsidRDefault="00A54CD2">
      <w:pPr>
        <w:pStyle w:val="ConsPlusNormal"/>
        <w:jc w:val="right"/>
      </w:pPr>
      <w:r>
        <w:t>субсидий из федерального бюджета</w:t>
      </w:r>
    </w:p>
    <w:p w:rsidR="00A54CD2" w:rsidRDefault="00A54CD2">
      <w:pPr>
        <w:pStyle w:val="ConsPlusNormal"/>
        <w:jc w:val="right"/>
      </w:pPr>
      <w:r>
        <w:t>кредитным организациям на возмещение</w:t>
      </w:r>
    </w:p>
    <w:p w:rsidR="00A54CD2" w:rsidRDefault="00A54CD2">
      <w:pPr>
        <w:pStyle w:val="ConsPlusNormal"/>
        <w:jc w:val="right"/>
      </w:pPr>
      <w:r>
        <w:t>недополученных ими доходов по кредитам,</w:t>
      </w:r>
    </w:p>
    <w:p w:rsidR="00A54CD2" w:rsidRDefault="00A54CD2">
      <w:pPr>
        <w:pStyle w:val="ConsPlusNormal"/>
        <w:jc w:val="right"/>
      </w:pPr>
      <w:r>
        <w:t>выданным системообразующим организациям</w:t>
      </w:r>
    </w:p>
    <w:p w:rsidR="00A54CD2" w:rsidRDefault="00A54CD2">
      <w:pPr>
        <w:pStyle w:val="ConsPlusNormal"/>
        <w:jc w:val="right"/>
      </w:pPr>
      <w:r>
        <w:t>топливно-энергетического комплекса</w:t>
      </w:r>
    </w:p>
    <w:p w:rsidR="00A54CD2" w:rsidRDefault="00A54CD2">
      <w:pPr>
        <w:pStyle w:val="ConsPlusNormal"/>
        <w:jc w:val="right"/>
      </w:pPr>
      <w:r>
        <w:t>и организациям, входящим в группу</w:t>
      </w:r>
    </w:p>
    <w:p w:rsidR="00A54CD2" w:rsidRDefault="00A54CD2">
      <w:pPr>
        <w:pStyle w:val="ConsPlusNormal"/>
        <w:jc w:val="right"/>
      </w:pPr>
      <w:r>
        <w:t>лиц системообразующей организации</w:t>
      </w:r>
    </w:p>
    <w:p w:rsidR="00A54CD2" w:rsidRDefault="00A54CD2">
      <w:pPr>
        <w:pStyle w:val="ConsPlusNormal"/>
        <w:jc w:val="right"/>
      </w:pPr>
      <w:r>
        <w:t>топливно-энергетического комплекса</w:t>
      </w:r>
    </w:p>
    <w:p w:rsidR="00A54CD2" w:rsidRDefault="00A54CD2">
      <w:pPr>
        <w:pStyle w:val="ConsPlusNormal"/>
        <w:jc w:val="both"/>
      </w:pPr>
    </w:p>
    <w:p w:rsidR="00A54CD2" w:rsidRDefault="00A54CD2">
      <w:pPr>
        <w:pStyle w:val="ConsPlusTitle"/>
        <w:jc w:val="center"/>
      </w:pPr>
      <w:bookmarkStart w:id="23" w:name="P251"/>
      <w:bookmarkEnd w:id="23"/>
      <w:r>
        <w:t>ПЕРЕЧЕНЬ ОТРАСЛЕЙ ПО КОДАМ И ВИДАМ ДЕЯТЕЛЬНОСТИ ПО ОКВЭД2</w:t>
      </w:r>
    </w:p>
    <w:p w:rsidR="00A54CD2" w:rsidRDefault="00A54CD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78"/>
        <w:gridCol w:w="7087"/>
      </w:tblGrid>
      <w:tr w:rsidR="00A54CD2"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54CD2" w:rsidRDefault="00A54CD2">
            <w:pPr>
              <w:pStyle w:val="ConsPlusNormal"/>
              <w:jc w:val="center"/>
            </w:pPr>
            <w:r>
              <w:t xml:space="preserve">Код вида деятельности по </w:t>
            </w:r>
            <w:hyperlink r:id="rId50" w:history="1">
              <w:r>
                <w:rPr>
                  <w:color w:val="0000FF"/>
                </w:rPr>
                <w:t>ОКВЭД2</w:t>
              </w:r>
            </w:hyperlink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54CD2" w:rsidRDefault="00A54CD2">
            <w:pPr>
              <w:pStyle w:val="ConsPlusNormal"/>
              <w:jc w:val="center"/>
            </w:pPr>
            <w:r>
              <w:t xml:space="preserve">Наименование вида деятельности по </w:t>
            </w:r>
            <w:hyperlink r:id="rId51" w:history="1">
              <w:r>
                <w:rPr>
                  <w:color w:val="0000FF"/>
                </w:rPr>
                <w:t>ОКВЭД2</w:t>
              </w:r>
            </w:hyperlink>
          </w:p>
        </w:tc>
      </w:tr>
      <w:tr w:rsidR="00A54CD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  <w:jc w:val="center"/>
            </w:pPr>
            <w:hyperlink r:id="rId52" w:history="1">
              <w:r>
                <w:rPr>
                  <w:color w:val="0000FF"/>
                </w:rPr>
                <w:t>35.11</w:t>
              </w:r>
            </w:hyperlink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  <w:r>
              <w:t>Производство электроэнергии</w:t>
            </w:r>
          </w:p>
        </w:tc>
      </w:tr>
      <w:tr w:rsidR="00A54CD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  <w:jc w:val="center"/>
            </w:pPr>
            <w:hyperlink r:id="rId53" w:history="1">
              <w:r>
                <w:rPr>
                  <w:color w:val="0000FF"/>
                </w:rPr>
                <w:t>35.12</w:t>
              </w:r>
            </w:hyperlink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  <w:r>
              <w:t>Передача электроэнергии и технологическое присоединение к распределительным электросетям</w:t>
            </w:r>
          </w:p>
        </w:tc>
      </w:tr>
      <w:tr w:rsidR="00A54CD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  <w:jc w:val="center"/>
            </w:pPr>
            <w:hyperlink r:id="rId54" w:history="1">
              <w:r>
                <w:rPr>
                  <w:color w:val="0000FF"/>
                </w:rPr>
                <w:t>35.13</w:t>
              </w:r>
            </w:hyperlink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  <w:r>
              <w:t>Распределение электроэнергии</w:t>
            </w:r>
          </w:p>
        </w:tc>
      </w:tr>
      <w:tr w:rsidR="00A54CD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  <w:jc w:val="center"/>
            </w:pPr>
            <w:hyperlink r:id="rId55" w:history="1">
              <w:r>
                <w:rPr>
                  <w:color w:val="0000FF"/>
                </w:rPr>
                <w:t>35.14</w:t>
              </w:r>
            </w:hyperlink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  <w:r>
              <w:t>Торговля электроэнергией</w:t>
            </w:r>
          </w:p>
        </w:tc>
      </w:tr>
      <w:tr w:rsidR="00A54CD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  <w:jc w:val="center"/>
            </w:pPr>
            <w:hyperlink r:id="rId56" w:history="1">
              <w:r>
                <w:rPr>
                  <w:color w:val="0000FF"/>
                </w:rPr>
                <w:t>35.30</w:t>
              </w:r>
            </w:hyperlink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  <w:r>
              <w:t>Производство, передача и распределение пара и горячей воды; кондиционирование воздуха</w:t>
            </w:r>
          </w:p>
        </w:tc>
      </w:tr>
      <w:tr w:rsidR="00A54CD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  <w:jc w:val="center"/>
            </w:pPr>
            <w:hyperlink r:id="rId57" w:history="1">
              <w:r>
                <w:rPr>
                  <w:color w:val="0000FF"/>
                </w:rPr>
                <w:t>09.1</w:t>
              </w:r>
            </w:hyperlink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  <w:r>
              <w:t>Предоставление услуг в области добычи нефти и природного газа</w:t>
            </w:r>
          </w:p>
        </w:tc>
      </w:tr>
      <w:tr w:rsidR="00A54CD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  <w:jc w:val="center"/>
            </w:pPr>
            <w:hyperlink r:id="rId58" w:history="1">
              <w:r>
                <w:rPr>
                  <w:color w:val="0000FF"/>
                </w:rPr>
                <w:t>49.5</w:t>
              </w:r>
            </w:hyperlink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  <w:r>
              <w:t>Деятельность трубопроводного транспорта</w:t>
            </w:r>
          </w:p>
        </w:tc>
      </w:tr>
      <w:tr w:rsidR="00A54CD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  <w:jc w:val="center"/>
            </w:pPr>
            <w:hyperlink r:id="rId59" w:history="1">
              <w:r>
                <w:rPr>
                  <w:color w:val="0000FF"/>
                </w:rPr>
                <w:t>19.2</w:t>
              </w:r>
            </w:hyperlink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  <w:r>
              <w:t>Производство нефтепродуктов</w:t>
            </w:r>
          </w:p>
        </w:tc>
      </w:tr>
      <w:tr w:rsidR="00A54CD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  <w:jc w:val="center"/>
            </w:pPr>
            <w:hyperlink r:id="rId60" w:history="1">
              <w:r>
                <w:rPr>
                  <w:color w:val="0000FF"/>
                </w:rPr>
                <w:t>05</w:t>
              </w:r>
            </w:hyperlink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  <w:r>
              <w:t>Добыча угля</w:t>
            </w:r>
          </w:p>
        </w:tc>
      </w:tr>
      <w:tr w:rsidR="00A54CD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  <w:jc w:val="center"/>
            </w:pPr>
            <w:hyperlink r:id="rId61" w:history="1">
              <w:r>
                <w:rPr>
                  <w:color w:val="0000FF"/>
                </w:rPr>
                <w:t>06.1</w:t>
              </w:r>
            </w:hyperlink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  <w:r>
              <w:t>Добыча нефти и нефтяного (попутного) газа</w:t>
            </w:r>
          </w:p>
        </w:tc>
      </w:tr>
      <w:tr w:rsidR="00A54CD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  <w:jc w:val="center"/>
            </w:pPr>
            <w:hyperlink r:id="rId62" w:history="1">
              <w:r>
                <w:rPr>
                  <w:color w:val="0000FF"/>
                </w:rPr>
                <w:t>06.2</w:t>
              </w:r>
            </w:hyperlink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  <w:r>
              <w:t>Добыча природного газа и газового конденсата</w:t>
            </w:r>
          </w:p>
        </w:tc>
      </w:tr>
      <w:tr w:rsidR="00A54CD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  <w:jc w:val="center"/>
            </w:pPr>
            <w:hyperlink r:id="rId63" w:history="1">
              <w:r>
                <w:rPr>
                  <w:color w:val="0000FF"/>
                </w:rPr>
                <w:t>47.3</w:t>
              </w:r>
            </w:hyperlink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  <w:r>
              <w:t>Торговля розничная моторным топливом в специализированных магазинах</w:t>
            </w:r>
          </w:p>
        </w:tc>
      </w:tr>
      <w:tr w:rsidR="00A54CD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4CD2" w:rsidRDefault="00A54CD2">
            <w:pPr>
              <w:pStyle w:val="ConsPlusNormal"/>
              <w:jc w:val="center"/>
            </w:pPr>
            <w:hyperlink r:id="rId64" w:history="1">
              <w:r>
                <w:rPr>
                  <w:color w:val="0000FF"/>
                </w:rPr>
                <w:t>46.12</w:t>
              </w:r>
            </w:hyperlink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4CD2" w:rsidRDefault="00A54CD2">
            <w:pPr>
              <w:pStyle w:val="ConsPlusNormal"/>
            </w:pPr>
            <w:r>
              <w:t>Производство и реализация продукции крупнотоннажной нефтегазохимии</w:t>
            </w:r>
          </w:p>
        </w:tc>
      </w:tr>
    </w:tbl>
    <w:p w:rsidR="00A54CD2" w:rsidRDefault="00A54CD2">
      <w:pPr>
        <w:pStyle w:val="ConsPlusNormal"/>
        <w:jc w:val="both"/>
      </w:pPr>
    </w:p>
    <w:p w:rsidR="00A54CD2" w:rsidRDefault="00A54CD2">
      <w:pPr>
        <w:pStyle w:val="ConsPlusNormal"/>
        <w:jc w:val="both"/>
      </w:pPr>
    </w:p>
    <w:p w:rsidR="00A54CD2" w:rsidRDefault="00A54CD2">
      <w:pPr>
        <w:pStyle w:val="ConsPlusNormal"/>
        <w:jc w:val="both"/>
      </w:pPr>
    </w:p>
    <w:p w:rsidR="00A54CD2" w:rsidRDefault="00A54CD2">
      <w:pPr>
        <w:pStyle w:val="ConsPlusNormal"/>
        <w:jc w:val="both"/>
      </w:pPr>
    </w:p>
    <w:p w:rsidR="00A54CD2" w:rsidRDefault="00A54CD2">
      <w:pPr>
        <w:pStyle w:val="ConsPlusNormal"/>
        <w:jc w:val="both"/>
      </w:pPr>
    </w:p>
    <w:p w:rsidR="00A54CD2" w:rsidRDefault="00A54CD2">
      <w:pPr>
        <w:pStyle w:val="ConsPlusNormal"/>
        <w:jc w:val="right"/>
        <w:outlineLvl w:val="1"/>
      </w:pPr>
      <w:r>
        <w:t>Приложение N 2</w:t>
      </w:r>
    </w:p>
    <w:p w:rsidR="00A54CD2" w:rsidRDefault="00A54CD2">
      <w:pPr>
        <w:pStyle w:val="ConsPlusNormal"/>
        <w:jc w:val="right"/>
      </w:pPr>
      <w:r>
        <w:t>к Правилам предоставления</w:t>
      </w:r>
    </w:p>
    <w:p w:rsidR="00A54CD2" w:rsidRDefault="00A54CD2">
      <w:pPr>
        <w:pStyle w:val="ConsPlusNormal"/>
        <w:jc w:val="right"/>
      </w:pPr>
      <w:r>
        <w:t>субсидий из федерального бюджета</w:t>
      </w:r>
    </w:p>
    <w:p w:rsidR="00A54CD2" w:rsidRDefault="00A54CD2">
      <w:pPr>
        <w:pStyle w:val="ConsPlusNormal"/>
        <w:jc w:val="right"/>
      </w:pPr>
      <w:r>
        <w:t>кредитным организациям на возмещение</w:t>
      </w:r>
    </w:p>
    <w:p w:rsidR="00A54CD2" w:rsidRDefault="00A54CD2">
      <w:pPr>
        <w:pStyle w:val="ConsPlusNormal"/>
        <w:jc w:val="right"/>
      </w:pPr>
      <w:r>
        <w:t>недополученных ими доходов по кредитам,</w:t>
      </w:r>
    </w:p>
    <w:p w:rsidR="00A54CD2" w:rsidRDefault="00A54CD2">
      <w:pPr>
        <w:pStyle w:val="ConsPlusNormal"/>
        <w:jc w:val="right"/>
      </w:pPr>
      <w:r>
        <w:t>выданным системообразующим организациям</w:t>
      </w:r>
    </w:p>
    <w:p w:rsidR="00A54CD2" w:rsidRDefault="00A54CD2">
      <w:pPr>
        <w:pStyle w:val="ConsPlusNormal"/>
        <w:jc w:val="right"/>
      </w:pPr>
      <w:r>
        <w:t>топливно-энергетического комплекса</w:t>
      </w:r>
    </w:p>
    <w:p w:rsidR="00A54CD2" w:rsidRDefault="00A54CD2">
      <w:pPr>
        <w:pStyle w:val="ConsPlusNormal"/>
        <w:jc w:val="right"/>
      </w:pPr>
      <w:r>
        <w:t>и организациям, входящим в группу</w:t>
      </w:r>
    </w:p>
    <w:p w:rsidR="00A54CD2" w:rsidRDefault="00A54CD2">
      <w:pPr>
        <w:pStyle w:val="ConsPlusNormal"/>
        <w:jc w:val="right"/>
      </w:pPr>
      <w:r>
        <w:t>лиц системообразующей организации</w:t>
      </w:r>
    </w:p>
    <w:p w:rsidR="00A54CD2" w:rsidRDefault="00A54CD2">
      <w:pPr>
        <w:pStyle w:val="ConsPlusNormal"/>
        <w:jc w:val="right"/>
      </w:pPr>
      <w:r>
        <w:t>топливно-энергетического комплекса</w:t>
      </w:r>
    </w:p>
    <w:p w:rsidR="00A54CD2" w:rsidRDefault="00A54CD2">
      <w:pPr>
        <w:pStyle w:val="ConsPlusNormal"/>
        <w:jc w:val="both"/>
      </w:pPr>
    </w:p>
    <w:p w:rsidR="00A54CD2" w:rsidRDefault="00A54CD2">
      <w:pPr>
        <w:pStyle w:val="ConsPlusNormal"/>
        <w:jc w:val="right"/>
      </w:pPr>
      <w:r>
        <w:t>(форма)</w:t>
      </w:r>
    </w:p>
    <w:p w:rsidR="00A54CD2" w:rsidRDefault="00A54CD2">
      <w:pPr>
        <w:pStyle w:val="ConsPlusNormal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39"/>
        <w:gridCol w:w="3231"/>
      </w:tblGrid>
      <w:tr w:rsidR="00A54CD2"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4CD2" w:rsidRDefault="00A54CD2">
            <w:pPr>
              <w:pStyle w:val="ConsPlusNormal"/>
            </w:pPr>
            <w:r>
              <w:t>В Министерство энергетики Российской Федерации</w:t>
            </w:r>
          </w:p>
        </w:tc>
      </w:tr>
    </w:tbl>
    <w:p w:rsidR="00A54CD2" w:rsidRDefault="00A54C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A54CD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4CD2" w:rsidRDefault="00A54CD2">
            <w:pPr>
              <w:pStyle w:val="ConsPlusNormal"/>
              <w:jc w:val="center"/>
            </w:pPr>
            <w:bookmarkStart w:id="24" w:name="P302"/>
            <w:bookmarkEnd w:id="24"/>
            <w:r>
              <w:t>РЕЕСТР ЗАЕМЩИКОВ,</w:t>
            </w:r>
          </w:p>
          <w:p w:rsidR="00A54CD2" w:rsidRDefault="00A54CD2">
            <w:pPr>
              <w:pStyle w:val="ConsPlusNormal"/>
              <w:jc w:val="center"/>
            </w:pPr>
            <w:r>
              <w:t>заключивших кредитные договоры (соглашения), по состоянию</w:t>
            </w:r>
          </w:p>
          <w:p w:rsidR="00A54CD2" w:rsidRDefault="00A54CD2">
            <w:pPr>
              <w:pStyle w:val="ConsPlusNormal"/>
              <w:jc w:val="center"/>
            </w:pPr>
            <w:r>
              <w:t>на "__" __________ 202_ г.</w:t>
            </w:r>
          </w:p>
        </w:tc>
      </w:tr>
    </w:tbl>
    <w:p w:rsidR="00A54CD2" w:rsidRDefault="00A54C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6"/>
        <w:gridCol w:w="855"/>
        <w:gridCol w:w="5763"/>
      </w:tblGrid>
      <w:tr w:rsidR="00A54CD2"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4CD2" w:rsidRDefault="00A54CD2">
            <w:pPr>
              <w:pStyle w:val="ConsPlusNormal"/>
            </w:pPr>
            <w:r>
              <w:t>Наименование банка</w:t>
            </w:r>
          </w:p>
        </w:tc>
        <w:tc>
          <w:tcPr>
            <w:tcW w:w="66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4CD2" w:rsidRDefault="00A54CD2">
            <w:pPr>
              <w:pStyle w:val="ConsPlusNormal"/>
            </w:pPr>
          </w:p>
        </w:tc>
      </w:tr>
      <w:tr w:rsidR="00A54CD2">
        <w:tc>
          <w:tcPr>
            <w:tcW w:w="32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  <w:r>
              <w:t>БИК уполномоченного банка</w:t>
            </w:r>
          </w:p>
        </w:tc>
        <w:tc>
          <w:tcPr>
            <w:tcW w:w="57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54CD2" w:rsidRDefault="00A54CD2">
            <w:pPr>
              <w:pStyle w:val="ConsPlusNormal"/>
            </w:pPr>
          </w:p>
        </w:tc>
      </w:tr>
      <w:tr w:rsidR="00A54CD2">
        <w:tc>
          <w:tcPr>
            <w:tcW w:w="32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  <w:r>
              <w:t>ИНН уполномоченного банка</w:t>
            </w:r>
          </w:p>
        </w:tc>
        <w:tc>
          <w:tcPr>
            <w:tcW w:w="57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54CD2" w:rsidRDefault="00A54CD2">
            <w:pPr>
              <w:pStyle w:val="ConsPlusNormal"/>
            </w:pPr>
          </w:p>
        </w:tc>
      </w:tr>
    </w:tbl>
    <w:p w:rsidR="00A54CD2" w:rsidRDefault="00A54CD2">
      <w:pPr>
        <w:pStyle w:val="ConsPlusNormal"/>
        <w:jc w:val="both"/>
      </w:pPr>
    </w:p>
    <w:p w:rsidR="00A54CD2" w:rsidRDefault="00A54CD2">
      <w:pPr>
        <w:sectPr w:rsidR="00A54CD2" w:rsidSect="00327B4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1"/>
        <w:gridCol w:w="624"/>
        <w:gridCol w:w="680"/>
        <w:gridCol w:w="737"/>
        <w:gridCol w:w="907"/>
        <w:gridCol w:w="638"/>
        <w:gridCol w:w="643"/>
        <w:gridCol w:w="648"/>
        <w:gridCol w:w="643"/>
        <w:gridCol w:w="706"/>
        <w:gridCol w:w="643"/>
        <w:gridCol w:w="859"/>
        <w:gridCol w:w="490"/>
        <w:gridCol w:w="1296"/>
        <w:gridCol w:w="850"/>
        <w:gridCol w:w="854"/>
        <w:gridCol w:w="922"/>
        <w:gridCol w:w="653"/>
        <w:gridCol w:w="1191"/>
        <w:gridCol w:w="1020"/>
      </w:tblGrid>
      <w:tr w:rsidR="00A54CD2">
        <w:tc>
          <w:tcPr>
            <w:tcW w:w="821" w:type="dxa"/>
            <w:vMerge w:val="restart"/>
          </w:tcPr>
          <w:p w:rsidR="00A54CD2" w:rsidRDefault="00A54CD2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948" w:type="dxa"/>
            <w:gridSpan w:val="4"/>
          </w:tcPr>
          <w:p w:rsidR="00A54CD2" w:rsidRDefault="00A54CD2">
            <w:pPr>
              <w:pStyle w:val="ConsPlusNormal"/>
              <w:jc w:val="center"/>
            </w:pPr>
            <w:r>
              <w:t>Сведения о заемщике</w:t>
            </w:r>
          </w:p>
        </w:tc>
        <w:tc>
          <w:tcPr>
            <w:tcW w:w="9192" w:type="dxa"/>
            <w:gridSpan w:val="12"/>
          </w:tcPr>
          <w:p w:rsidR="00A54CD2" w:rsidRDefault="00A54CD2">
            <w:pPr>
              <w:pStyle w:val="ConsPlusNormal"/>
              <w:jc w:val="center"/>
            </w:pPr>
            <w:r>
              <w:t>Сведения о кредитном договоре (соглашении)</w:t>
            </w:r>
          </w:p>
        </w:tc>
        <w:tc>
          <w:tcPr>
            <w:tcW w:w="2864" w:type="dxa"/>
            <w:gridSpan w:val="3"/>
          </w:tcPr>
          <w:p w:rsidR="00A54CD2" w:rsidRDefault="00A54CD2">
            <w:pPr>
              <w:pStyle w:val="ConsPlusNormal"/>
              <w:jc w:val="center"/>
            </w:pPr>
            <w:r>
              <w:t>Размер субсидии</w:t>
            </w:r>
          </w:p>
        </w:tc>
      </w:tr>
      <w:tr w:rsidR="00A54CD2">
        <w:tc>
          <w:tcPr>
            <w:tcW w:w="821" w:type="dxa"/>
            <w:vMerge/>
          </w:tcPr>
          <w:p w:rsidR="00A54CD2" w:rsidRDefault="00A54CD2">
            <w:pPr>
              <w:spacing w:after="1" w:line="0" w:lineRule="atLeast"/>
            </w:pPr>
          </w:p>
        </w:tc>
        <w:tc>
          <w:tcPr>
            <w:tcW w:w="624" w:type="dxa"/>
          </w:tcPr>
          <w:p w:rsidR="00A54CD2" w:rsidRDefault="00A54CD2">
            <w:pPr>
              <w:pStyle w:val="ConsPlusNormal"/>
              <w:jc w:val="center"/>
            </w:pPr>
            <w:r>
              <w:t>полное наименование заемщика</w:t>
            </w:r>
          </w:p>
        </w:tc>
        <w:tc>
          <w:tcPr>
            <w:tcW w:w="680" w:type="dxa"/>
          </w:tcPr>
          <w:p w:rsidR="00A54CD2" w:rsidRDefault="00A54CD2">
            <w:pPr>
              <w:pStyle w:val="ConsPlusNormal"/>
              <w:jc w:val="center"/>
            </w:pPr>
            <w:r>
              <w:t>ИНН заемщика</w:t>
            </w:r>
          </w:p>
        </w:tc>
        <w:tc>
          <w:tcPr>
            <w:tcW w:w="737" w:type="dxa"/>
          </w:tcPr>
          <w:p w:rsidR="00A54CD2" w:rsidRDefault="00A54CD2">
            <w:pPr>
              <w:pStyle w:val="ConsPlusNormal"/>
              <w:jc w:val="center"/>
            </w:pPr>
            <w:r>
              <w:t>отрасль ТЭК</w:t>
            </w:r>
          </w:p>
        </w:tc>
        <w:tc>
          <w:tcPr>
            <w:tcW w:w="907" w:type="dxa"/>
          </w:tcPr>
          <w:p w:rsidR="00A54CD2" w:rsidRDefault="00A54CD2">
            <w:pPr>
              <w:pStyle w:val="ConsPlusNormal"/>
              <w:jc w:val="center"/>
            </w:pPr>
            <w:r>
              <w:t>место нахождения заемщика (субъект Российской Федерации, муниципальное образование)</w:t>
            </w:r>
          </w:p>
        </w:tc>
        <w:tc>
          <w:tcPr>
            <w:tcW w:w="638" w:type="dxa"/>
          </w:tcPr>
          <w:p w:rsidR="00A54CD2" w:rsidRDefault="00A54CD2">
            <w:pPr>
              <w:pStyle w:val="ConsPlusNormal"/>
              <w:jc w:val="center"/>
            </w:pPr>
            <w:r>
              <w:t>номер кредитного договора (соглашения)</w:t>
            </w:r>
          </w:p>
        </w:tc>
        <w:tc>
          <w:tcPr>
            <w:tcW w:w="643" w:type="dxa"/>
          </w:tcPr>
          <w:p w:rsidR="00A54CD2" w:rsidRDefault="00A54CD2">
            <w:pPr>
              <w:pStyle w:val="ConsPlusNormal"/>
              <w:jc w:val="center"/>
            </w:pPr>
            <w:r>
              <w:t>дата кредитного договора (соглашения)</w:t>
            </w:r>
          </w:p>
        </w:tc>
        <w:tc>
          <w:tcPr>
            <w:tcW w:w="648" w:type="dxa"/>
          </w:tcPr>
          <w:p w:rsidR="00A54CD2" w:rsidRDefault="00A54CD2">
            <w:pPr>
              <w:pStyle w:val="ConsPlusNormal"/>
              <w:jc w:val="center"/>
            </w:pPr>
            <w:r>
              <w:t>дата предоставления кредита заемщику (первой части кредита)</w:t>
            </w:r>
          </w:p>
        </w:tc>
        <w:tc>
          <w:tcPr>
            <w:tcW w:w="643" w:type="dxa"/>
          </w:tcPr>
          <w:p w:rsidR="00A54CD2" w:rsidRDefault="00A54CD2">
            <w:pPr>
              <w:pStyle w:val="ConsPlusNormal"/>
              <w:jc w:val="center"/>
            </w:pPr>
            <w:r>
              <w:t>срок кредита по кредитному договору (соглашению), месяцев</w:t>
            </w:r>
          </w:p>
        </w:tc>
        <w:tc>
          <w:tcPr>
            <w:tcW w:w="706" w:type="dxa"/>
          </w:tcPr>
          <w:p w:rsidR="00A54CD2" w:rsidRDefault="00A54CD2">
            <w:pPr>
              <w:pStyle w:val="ConsPlusNormal"/>
              <w:jc w:val="center"/>
            </w:pPr>
            <w:r>
              <w:t>размер кредита по кредитному договору (соглашению), рублей</w:t>
            </w:r>
          </w:p>
        </w:tc>
        <w:tc>
          <w:tcPr>
            <w:tcW w:w="643" w:type="dxa"/>
          </w:tcPr>
          <w:p w:rsidR="00A54CD2" w:rsidRDefault="00A54CD2">
            <w:pPr>
              <w:pStyle w:val="ConsPlusNormal"/>
              <w:jc w:val="center"/>
            </w:pPr>
            <w:r>
              <w:t>номер дополнительного соглашения к кредитному договору</w:t>
            </w:r>
          </w:p>
        </w:tc>
        <w:tc>
          <w:tcPr>
            <w:tcW w:w="859" w:type="dxa"/>
          </w:tcPr>
          <w:p w:rsidR="00A54CD2" w:rsidRDefault="00A54CD2">
            <w:pPr>
              <w:pStyle w:val="ConsPlusNormal"/>
              <w:jc w:val="center"/>
            </w:pPr>
            <w:r>
              <w:t>дата заключения дополнительного соглашения к кредитному договору</w:t>
            </w:r>
          </w:p>
        </w:tc>
        <w:tc>
          <w:tcPr>
            <w:tcW w:w="490" w:type="dxa"/>
          </w:tcPr>
          <w:p w:rsidR="00A54CD2" w:rsidRDefault="00A54CD2">
            <w:pPr>
              <w:pStyle w:val="ConsPlusNormal"/>
              <w:jc w:val="center"/>
            </w:pPr>
            <w:r>
              <w:t>цель кредитования</w:t>
            </w:r>
          </w:p>
        </w:tc>
        <w:tc>
          <w:tcPr>
            <w:tcW w:w="1296" w:type="dxa"/>
          </w:tcPr>
          <w:p w:rsidR="00A54CD2" w:rsidRDefault="00A54CD2">
            <w:pPr>
              <w:pStyle w:val="ConsPlusNormal"/>
              <w:jc w:val="center"/>
            </w:pPr>
            <w:r>
              <w:t>сумма среднемесячного остатка ссудной задолженности заемщика по кредитному договору (соглашению) за отчетный месяц, рублей</w:t>
            </w:r>
          </w:p>
        </w:tc>
        <w:tc>
          <w:tcPr>
            <w:tcW w:w="850" w:type="dxa"/>
          </w:tcPr>
          <w:p w:rsidR="00A54CD2" w:rsidRDefault="00A54CD2">
            <w:pPr>
              <w:pStyle w:val="ConsPlusNormal"/>
              <w:jc w:val="center"/>
            </w:pPr>
            <w:r>
              <w:t>сумма задолженности по кредитному договору (соглашению), рублей</w:t>
            </w:r>
          </w:p>
        </w:tc>
        <w:tc>
          <w:tcPr>
            <w:tcW w:w="854" w:type="dxa"/>
          </w:tcPr>
          <w:p w:rsidR="00A54CD2" w:rsidRDefault="00A54CD2">
            <w:pPr>
              <w:pStyle w:val="ConsPlusNormal"/>
              <w:jc w:val="center"/>
            </w:pPr>
            <w:r>
              <w:t>действующая ставка по кредитному договору (соглашению), процентов</w:t>
            </w:r>
          </w:p>
        </w:tc>
        <w:tc>
          <w:tcPr>
            <w:tcW w:w="922" w:type="dxa"/>
          </w:tcPr>
          <w:p w:rsidR="00A54CD2" w:rsidRDefault="00A54CD2">
            <w:pPr>
              <w:pStyle w:val="ConsPlusNormal"/>
              <w:jc w:val="center"/>
            </w:pPr>
            <w:r>
              <w:t>ставка субсидирования, применяемая по кредитному договору (соглашению), процентов</w:t>
            </w:r>
          </w:p>
        </w:tc>
        <w:tc>
          <w:tcPr>
            <w:tcW w:w="653" w:type="dxa"/>
          </w:tcPr>
          <w:p w:rsidR="00A54CD2" w:rsidRDefault="00A54CD2">
            <w:pPr>
              <w:pStyle w:val="ConsPlusNormal"/>
              <w:jc w:val="center"/>
            </w:pPr>
            <w:r>
              <w:t>размер субсидии за отчетный период, рублей</w:t>
            </w:r>
          </w:p>
        </w:tc>
        <w:tc>
          <w:tcPr>
            <w:tcW w:w="1191" w:type="dxa"/>
          </w:tcPr>
          <w:p w:rsidR="00A54CD2" w:rsidRDefault="00A54CD2">
            <w:pPr>
              <w:pStyle w:val="ConsPlusNormal"/>
              <w:jc w:val="center"/>
            </w:pPr>
            <w:r>
              <w:t>размер планируемых к предоставлению субсидий в текущем финансовом году, за исключением субсидии за отчетный период, рублей</w:t>
            </w:r>
          </w:p>
        </w:tc>
        <w:tc>
          <w:tcPr>
            <w:tcW w:w="1020" w:type="dxa"/>
          </w:tcPr>
          <w:p w:rsidR="00A54CD2" w:rsidRDefault="00A54CD2">
            <w:pPr>
              <w:pStyle w:val="ConsPlusNormal"/>
              <w:jc w:val="center"/>
            </w:pPr>
            <w:r>
              <w:t>размер планируемых к предоставлению субсидий в очередном финансовом году, рублей</w:t>
            </w:r>
          </w:p>
        </w:tc>
      </w:tr>
      <w:tr w:rsidR="00A54CD2">
        <w:tc>
          <w:tcPr>
            <w:tcW w:w="821" w:type="dxa"/>
          </w:tcPr>
          <w:p w:rsidR="00A54CD2" w:rsidRDefault="00A54CD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A54CD2" w:rsidRDefault="00A54C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A54CD2" w:rsidRDefault="00A54CD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</w:tcPr>
          <w:p w:rsidR="00A54CD2" w:rsidRDefault="00A54CD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7" w:type="dxa"/>
          </w:tcPr>
          <w:p w:rsidR="00A54CD2" w:rsidRDefault="00A54CD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38" w:type="dxa"/>
          </w:tcPr>
          <w:p w:rsidR="00A54CD2" w:rsidRDefault="00A54CD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43" w:type="dxa"/>
          </w:tcPr>
          <w:p w:rsidR="00A54CD2" w:rsidRDefault="00A54CD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48" w:type="dxa"/>
          </w:tcPr>
          <w:p w:rsidR="00A54CD2" w:rsidRDefault="00A54CD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43" w:type="dxa"/>
          </w:tcPr>
          <w:p w:rsidR="00A54CD2" w:rsidRDefault="00A54CD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06" w:type="dxa"/>
          </w:tcPr>
          <w:p w:rsidR="00A54CD2" w:rsidRDefault="00A54CD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43" w:type="dxa"/>
          </w:tcPr>
          <w:p w:rsidR="00A54CD2" w:rsidRDefault="00A54CD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9" w:type="dxa"/>
          </w:tcPr>
          <w:p w:rsidR="00A54CD2" w:rsidRDefault="00A54CD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90" w:type="dxa"/>
          </w:tcPr>
          <w:p w:rsidR="00A54CD2" w:rsidRDefault="00A54CD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96" w:type="dxa"/>
          </w:tcPr>
          <w:p w:rsidR="00A54CD2" w:rsidRDefault="00A54CD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50" w:type="dxa"/>
          </w:tcPr>
          <w:p w:rsidR="00A54CD2" w:rsidRDefault="00A54CD2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54" w:type="dxa"/>
          </w:tcPr>
          <w:p w:rsidR="00A54CD2" w:rsidRDefault="00A54CD2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922" w:type="dxa"/>
          </w:tcPr>
          <w:p w:rsidR="00A54CD2" w:rsidRDefault="00A54CD2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653" w:type="dxa"/>
          </w:tcPr>
          <w:p w:rsidR="00A54CD2" w:rsidRDefault="00A54CD2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91" w:type="dxa"/>
          </w:tcPr>
          <w:p w:rsidR="00A54CD2" w:rsidRDefault="00A54CD2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020" w:type="dxa"/>
          </w:tcPr>
          <w:p w:rsidR="00A54CD2" w:rsidRDefault="00A54CD2">
            <w:pPr>
              <w:pStyle w:val="ConsPlusNormal"/>
              <w:jc w:val="center"/>
            </w:pPr>
            <w:r>
              <w:t>20</w:t>
            </w:r>
          </w:p>
        </w:tc>
      </w:tr>
      <w:tr w:rsidR="00A54CD2">
        <w:tc>
          <w:tcPr>
            <w:tcW w:w="821" w:type="dxa"/>
          </w:tcPr>
          <w:p w:rsidR="00A54CD2" w:rsidRDefault="00A54CD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A54CD2" w:rsidRDefault="00A54CD2">
            <w:pPr>
              <w:pStyle w:val="ConsPlusNormal"/>
            </w:pPr>
          </w:p>
        </w:tc>
        <w:tc>
          <w:tcPr>
            <w:tcW w:w="680" w:type="dxa"/>
          </w:tcPr>
          <w:p w:rsidR="00A54CD2" w:rsidRDefault="00A54CD2">
            <w:pPr>
              <w:pStyle w:val="ConsPlusNormal"/>
            </w:pPr>
          </w:p>
        </w:tc>
        <w:tc>
          <w:tcPr>
            <w:tcW w:w="737" w:type="dxa"/>
          </w:tcPr>
          <w:p w:rsidR="00A54CD2" w:rsidRDefault="00A54CD2">
            <w:pPr>
              <w:pStyle w:val="ConsPlusNormal"/>
            </w:pPr>
          </w:p>
        </w:tc>
        <w:tc>
          <w:tcPr>
            <w:tcW w:w="907" w:type="dxa"/>
          </w:tcPr>
          <w:p w:rsidR="00A54CD2" w:rsidRDefault="00A54CD2">
            <w:pPr>
              <w:pStyle w:val="ConsPlusNormal"/>
            </w:pPr>
          </w:p>
        </w:tc>
        <w:tc>
          <w:tcPr>
            <w:tcW w:w="638" w:type="dxa"/>
          </w:tcPr>
          <w:p w:rsidR="00A54CD2" w:rsidRDefault="00A54CD2">
            <w:pPr>
              <w:pStyle w:val="ConsPlusNormal"/>
            </w:pPr>
          </w:p>
        </w:tc>
        <w:tc>
          <w:tcPr>
            <w:tcW w:w="643" w:type="dxa"/>
          </w:tcPr>
          <w:p w:rsidR="00A54CD2" w:rsidRDefault="00A54CD2">
            <w:pPr>
              <w:pStyle w:val="ConsPlusNormal"/>
            </w:pPr>
          </w:p>
        </w:tc>
        <w:tc>
          <w:tcPr>
            <w:tcW w:w="648" w:type="dxa"/>
          </w:tcPr>
          <w:p w:rsidR="00A54CD2" w:rsidRDefault="00A54CD2">
            <w:pPr>
              <w:pStyle w:val="ConsPlusNormal"/>
            </w:pPr>
          </w:p>
        </w:tc>
        <w:tc>
          <w:tcPr>
            <w:tcW w:w="643" w:type="dxa"/>
          </w:tcPr>
          <w:p w:rsidR="00A54CD2" w:rsidRDefault="00A54CD2">
            <w:pPr>
              <w:pStyle w:val="ConsPlusNormal"/>
            </w:pPr>
          </w:p>
        </w:tc>
        <w:tc>
          <w:tcPr>
            <w:tcW w:w="706" w:type="dxa"/>
          </w:tcPr>
          <w:p w:rsidR="00A54CD2" w:rsidRDefault="00A54CD2">
            <w:pPr>
              <w:pStyle w:val="ConsPlusNormal"/>
            </w:pPr>
          </w:p>
        </w:tc>
        <w:tc>
          <w:tcPr>
            <w:tcW w:w="643" w:type="dxa"/>
          </w:tcPr>
          <w:p w:rsidR="00A54CD2" w:rsidRDefault="00A54CD2">
            <w:pPr>
              <w:pStyle w:val="ConsPlusNormal"/>
            </w:pPr>
          </w:p>
        </w:tc>
        <w:tc>
          <w:tcPr>
            <w:tcW w:w="859" w:type="dxa"/>
          </w:tcPr>
          <w:p w:rsidR="00A54CD2" w:rsidRDefault="00A54CD2">
            <w:pPr>
              <w:pStyle w:val="ConsPlusNormal"/>
            </w:pPr>
          </w:p>
        </w:tc>
        <w:tc>
          <w:tcPr>
            <w:tcW w:w="490" w:type="dxa"/>
          </w:tcPr>
          <w:p w:rsidR="00A54CD2" w:rsidRDefault="00A54CD2">
            <w:pPr>
              <w:pStyle w:val="ConsPlusNormal"/>
            </w:pPr>
          </w:p>
        </w:tc>
        <w:tc>
          <w:tcPr>
            <w:tcW w:w="1296" w:type="dxa"/>
          </w:tcPr>
          <w:p w:rsidR="00A54CD2" w:rsidRDefault="00A54CD2">
            <w:pPr>
              <w:pStyle w:val="ConsPlusNormal"/>
            </w:pPr>
          </w:p>
        </w:tc>
        <w:tc>
          <w:tcPr>
            <w:tcW w:w="850" w:type="dxa"/>
          </w:tcPr>
          <w:p w:rsidR="00A54CD2" w:rsidRDefault="00A54CD2">
            <w:pPr>
              <w:pStyle w:val="ConsPlusNormal"/>
            </w:pPr>
          </w:p>
        </w:tc>
        <w:tc>
          <w:tcPr>
            <w:tcW w:w="854" w:type="dxa"/>
          </w:tcPr>
          <w:p w:rsidR="00A54CD2" w:rsidRDefault="00A54CD2">
            <w:pPr>
              <w:pStyle w:val="ConsPlusNormal"/>
            </w:pPr>
          </w:p>
        </w:tc>
        <w:tc>
          <w:tcPr>
            <w:tcW w:w="922" w:type="dxa"/>
          </w:tcPr>
          <w:p w:rsidR="00A54CD2" w:rsidRDefault="00A54CD2">
            <w:pPr>
              <w:pStyle w:val="ConsPlusNormal"/>
            </w:pPr>
          </w:p>
        </w:tc>
        <w:tc>
          <w:tcPr>
            <w:tcW w:w="653" w:type="dxa"/>
          </w:tcPr>
          <w:p w:rsidR="00A54CD2" w:rsidRDefault="00A54CD2">
            <w:pPr>
              <w:pStyle w:val="ConsPlusNormal"/>
            </w:pPr>
          </w:p>
        </w:tc>
        <w:tc>
          <w:tcPr>
            <w:tcW w:w="1191" w:type="dxa"/>
          </w:tcPr>
          <w:p w:rsidR="00A54CD2" w:rsidRDefault="00A54CD2">
            <w:pPr>
              <w:pStyle w:val="ConsPlusNormal"/>
            </w:pPr>
          </w:p>
        </w:tc>
        <w:tc>
          <w:tcPr>
            <w:tcW w:w="1020" w:type="dxa"/>
          </w:tcPr>
          <w:p w:rsidR="00A54CD2" w:rsidRDefault="00A54CD2">
            <w:pPr>
              <w:pStyle w:val="ConsPlusNormal"/>
            </w:pPr>
          </w:p>
        </w:tc>
      </w:tr>
      <w:tr w:rsidR="00A54CD2">
        <w:tc>
          <w:tcPr>
            <w:tcW w:w="821" w:type="dxa"/>
          </w:tcPr>
          <w:p w:rsidR="00A54CD2" w:rsidRDefault="00A54C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A54CD2" w:rsidRDefault="00A54CD2">
            <w:pPr>
              <w:pStyle w:val="ConsPlusNormal"/>
            </w:pPr>
          </w:p>
        </w:tc>
        <w:tc>
          <w:tcPr>
            <w:tcW w:w="680" w:type="dxa"/>
          </w:tcPr>
          <w:p w:rsidR="00A54CD2" w:rsidRDefault="00A54CD2">
            <w:pPr>
              <w:pStyle w:val="ConsPlusNormal"/>
            </w:pPr>
          </w:p>
        </w:tc>
        <w:tc>
          <w:tcPr>
            <w:tcW w:w="737" w:type="dxa"/>
          </w:tcPr>
          <w:p w:rsidR="00A54CD2" w:rsidRDefault="00A54CD2">
            <w:pPr>
              <w:pStyle w:val="ConsPlusNormal"/>
            </w:pPr>
          </w:p>
        </w:tc>
        <w:tc>
          <w:tcPr>
            <w:tcW w:w="907" w:type="dxa"/>
          </w:tcPr>
          <w:p w:rsidR="00A54CD2" w:rsidRDefault="00A54CD2">
            <w:pPr>
              <w:pStyle w:val="ConsPlusNormal"/>
            </w:pPr>
          </w:p>
        </w:tc>
        <w:tc>
          <w:tcPr>
            <w:tcW w:w="638" w:type="dxa"/>
          </w:tcPr>
          <w:p w:rsidR="00A54CD2" w:rsidRDefault="00A54CD2">
            <w:pPr>
              <w:pStyle w:val="ConsPlusNormal"/>
            </w:pPr>
          </w:p>
        </w:tc>
        <w:tc>
          <w:tcPr>
            <w:tcW w:w="643" w:type="dxa"/>
          </w:tcPr>
          <w:p w:rsidR="00A54CD2" w:rsidRDefault="00A54CD2">
            <w:pPr>
              <w:pStyle w:val="ConsPlusNormal"/>
            </w:pPr>
          </w:p>
        </w:tc>
        <w:tc>
          <w:tcPr>
            <w:tcW w:w="648" w:type="dxa"/>
          </w:tcPr>
          <w:p w:rsidR="00A54CD2" w:rsidRDefault="00A54CD2">
            <w:pPr>
              <w:pStyle w:val="ConsPlusNormal"/>
            </w:pPr>
          </w:p>
        </w:tc>
        <w:tc>
          <w:tcPr>
            <w:tcW w:w="643" w:type="dxa"/>
          </w:tcPr>
          <w:p w:rsidR="00A54CD2" w:rsidRDefault="00A54CD2">
            <w:pPr>
              <w:pStyle w:val="ConsPlusNormal"/>
            </w:pPr>
          </w:p>
        </w:tc>
        <w:tc>
          <w:tcPr>
            <w:tcW w:w="706" w:type="dxa"/>
          </w:tcPr>
          <w:p w:rsidR="00A54CD2" w:rsidRDefault="00A54CD2">
            <w:pPr>
              <w:pStyle w:val="ConsPlusNormal"/>
            </w:pPr>
          </w:p>
        </w:tc>
        <w:tc>
          <w:tcPr>
            <w:tcW w:w="643" w:type="dxa"/>
          </w:tcPr>
          <w:p w:rsidR="00A54CD2" w:rsidRDefault="00A54CD2">
            <w:pPr>
              <w:pStyle w:val="ConsPlusNormal"/>
            </w:pPr>
          </w:p>
        </w:tc>
        <w:tc>
          <w:tcPr>
            <w:tcW w:w="859" w:type="dxa"/>
          </w:tcPr>
          <w:p w:rsidR="00A54CD2" w:rsidRDefault="00A54CD2">
            <w:pPr>
              <w:pStyle w:val="ConsPlusNormal"/>
            </w:pPr>
          </w:p>
        </w:tc>
        <w:tc>
          <w:tcPr>
            <w:tcW w:w="490" w:type="dxa"/>
          </w:tcPr>
          <w:p w:rsidR="00A54CD2" w:rsidRDefault="00A54CD2">
            <w:pPr>
              <w:pStyle w:val="ConsPlusNormal"/>
            </w:pPr>
          </w:p>
        </w:tc>
        <w:tc>
          <w:tcPr>
            <w:tcW w:w="1296" w:type="dxa"/>
          </w:tcPr>
          <w:p w:rsidR="00A54CD2" w:rsidRDefault="00A54CD2">
            <w:pPr>
              <w:pStyle w:val="ConsPlusNormal"/>
            </w:pPr>
          </w:p>
        </w:tc>
        <w:tc>
          <w:tcPr>
            <w:tcW w:w="850" w:type="dxa"/>
          </w:tcPr>
          <w:p w:rsidR="00A54CD2" w:rsidRDefault="00A54CD2">
            <w:pPr>
              <w:pStyle w:val="ConsPlusNormal"/>
            </w:pPr>
          </w:p>
        </w:tc>
        <w:tc>
          <w:tcPr>
            <w:tcW w:w="854" w:type="dxa"/>
          </w:tcPr>
          <w:p w:rsidR="00A54CD2" w:rsidRDefault="00A54CD2">
            <w:pPr>
              <w:pStyle w:val="ConsPlusNormal"/>
            </w:pPr>
          </w:p>
        </w:tc>
        <w:tc>
          <w:tcPr>
            <w:tcW w:w="922" w:type="dxa"/>
          </w:tcPr>
          <w:p w:rsidR="00A54CD2" w:rsidRDefault="00A54CD2">
            <w:pPr>
              <w:pStyle w:val="ConsPlusNormal"/>
            </w:pPr>
          </w:p>
        </w:tc>
        <w:tc>
          <w:tcPr>
            <w:tcW w:w="653" w:type="dxa"/>
          </w:tcPr>
          <w:p w:rsidR="00A54CD2" w:rsidRDefault="00A54CD2">
            <w:pPr>
              <w:pStyle w:val="ConsPlusNormal"/>
            </w:pPr>
          </w:p>
        </w:tc>
        <w:tc>
          <w:tcPr>
            <w:tcW w:w="1191" w:type="dxa"/>
          </w:tcPr>
          <w:p w:rsidR="00A54CD2" w:rsidRDefault="00A54CD2">
            <w:pPr>
              <w:pStyle w:val="ConsPlusNormal"/>
            </w:pPr>
          </w:p>
        </w:tc>
        <w:tc>
          <w:tcPr>
            <w:tcW w:w="1020" w:type="dxa"/>
          </w:tcPr>
          <w:p w:rsidR="00A54CD2" w:rsidRDefault="00A54CD2">
            <w:pPr>
              <w:pStyle w:val="ConsPlusNormal"/>
            </w:pPr>
          </w:p>
        </w:tc>
      </w:tr>
      <w:tr w:rsidR="00A54CD2">
        <w:tc>
          <w:tcPr>
            <w:tcW w:w="821" w:type="dxa"/>
          </w:tcPr>
          <w:p w:rsidR="00A54CD2" w:rsidRDefault="00A54CD2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624" w:type="dxa"/>
          </w:tcPr>
          <w:p w:rsidR="00A54CD2" w:rsidRDefault="00A54CD2">
            <w:pPr>
              <w:pStyle w:val="ConsPlusNormal"/>
            </w:pPr>
          </w:p>
        </w:tc>
        <w:tc>
          <w:tcPr>
            <w:tcW w:w="680" w:type="dxa"/>
          </w:tcPr>
          <w:p w:rsidR="00A54CD2" w:rsidRDefault="00A54CD2">
            <w:pPr>
              <w:pStyle w:val="ConsPlusNormal"/>
            </w:pPr>
          </w:p>
        </w:tc>
        <w:tc>
          <w:tcPr>
            <w:tcW w:w="737" w:type="dxa"/>
          </w:tcPr>
          <w:p w:rsidR="00A54CD2" w:rsidRDefault="00A54CD2">
            <w:pPr>
              <w:pStyle w:val="ConsPlusNormal"/>
            </w:pPr>
          </w:p>
        </w:tc>
        <w:tc>
          <w:tcPr>
            <w:tcW w:w="907" w:type="dxa"/>
          </w:tcPr>
          <w:p w:rsidR="00A54CD2" w:rsidRDefault="00A54CD2">
            <w:pPr>
              <w:pStyle w:val="ConsPlusNormal"/>
            </w:pPr>
          </w:p>
        </w:tc>
        <w:tc>
          <w:tcPr>
            <w:tcW w:w="638" w:type="dxa"/>
          </w:tcPr>
          <w:p w:rsidR="00A54CD2" w:rsidRDefault="00A54CD2">
            <w:pPr>
              <w:pStyle w:val="ConsPlusNormal"/>
            </w:pPr>
          </w:p>
        </w:tc>
        <w:tc>
          <w:tcPr>
            <w:tcW w:w="643" w:type="dxa"/>
          </w:tcPr>
          <w:p w:rsidR="00A54CD2" w:rsidRDefault="00A54CD2">
            <w:pPr>
              <w:pStyle w:val="ConsPlusNormal"/>
            </w:pPr>
          </w:p>
        </w:tc>
        <w:tc>
          <w:tcPr>
            <w:tcW w:w="648" w:type="dxa"/>
          </w:tcPr>
          <w:p w:rsidR="00A54CD2" w:rsidRDefault="00A54CD2">
            <w:pPr>
              <w:pStyle w:val="ConsPlusNormal"/>
            </w:pPr>
          </w:p>
        </w:tc>
        <w:tc>
          <w:tcPr>
            <w:tcW w:w="643" w:type="dxa"/>
          </w:tcPr>
          <w:p w:rsidR="00A54CD2" w:rsidRDefault="00A54CD2">
            <w:pPr>
              <w:pStyle w:val="ConsPlusNormal"/>
            </w:pPr>
          </w:p>
        </w:tc>
        <w:tc>
          <w:tcPr>
            <w:tcW w:w="706" w:type="dxa"/>
          </w:tcPr>
          <w:p w:rsidR="00A54CD2" w:rsidRDefault="00A54CD2">
            <w:pPr>
              <w:pStyle w:val="ConsPlusNormal"/>
            </w:pPr>
          </w:p>
        </w:tc>
        <w:tc>
          <w:tcPr>
            <w:tcW w:w="643" w:type="dxa"/>
          </w:tcPr>
          <w:p w:rsidR="00A54CD2" w:rsidRDefault="00A54CD2">
            <w:pPr>
              <w:pStyle w:val="ConsPlusNormal"/>
            </w:pPr>
          </w:p>
        </w:tc>
        <w:tc>
          <w:tcPr>
            <w:tcW w:w="859" w:type="dxa"/>
          </w:tcPr>
          <w:p w:rsidR="00A54CD2" w:rsidRDefault="00A54CD2">
            <w:pPr>
              <w:pStyle w:val="ConsPlusNormal"/>
            </w:pPr>
          </w:p>
        </w:tc>
        <w:tc>
          <w:tcPr>
            <w:tcW w:w="490" w:type="dxa"/>
          </w:tcPr>
          <w:p w:rsidR="00A54CD2" w:rsidRDefault="00A54CD2">
            <w:pPr>
              <w:pStyle w:val="ConsPlusNormal"/>
            </w:pPr>
          </w:p>
        </w:tc>
        <w:tc>
          <w:tcPr>
            <w:tcW w:w="1296" w:type="dxa"/>
          </w:tcPr>
          <w:p w:rsidR="00A54CD2" w:rsidRDefault="00A54CD2">
            <w:pPr>
              <w:pStyle w:val="ConsPlusNormal"/>
            </w:pPr>
          </w:p>
        </w:tc>
        <w:tc>
          <w:tcPr>
            <w:tcW w:w="850" w:type="dxa"/>
          </w:tcPr>
          <w:p w:rsidR="00A54CD2" w:rsidRDefault="00A54CD2">
            <w:pPr>
              <w:pStyle w:val="ConsPlusNormal"/>
            </w:pPr>
          </w:p>
        </w:tc>
        <w:tc>
          <w:tcPr>
            <w:tcW w:w="854" w:type="dxa"/>
          </w:tcPr>
          <w:p w:rsidR="00A54CD2" w:rsidRDefault="00A54CD2">
            <w:pPr>
              <w:pStyle w:val="ConsPlusNormal"/>
            </w:pPr>
          </w:p>
        </w:tc>
        <w:tc>
          <w:tcPr>
            <w:tcW w:w="922" w:type="dxa"/>
          </w:tcPr>
          <w:p w:rsidR="00A54CD2" w:rsidRDefault="00A54CD2">
            <w:pPr>
              <w:pStyle w:val="ConsPlusNormal"/>
            </w:pPr>
          </w:p>
        </w:tc>
        <w:tc>
          <w:tcPr>
            <w:tcW w:w="653" w:type="dxa"/>
          </w:tcPr>
          <w:p w:rsidR="00A54CD2" w:rsidRDefault="00A54CD2">
            <w:pPr>
              <w:pStyle w:val="ConsPlusNormal"/>
            </w:pPr>
          </w:p>
        </w:tc>
        <w:tc>
          <w:tcPr>
            <w:tcW w:w="1191" w:type="dxa"/>
          </w:tcPr>
          <w:p w:rsidR="00A54CD2" w:rsidRDefault="00A54CD2">
            <w:pPr>
              <w:pStyle w:val="ConsPlusNormal"/>
            </w:pPr>
          </w:p>
        </w:tc>
        <w:tc>
          <w:tcPr>
            <w:tcW w:w="1020" w:type="dxa"/>
          </w:tcPr>
          <w:p w:rsidR="00A54CD2" w:rsidRDefault="00A54CD2">
            <w:pPr>
              <w:pStyle w:val="ConsPlusNormal"/>
            </w:pPr>
          </w:p>
        </w:tc>
      </w:tr>
    </w:tbl>
    <w:p w:rsidR="00A54CD2" w:rsidRDefault="00A54CD2">
      <w:pPr>
        <w:sectPr w:rsidR="00A54CD2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A54CD2" w:rsidRDefault="00A54C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78"/>
        <w:gridCol w:w="737"/>
        <w:gridCol w:w="5046"/>
      </w:tblGrid>
      <w:tr w:rsidR="00A54CD2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4CD2" w:rsidRDefault="00A54CD2">
            <w:pPr>
              <w:pStyle w:val="ConsPlusNormal"/>
            </w:pPr>
            <w:r>
              <w:t>Руководитель банка</w:t>
            </w:r>
          </w:p>
          <w:p w:rsidR="00A54CD2" w:rsidRDefault="00A54CD2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</w:p>
        </w:tc>
        <w:tc>
          <w:tcPr>
            <w:tcW w:w="50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4CD2" w:rsidRDefault="00A54CD2">
            <w:pPr>
              <w:pStyle w:val="ConsPlusNormal"/>
            </w:pPr>
          </w:p>
        </w:tc>
      </w:tr>
      <w:tr w:rsidR="00A54CD2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</w:p>
        </w:tc>
        <w:tc>
          <w:tcPr>
            <w:tcW w:w="50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A54CD2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  <w:r>
              <w:t>Исполнитель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</w:p>
        </w:tc>
        <w:tc>
          <w:tcPr>
            <w:tcW w:w="50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4CD2" w:rsidRDefault="00A54CD2">
            <w:pPr>
              <w:pStyle w:val="ConsPlusNormal"/>
            </w:pPr>
          </w:p>
        </w:tc>
      </w:tr>
      <w:tr w:rsidR="00A54CD2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</w:p>
        </w:tc>
        <w:tc>
          <w:tcPr>
            <w:tcW w:w="50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A54CD2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  <w:r>
              <w:t>М.П. (при наличии)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</w:p>
        </w:tc>
      </w:tr>
    </w:tbl>
    <w:p w:rsidR="00A54CD2" w:rsidRDefault="00A54C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475"/>
        <w:gridCol w:w="629"/>
        <w:gridCol w:w="797"/>
        <w:gridCol w:w="1378"/>
      </w:tblGrid>
      <w:tr w:rsidR="00A54CD2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4CD2" w:rsidRDefault="00A54CD2">
            <w:pPr>
              <w:pStyle w:val="ConsPlusNormal"/>
            </w:pPr>
            <w:r>
              <w:t>"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4CD2" w:rsidRDefault="00A54CD2">
            <w:pPr>
              <w:pStyle w:val="ConsPlusNormal"/>
              <w:jc w:val="center"/>
            </w:pPr>
            <w:r>
              <w:t>"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4CD2" w:rsidRDefault="00A54CD2">
            <w:pPr>
              <w:pStyle w:val="ConsPlusNormal"/>
            </w:pPr>
            <w:r>
              <w:t>202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4CD2" w:rsidRDefault="00A54CD2">
            <w:pPr>
              <w:pStyle w:val="ConsPlusNormal"/>
            </w:pPr>
            <w:r>
              <w:t>г.</w:t>
            </w:r>
          </w:p>
        </w:tc>
      </w:tr>
    </w:tbl>
    <w:p w:rsidR="00A54CD2" w:rsidRDefault="00A54CD2">
      <w:pPr>
        <w:pStyle w:val="ConsPlusNormal"/>
        <w:jc w:val="both"/>
      </w:pPr>
    </w:p>
    <w:p w:rsidR="00A54CD2" w:rsidRDefault="00A54CD2">
      <w:pPr>
        <w:pStyle w:val="ConsPlusNormal"/>
        <w:jc w:val="both"/>
      </w:pPr>
    </w:p>
    <w:p w:rsidR="00A54CD2" w:rsidRDefault="00A54CD2">
      <w:pPr>
        <w:pStyle w:val="ConsPlusNormal"/>
        <w:jc w:val="both"/>
      </w:pPr>
    </w:p>
    <w:p w:rsidR="00A54CD2" w:rsidRDefault="00A54CD2">
      <w:pPr>
        <w:pStyle w:val="ConsPlusNormal"/>
        <w:jc w:val="both"/>
      </w:pPr>
    </w:p>
    <w:p w:rsidR="00A54CD2" w:rsidRDefault="00A54CD2">
      <w:pPr>
        <w:pStyle w:val="ConsPlusNormal"/>
        <w:jc w:val="both"/>
      </w:pPr>
    </w:p>
    <w:p w:rsidR="00A54CD2" w:rsidRDefault="00A54CD2">
      <w:pPr>
        <w:pStyle w:val="ConsPlusNormal"/>
        <w:jc w:val="right"/>
        <w:outlineLvl w:val="1"/>
      </w:pPr>
      <w:r>
        <w:t>Приложение N 3</w:t>
      </w:r>
    </w:p>
    <w:p w:rsidR="00A54CD2" w:rsidRDefault="00A54CD2">
      <w:pPr>
        <w:pStyle w:val="ConsPlusNormal"/>
        <w:jc w:val="right"/>
      </w:pPr>
      <w:r>
        <w:t>к Правилам предоставления</w:t>
      </w:r>
    </w:p>
    <w:p w:rsidR="00A54CD2" w:rsidRDefault="00A54CD2">
      <w:pPr>
        <w:pStyle w:val="ConsPlusNormal"/>
        <w:jc w:val="right"/>
      </w:pPr>
      <w:r>
        <w:t>субсидий из федерального бюджета</w:t>
      </w:r>
    </w:p>
    <w:p w:rsidR="00A54CD2" w:rsidRDefault="00A54CD2">
      <w:pPr>
        <w:pStyle w:val="ConsPlusNormal"/>
        <w:jc w:val="right"/>
      </w:pPr>
      <w:r>
        <w:t>кредитным организациям на возмещение</w:t>
      </w:r>
    </w:p>
    <w:p w:rsidR="00A54CD2" w:rsidRDefault="00A54CD2">
      <w:pPr>
        <w:pStyle w:val="ConsPlusNormal"/>
        <w:jc w:val="right"/>
      </w:pPr>
      <w:r>
        <w:t>недополученных ими доходов по кредитам,</w:t>
      </w:r>
    </w:p>
    <w:p w:rsidR="00A54CD2" w:rsidRDefault="00A54CD2">
      <w:pPr>
        <w:pStyle w:val="ConsPlusNormal"/>
        <w:jc w:val="right"/>
      </w:pPr>
      <w:r>
        <w:t>выданным системообразующим организациям</w:t>
      </w:r>
    </w:p>
    <w:p w:rsidR="00A54CD2" w:rsidRDefault="00A54CD2">
      <w:pPr>
        <w:pStyle w:val="ConsPlusNormal"/>
        <w:jc w:val="right"/>
      </w:pPr>
      <w:r>
        <w:t>топливно-энергетического комплекса</w:t>
      </w:r>
    </w:p>
    <w:p w:rsidR="00A54CD2" w:rsidRDefault="00A54CD2">
      <w:pPr>
        <w:pStyle w:val="ConsPlusNormal"/>
        <w:jc w:val="right"/>
      </w:pPr>
      <w:r>
        <w:t>и организациям, входящим в группу</w:t>
      </w:r>
    </w:p>
    <w:p w:rsidR="00A54CD2" w:rsidRDefault="00A54CD2">
      <w:pPr>
        <w:pStyle w:val="ConsPlusNormal"/>
        <w:jc w:val="right"/>
      </w:pPr>
      <w:r>
        <w:t>лиц системообразующей организации</w:t>
      </w:r>
    </w:p>
    <w:p w:rsidR="00A54CD2" w:rsidRDefault="00A54CD2">
      <w:pPr>
        <w:pStyle w:val="ConsPlusNormal"/>
        <w:jc w:val="right"/>
      </w:pPr>
      <w:r>
        <w:t>топливно-энергетического комплекса</w:t>
      </w:r>
    </w:p>
    <w:p w:rsidR="00A54CD2" w:rsidRDefault="00A54CD2">
      <w:pPr>
        <w:pStyle w:val="ConsPlusNormal"/>
        <w:jc w:val="both"/>
      </w:pPr>
    </w:p>
    <w:p w:rsidR="00A54CD2" w:rsidRDefault="00A54CD2">
      <w:pPr>
        <w:pStyle w:val="ConsPlusNormal"/>
        <w:jc w:val="right"/>
      </w:pPr>
      <w:r>
        <w:t>(форма)</w:t>
      </w:r>
    </w:p>
    <w:p w:rsidR="00A54CD2" w:rsidRDefault="00A54CD2">
      <w:pPr>
        <w:pStyle w:val="ConsPlusNormal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39"/>
        <w:gridCol w:w="3175"/>
      </w:tblGrid>
      <w:tr w:rsidR="00A54CD2"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4CD2" w:rsidRDefault="00A54CD2">
            <w:pPr>
              <w:pStyle w:val="ConsPlusNormal"/>
            </w:pPr>
            <w:r>
              <w:t>В Министерство энергетики Российской Федерации</w:t>
            </w:r>
          </w:p>
        </w:tc>
      </w:tr>
    </w:tbl>
    <w:p w:rsidR="00A54CD2" w:rsidRDefault="00A54C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A54CD2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4CD2" w:rsidRDefault="00A54CD2">
            <w:pPr>
              <w:pStyle w:val="ConsPlusNormal"/>
              <w:jc w:val="center"/>
            </w:pPr>
            <w:bookmarkStart w:id="25" w:name="P460"/>
            <w:bookmarkEnd w:id="25"/>
            <w:r>
              <w:t>РЕЕСТР ПОТЕНЦИАЛЬНЫХ ЗАЕМЩИКОВ,</w:t>
            </w:r>
          </w:p>
          <w:p w:rsidR="00A54CD2" w:rsidRDefault="00A54CD2">
            <w:pPr>
              <w:pStyle w:val="ConsPlusNormal"/>
              <w:jc w:val="center"/>
            </w:pPr>
            <w:r>
              <w:t>претендующих на заключение кредитных договоров (соглашений),</w:t>
            </w:r>
          </w:p>
          <w:p w:rsidR="00A54CD2" w:rsidRDefault="00A54CD2">
            <w:pPr>
              <w:pStyle w:val="ConsPlusNormal"/>
              <w:jc w:val="center"/>
            </w:pPr>
            <w:r>
              <w:t>по состоянию на "__" ___________ 202_ г.</w:t>
            </w:r>
          </w:p>
        </w:tc>
      </w:tr>
    </w:tbl>
    <w:p w:rsidR="00A54CD2" w:rsidRDefault="00A54C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4"/>
        <w:gridCol w:w="794"/>
        <w:gridCol w:w="5746"/>
      </w:tblGrid>
      <w:tr w:rsidR="00A54CD2"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4CD2" w:rsidRDefault="00A54CD2">
            <w:pPr>
              <w:pStyle w:val="ConsPlusNormal"/>
            </w:pPr>
            <w:r>
              <w:t>Наименование банка</w:t>
            </w:r>
          </w:p>
        </w:tc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4CD2" w:rsidRDefault="00A54CD2">
            <w:pPr>
              <w:pStyle w:val="ConsPlusNormal"/>
            </w:pPr>
          </w:p>
        </w:tc>
      </w:tr>
      <w:tr w:rsidR="00A54CD2">
        <w:tc>
          <w:tcPr>
            <w:tcW w:w="3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  <w:r>
              <w:t>БИК уполномоченного банка</w:t>
            </w:r>
          </w:p>
        </w:tc>
        <w:tc>
          <w:tcPr>
            <w:tcW w:w="57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54CD2" w:rsidRDefault="00A54CD2">
            <w:pPr>
              <w:pStyle w:val="ConsPlusNormal"/>
            </w:pPr>
          </w:p>
        </w:tc>
      </w:tr>
      <w:tr w:rsidR="00A54CD2">
        <w:tc>
          <w:tcPr>
            <w:tcW w:w="3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  <w:r>
              <w:t>ИНН уполномоченного банка</w:t>
            </w:r>
          </w:p>
        </w:tc>
        <w:tc>
          <w:tcPr>
            <w:tcW w:w="57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54CD2" w:rsidRDefault="00A54CD2">
            <w:pPr>
              <w:pStyle w:val="ConsPlusNormal"/>
            </w:pPr>
          </w:p>
        </w:tc>
      </w:tr>
    </w:tbl>
    <w:p w:rsidR="00A54CD2" w:rsidRDefault="00A54CD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6"/>
        <w:gridCol w:w="1075"/>
        <w:gridCol w:w="758"/>
        <w:gridCol w:w="1247"/>
        <w:gridCol w:w="1531"/>
        <w:gridCol w:w="864"/>
        <w:gridCol w:w="1550"/>
        <w:gridCol w:w="1134"/>
      </w:tblGrid>
      <w:tr w:rsidR="00A54CD2">
        <w:tc>
          <w:tcPr>
            <w:tcW w:w="826" w:type="dxa"/>
            <w:vMerge w:val="restart"/>
          </w:tcPr>
          <w:p w:rsidR="00A54CD2" w:rsidRDefault="00A54CD2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611" w:type="dxa"/>
            <w:gridSpan w:val="4"/>
          </w:tcPr>
          <w:p w:rsidR="00A54CD2" w:rsidRDefault="00A54CD2">
            <w:pPr>
              <w:pStyle w:val="ConsPlusNormal"/>
              <w:jc w:val="center"/>
            </w:pPr>
            <w:r>
              <w:t>Сведения о заемщике</w:t>
            </w:r>
          </w:p>
        </w:tc>
        <w:tc>
          <w:tcPr>
            <w:tcW w:w="3548" w:type="dxa"/>
            <w:gridSpan w:val="3"/>
          </w:tcPr>
          <w:p w:rsidR="00A54CD2" w:rsidRDefault="00A54CD2">
            <w:pPr>
              <w:pStyle w:val="ConsPlusNormal"/>
              <w:jc w:val="center"/>
            </w:pPr>
            <w:r>
              <w:t>Планируемый размер субсидии</w:t>
            </w:r>
          </w:p>
        </w:tc>
      </w:tr>
      <w:tr w:rsidR="00A54CD2">
        <w:tc>
          <w:tcPr>
            <w:tcW w:w="826" w:type="dxa"/>
            <w:vMerge/>
          </w:tcPr>
          <w:p w:rsidR="00A54CD2" w:rsidRDefault="00A54CD2">
            <w:pPr>
              <w:spacing w:after="1" w:line="0" w:lineRule="atLeast"/>
            </w:pPr>
          </w:p>
        </w:tc>
        <w:tc>
          <w:tcPr>
            <w:tcW w:w="1075" w:type="dxa"/>
          </w:tcPr>
          <w:p w:rsidR="00A54CD2" w:rsidRDefault="00A54CD2">
            <w:pPr>
              <w:pStyle w:val="ConsPlusNormal"/>
              <w:jc w:val="center"/>
            </w:pPr>
            <w:r>
              <w:t>полное наименование заемщика</w:t>
            </w:r>
          </w:p>
        </w:tc>
        <w:tc>
          <w:tcPr>
            <w:tcW w:w="758" w:type="dxa"/>
          </w:tcPr>
          <w:p w:rsidR="00A54CD2" w:rsidRDefault="00A54CD2">
            <w:pPr>
              <w:pStyle w:val="ConsPlusNormal"/>
              <w:jc w:val="center"/>
            </w:pPr>
            <w:r>
              <w:t>ИНН заемщика</w:t>
            </w:r>
          </w:p>
        </w:tc>
        <w:tc>
          <w:tcPr>
            <w:tcW w:w="1247" w:type="dxa"/>
          </w:tcPr>
          <w:p w:rsidR="00A54CD2" w:rsidRDefault="00A54CD2">
            <w:pPr>
              <w:pStyle w:val="ConsPlusNormal"/>
              <w:jc w:val="center"/>
            </w:pPr>
            <w:r>
              <w:t xml:space="preserve">отрасль экономики в соответствии с </w:t>
            </w:r>
            <w:r>
              <w:lastRenderedPageBreak/>
              <w:t xml:space="preserve">перечнем отраслей экономики согласно </w:t>
            </w:r>
            <w:hyperlink w:anchor="P251" w:history="1">
              <w:r>
                <w:rPr>
                  <w:color w:val="0000FF"/>
                </w:rPr>
                <w:t>приложению N 1</w:t>
              </w:r>
            </w:hyperlink>
          </w:p>
        </w:tc>
        <w:tc>
          <w:tcPr>
            <w:tcW w:w="1531" w:type="dxa"/>
          </w:tcPr>
          <w:p w:rsidR="00A54CD2" w:rsidRDefault="00A54CD2">
            <w:pPr>
              <w:pStyle w:val="ConsPlusNormal"/>
              <w:jc w:val="center"/>
            </w:pPr>
            <w:r>
              <w:lastRenderedPageBreak/>
              <w:t xml:space="preserve">место нахождения (место жительства) заемщика </w:t>
            </w:r>
            <w:r>
              <w:lastRenderedPageBreak/>
              <w:t>(субъект Российской Федерации, муниципальное образование)</w:t>
            </w:r>
          </w:p>
        </w:tc>
        <w:tc>
          <w:tcPr>
            <w:tcW w:w="864" w:type="dxa"/>
          </w:tcPr>
          <w:p w:rsidR="00A54CD2" w:rsidRDefault="00A54CD2">
            <w:pPr>
              <w:pStyle w:val="ConsPlusNormal"/>
              <w:jc w:val="center"/>
            </w:pPr>
            <w:r>
              <w:lastRenderedPageBreak/>
              <w:t xml:space="preserve">размер субсидии за отчетный </w:t>
            </w:r>
            <w:r>
              <w:lastRenderedPageBreak/>
              <w:t>период, рублей</w:t>
            </w:r>
          </w:p>
        </w:tc>
        <w:tc>
          <w:tcPr>
            <w:tcW w:w="1550" w:type="dxa"/>
          </w:tcPr>
          <w:p w:rsidR="00A54CD2" w:rsidRDefault="00A54CD2">
            <w:pPr>
              <w:pStyle w:val="ConsPlusNormal"/>
              <w:jc w:val="center"/>
            </w:pPr>
            <w:r>
              <w:lastRenderedPageBreak/>
              <w:t xml:space="preserve">размер планируемых к предоставлению субсидий в </w:t>
            </w:r>
            <w:r>
              <w:lastRenderedPageBreak/>
              <w:t>текущем финансовом году, за исключением субсидии за отчетный период, рублей</w:t>
            </w:r>
          </w:p>
        </w:tc>
        <w:tc>
          <w:tcPr>
            <w:tcW w:w="1134" w:type="dxa"/>
          </w:tcPr>
          <w:p w:rsidR="00A54CD2" w:rsidRDefault="00A54CD2">
            <w:pPr>
              <w:pStyle w:val="ConsPlusNormal"/>
              <w:jc w:val="center"/>
            </w:pPr>
            <w:r>
              <w:lastRenderedPageBreak/>
              <w:t xml:space="preserve">размер планируемых к предоставлению </w:t>
            </w:r>
            <w:r>
              <w:lastRenderedPageBreak/>
              <w:t>субсидий в очередном финансовом году, рублей</w:t>
            </w:r>
          </w:p>
        </w:tc>
      </w:tr>
      <w:tr w:rsidR="00A54CD2">
        <w:tc>
          <w:tcPr>
            <w:tcW w:w="826" w:type="dxa"/>
          </w:tcPr>
          <w:p w:rsidR="00A54CD2" w:rsidRDefault="00A54CD2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075" w:type="dxa"/>
          </w:tcPr>
          <w:p w:rsidR="00A54CD2" w:rsidRDefault="00A54C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58" w:type="dxa"/>
          </w:tcPr>
          <w:p w:rsidR="00A54CD2" w:rsidRDefault="00A54CD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47" w:type="dxa"/>
          </w:tcPr>
          <w:p w:rsidR="00A54CD2" w:rsidRDefault="00A54CD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</w:tcPr>
          <w:p w:rsidR="00A54CD2" w:rsidRDefault="00A54CD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64" w:type="dxa"/>
          </w:tcPr>
          <w:p w:rsidR="00A54CD2" w:rsidRDefault="00A54CD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50" w:type="dxa"/>
          </w:tcPr>
          <w:p w:rsidR="00A54CD2" w:rsidRDefault="00A54CD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4" w:type="dxa"/>
          </w:tcPr>
          <w:p w:rsidR="00A54CD2" w:rsidRDefault="00A54CD2">
            <w:pPr>
              <w:pStyle w:val="ConsPlusNormal"/>
              <w:jc w:val="center"/>
            </w:pPr>
            <w:r>
              <w:t>8</w:t>
            </w:r>
          </w:p>
        </w:tc>
      </w:tr>
      <w:tr w:rsidR="00A54CD2">
        <w:tc>
          <w:tcPr>
            <w:tcW w:w="826" w:type="dxa"/>
          </w:tcPr>
          <w:p w:rsidR="00A54CD2" w:rsidRDefault="00A54CD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5" w:type="dxa"/>
          </w:tcPr>
          <w:p w:rsidR="00A54CD2" w:rsidRDefault="00A54CD2">
            <w:pPr>
              <w:pStyle w:val="ConsPlusNormal"/>
            </w:pPr>
          </w:p>
        </w:tc>
        <w:tc>
          <w:tcPr>
            <w:tcW w:w="758" w:type="dxa"/>
          </w:tcPr>
          <w:p w:rsidR="00A54CD2" w:rsidRDefault="00A54CD2">
            <w:pPr>
              <w:pStyle w:val="ConsPlusNormal"/>
            </w:pPr>
          </w:p>
        </w:tc>
        <w:tc>
          <w:tcPr>
            <w:tcW w:w="1247" w:type="dxa"/>
          </w:tcPr>
          <w:p w:rsidR="00A54CD2" w:rsidRDefault="00A54CD2">
            <w:pPr>
              <w:pStyle w:val="ConsPlusNormal"/>
            </w:pPr>
          </w:p>
        </w:tc>
        <w:tc>
          <w:tcPr>
            <w:tcW w:w="1531" w:type="dxa"/>
          </w:tcPr>
          <w:p w:rsidR="00A54CD2" w:rsidRDefault="00A54CD2">
            <w:pPr>
              <w:pStyle w:val="ConsPlusNormal"/>
            </w:pPr>
          </w:p>
        </w:tc>
        <w:tc>
          <w:tcPr>
            <w:tcW w:w="864" w:type="dxa"/>
          </w:tcPr>
          <w:p w:rsidR="00A54CD2" w:rsidRDefault="00A54CD2">
            <w:pPr>
              <w:pStyle w:val="ConsPlusNormal"/>
            </w:pPr>
          </w:p>
        </w:tc>
        <w:tc>
          <w:tcPr>
            <w:tcW w:w="1550" w:type="dxa"/>
          </w:tcPr>
          <w:p w:rsidR="00A54CD2" w:rsidRDefault="00A54CD2">
            <w:pPr>
              <w:pStyle w:val="ConsPlusNormal"/>
            </w:pPr>
          </w:p>
        </w:tc>
        <w:tc>
          <w:tcPr>
            <w:tcW w:w="1134" w:type="dxa"/>
          </w:tcPr>
          <w:p w:rsidR="00A54CD2" w:rsidRDefault="00A54CD2">
            <w:pPr>
              <w:pStyle w:val="ConsPlusNormal"/>
            </w:pPr>
          </w:p>
        </w:tc>
      </w:tr>
      <w:tr w:rsidR="00A54CD2">
        <w:tc>
          <w:tcPr>
            <w:tcW w:w="826" w:type="dxa"/>
          </w:tcPr>
          <w:p w:rsidR="00A54CD2" w:rsidRDefault="00A54C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5" w:type="dxa"/>
          </w:tcPr>
          <w:p w:rsidR="00A54CD2" w:rsidRDefault="00A54CD2">
            <w:pPr>
              <w:pStyle w:val="ConsPlusNormal"/>
            </w:pPr>
          </w:p>
        </w:tc>
        <w:tc>
          <w:tcPr>
            <w:tcW w:w="758" w:type="dxa"/>
          </w:tcPr>
          <w:p w:rsidR="00A54CD2" w:rsidRDefault="00A54CD2">
            <w:pPr>
              <w:pStyle w:val="ConsPlusNormal"/>
            </w:pPr>
          </w:p>
        </w:tc>
        <w:tc>
          <w:tcPr>
            <w:tcW w:w="1247" w:type="dxa"/>
          </w:tcPr>
          <w:p w:rsidR="00A54CD2" w:rsidRDefault="00A54CD2">
            <w:pPr>
              <w:pStyle w:val="ConsPlusNormal"/>
            </w:pPr>
          </w:p>
        </w:tc>
        <w:tc>
          <w:tcPr>
            <w:tcW w:w="1531" w:type="dxa"/>
          </w:tcPr>
          <w:p w:rsidR="00A54CD2" w:rsidRDefault="00A54CD2">
            <w:pPr>
              <w:pStyle w:val="ConsPlusNormal"/>
            </w:pPr>
          </w:p>
        </w:tc>
        <w:tc>
          <w:tcPr>
            <w:tcW w:w="864" w:type="dxa"/>
          </w:tcPr>
          <w:p w:rsidR="00A54CD2" w:rsidRDefault="00A54CD2">
            <w:pPr>
              <w:pStyle w:val="ConsPlusNormal"/>
            </w:pPr>
          </w:p>
        </w:tc>
        <w:tc>
          <w:tcPr>
            <w:tcW w:w="1550" w:type="dxa"/>
          </w:tcPr>
          <w:p w:rsidR="00A54CD2" w:rsidRDefault="00A54CD2">
            <w:pPr>
              <w:pStyle w:val="ConsPlusNormal"/>
            </w:pPr>
          </w:p>
        </w:tc>
        <w:tc>
          <w:tcPr>
            <w:tcW w:w="1134" w:type="dxa"/>
          </w:tcPr>
          <w:p w:rsidR="00A54CD2" w:rsidRDefault="00A54CD2">
            <w:pPr>
              <w:pStyle w:val="ConsPlusNormal"/>
            </w:pPr>
          </w:p>
        </w:tc>
      </w:tr>
      <w:tr w:rsidR="00A54CD2">
        <w:tc>
          <w:tcPr>
            <w:tcW w:w="826" w:type="dxa"/>
          </w:tcPr>
          <w:p w:rsidR="00A54CD2" w:rsidRDefault="00A54CD2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1075" w:type="dxa"/>
          </w:tcPr>
          <w:p w:rsidR="00A54CD2" w:rsidRDefault="00A54CD2">
            <w:pPr>
              <w:pStyle w:val="ConsPlusNormal"/>
            </w:pPr>
          </w:p>
        </w:tc>
        <w:tc>
          <w:tcPr>
            <w:tcW w:w="758" w:type="dxa"/>
          </w:tcPr>
          <w:p w:rsidR="00A54CD2" w:rsidRDefault="00A54CD2">
            <w:pPr>
              <w:pStyle w:val="ConsPlusNormal"/>
            </w:pPr>
          </w:p>
        </w:tc>
        <w:tc>
          <w:tcPr>
            <w:tcW w:w="1247" w:type="dxa"/>
          </w:tcPr>
          <w:p w:rsidR="00A54CD2" w:rsidRDefault="00A54CD2">
            <w:pPr>
              <w:pStyle w:val="ConsPlusNormal"/>
            </w:pPr>
          </w:p>
        </w:tc>
        <w:tc>
          <w:tcPr>
            <w:tcW w:w="1531" w:type="dxa"/>
          </w:tcPr>
          <w:p w:rsidR="00A54CD2" w:rsidRDefault="00A54CD2">
            <w:pPr>
              <w:pStyle w:val="ConsPlusNormal"/>
            </w:pPr>
          </w:p>
        </w:tc>
        <w:tc>
          <w:tcPr>
            <w:tcW w:w="864" w:type="dxa"/>
          </w:tcPr>
          <w:p w:rsidR="00A54CD2" w:rsidRDefault="00A54CD2">
            <w:pPr>
              <w:pStyle w:val="ConsPlusNormal"/>
            </w:pPr>
          </w:p>
        </w:tc>
        <w:tc>
          <w:tcPr>
            <w:tcW w:w="1550" w:type="dxa"/>
          </w:tcPr>
          <w:p w:rsidR="00A54CD2" w:rsidRDefault="00A54CD2">
            <w:pPr>
              <w:pStyle w:val="ConsPlusNormal"/>
            </w:pPr>
          </w:p>
        </w:tc>
        <w:tc>
          <w:tcPr>
            <w:tcW w:w="1134" w:type="dxa"/>
          </w:tcPr>
          <w:p w:rsidR="00A54CD2" w:rsidRDefault="00A54CD2">
            <w:pPr>
              <w:pStyle w:val="ConsPlusNormal"/>
            </w:pPr>
          </w:p>
        </w:tc>
      </w:tr>
    </w:tbl>
    <w:p w:rsidR="00A54CD2" w:rsidRDefault="00A54C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78"/>
        <w:gridCol w:w="737"/>
        <w:gridCol w:w="4989"/>
      </w:tblGrid>
      <w:tr w:rsidR="00A54CD2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4CD2" w:rsidRDefault="00A54CD2">
            <w:pPr>
              <w:pStyle w:val="ConsPlusNormal"/>
            </w:pPr>
            <w:r>
              <w:t>Руководитель банка</w:t>
            </w:r>
          </w:p>
          <w:p w:rsidR="00A54CD2" w:rsidRDefault="00A54CD2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4CD2" w:rsidRDefault="00A54CD2">
            <w:pPr>
              <w:pStyle w:val="ConsPlusNormal"/>
            </w:pPr>
          </w:p>
        </w:tc>
      </w:tr>
      <w:tr w:rsidR="00A54CD2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</w:p>
        </w:tc>
        <w:tc>
          <w:tcPr>
            <w:tcW w:w="49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A54CD2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  <w:r>
              <w:t>Исполнитель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4CD2" w:rsidRDefault="00A54CD2">
            <w:pPr>
              <w:pStyle w:val="ConsPlusNormal"/>
            </w:pPr>
          </w:p>
        </w:tc>
      </w:tr>
      <w:tr w:rsidR="00A54CD2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</w:p>
        </w:tc>
        <w:tc>
          <w:tcPr>
            <w:tcW w:w="49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A54CD2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  <w:r>
              <w:t>М.П. (при наличии)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</w:p>
        </w:tc>
      </w:tr>
    </w:tbl>
    <w:p w:rsidR="00A54CD2" w:rsidRDefault="00A54C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475"/>
        <w:gridCol w:w="629"/>
        <w:gridCol w:w="797"/>
        <w:gridCol w:w="1378"/>
      </w:tblGrid>
      <w:tr w:rsidR="00A54CD2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4CD2" w:rsidRDefault="00A54CD2">
            <w:pPr>
              <w:pStyle w:val="ConsPlusNormal"/>
            </w:pPr>
            <w:r>
              <w:t>"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4CD2" w:rsidRDefault="00A54CD2">
            <w:pPr>
              <w:pStyle w:val="ConsPlusNormal"/>
              <w:jc w:val="center"/>
            </w:pPr>
            <w:r>
              <w:t>"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:rsidR="00A54CD2" w:rsidRDefault="00A54CD2">
            <w:pPr>
              <w:pStyle w:val="ConsPlusNormal"/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4CD2" w:rsidRDefault="00A54CD2">
            <w:pPr>
              <w:pStyle w:val="ConsPlusNormal"/>
            </w:pPr>
            <w:r>
              <w:t>202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4CD2" w:rsidRDefault="00A54CD2">
            <w:pPr>
              <w:pStyle w:val="ConsPlusNormal"/>
            </w:pPr>
            <w:r>
              <w:t>г.</w:t>
            </w:r>
          </w:p>
        </w:tc>
      </w:tr>
    </w:tbl>
    <w:p w:rsidR="00A54CD2" w:rsidRDefault="00A54CD2">
      <w:pPr>
        <w:pStyle w:val="ConsPlusNormal"/>
        <w:jc w:val="both"/>
      </w:pPr>
    </w:p>
    <w:p w:rsidR="00A54CD2" w:rsidRDefault="00A54CD2">
      <w:pPr>
        <w:pStyle w:val="ConsPlusNormal"/>
        <w:jc w:val="both"/>
      </w:pPr>
    </w:p>
    <w:p w:rsidR="00A54CD2" w:rsidRDefault="00A54CD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5BDE" w:rsidRDefault="00F95BDE">
      <w:bookmarkStart w:id="26" w:name="_GoBack"/>
      <w:bookmarkEnd w:id="26"/>
    </w:p>
    <w:sectPr w:rsidR="00F95BDE" w:rsidSect="001111B5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CD2"/>
    <w:rsid w:val="00A54CD2"/>
    <w:rsid w:val="00F95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7ACD9C-42E2-48FF-96C0-DD45AA68A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4C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54CD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54C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54CD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54C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A54CD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54CD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54CD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6181FFC7C75FEF478FF58F6ABDDCC358C2F68F0E014B37B6F0B7CC7CCF53A2A794159F5E658EFD8F7719C6F8E954C2007756258A32EE843s0YEM" TargetMode="External"/><Relationship Id="rId18" Type="http://schemas.openxmlformats.org/officeDocument/2006/relationships/hyperlink" Target="consultantplus://offline/ref=A6181FFC7C75FEF478FF58F6ABDDCC358C2F68F0E014B37B6F0B7CC7CCF53A2A794159F5E658EFDBF6719C6F8E954C2007756258A32EE843s0YEM" TargetMode="External"/><Relationship Id="rId26" Type="http://schemas.openxmlformats.org/officeDocument/2006/relationships/hyperlink" Target="consultantplus://offline/ref=A6181FFC7C75FEF478FF58F6ABDDCC358C2F68F0E014B37B6F0B7CC7CCF53A2A794159F5E658EFDBF3719C6F8E954C2007756258A32EE843s0YEM" TargetMode="External"/><Relationship Id="rId39" Type="http://schemas.openxmlformats.org/officeDocument/2006/relationships/hyperlink" Target="consultantplus://offline/ref=A6181FFC7C75FEF478FF58F6ABDDCC358C2F68F0E014B37B6F0B7CC7CCF53A2A794159F5E658EFDAFC719C6F8E954C2007756258A32EE843s0YEM" TargetMode="External"/><Relationship Id="rId21" Type="http://schemas.openxmlformats.org/officeDocument/2006/relationships/hyperlink" Target="consultantplus://offline/ref=A6181FFC7C75FEF478FF58F6ABDDCC358A266EF4E11EB37B6F0B7CC7CCF53A2A794159F1ED0CBE9DA177C93AD4C0473F016B60s5YCM" TargetMode="External"/><Relationship Id="rId34" Type="http://schemas.openxmlformats.org/officeDocument/2006/relationships/hyperlink" Target="consultantplus://offline/ref=A6181FFC7C75FEF478FF58F6ABDDCC358C2F68F0E014B37B6F0B7CC7CCF53A2A794159F5E658EFDAF2719C6F8E954C2007756258A32EE843s0YEM" TargetMode="External"/><Relationship Id="rId42" Type="http://schemas.openxmlformats.org/officeDocument/2006/relationships/hyperlink" Target="consultantplus://offline/ref=A6181FFC7C75FEF478FF58F6ABDDCC358C2F68F0E014B37B6F0B7CC7CCF53A2A794159F5E658EFDDF6719C6F8E954C2007756258A32EE843s0YEM" TargetMode="External"/><Relationship Id="rId47" Type="http://schemas.openxmlformats.org/officeDocument/2006/relationships/hyperlink" Target="consultantplus://offline/ref=A6181FFC7C75FEF478FF58F6ABDDCC358C2F68F0E014B37B6F0B7CC7CCF53A2A794159F5E658EFDDFC719C6F8E954C2007756258A32EE843s0YEM" TargetMode="External"/><Relationship Id="rId50" Type="http://schemas.openxmlformats.org/officeDocument/2006/relationships/hyperlink" Target="consultantplus://offline/ref=A6181FFC7C75FEF478FF58F6ABDDCC358C2F6FF4E615B37B6F0B7CC7CCF53A2A6B4101F9E75CF1D9F264CA3EC8sCY2M" TargetMode="External"/><Relationship Id="rId55" Type="http://schemas.openxmlformats.org/officeDocument/2006/relationships/hyperlink" Target="consultantplus://offline/ref=A6181FFC7C75FEF478FF58F6ABDDCC358C2F6FF4E615B37B6F0B7CC7CCF53A2A794159F5E65AE8DAF7719C6F8E954C2007756258A32EE843s0YEM" TargetMode="External"/><Relationship Id="rId63" Type="http://schemas.openxmlformats.org/officeDocument/2006/relationships/hyperlink" Target="consultantplus://offline/ref=A6181FFC7C75FEF478FF58F6ABDDCC358C2F6FF4E615B37B6F0B7CC7CCF53A2A794159F5E65BE9DFF4719C6F8E954C2007756258A32EE843s0YEM" TargetMode="External"/><Relationship Id="rId7" Type="http://schemas.openxmlformats.org/officeDocument/2006/relationships/hyperlink" Target="consultantplus://offline/ref=A6181FFC7C75FEF478FF58F6ABDDCC358C2F68F0E014B37B6F0B7CC7CCF53A2A794159F5E658EFD9F1719C6F8E954C2007756258A32EE843s0YE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6181FFC7C75FEF478FF58F6ABDDCC358C2F68F0E014B37B6F0B7CC7CCF53A2A794159F5E658EFDBF4719C6F8E954C2007756258A32EE843s0YEM" TargetMode="External"/><Relationship Id="rId20" Type="http://schemas.openxmlformats.org/officeDocument/2006/relationships/hyperlink" Target="consultantplus://offline/ref=A6181FFC7C75FEF478FF58F6ABDDCC358C2F6EF0E51EB37B6F0B7CC7CCF53A2A794159F6EE50E48DA53E9D33CBC45F210575605EBFs2YEM" TargetMode="External"/><Relationship Id="rId29" Type="http://schemas.openxmlformats.org/officeDocument/2006/relationships/hyperlink" Target="consultantplus://offline/ref=A6181FFC7C75FEF478FF58F6ABDDCC358A266EF4E11EB37B6F0B7CC7CCF53A2A794159F1ED0CBE9DA177C93AD4C0473F016B60s5YCM" TargetMode="External"/><Relationship Id="rId41" Type="http://schemas.openxmlformats.org/officeDocument/2006/relationships/image" Target="media/image1.wmf"/><Relationship Id="rId54" Type="http://schemas.openxmlformats.org/officeDocument/2006/relationships/hyperlink" Target="consultantplus://offline/ref=A6181FFC7C75FEF478FF58F6ABDDCC358C2F6FF4E615B37B6F0B7CC7CCF53A2A794159F5E65AE8DAF5719C6F8E954C2007756258A32EE843s0YEM" TargetMode="External"/><Relationship Id="rId62" Type="http://schemas.openxmlformats.org/officeDocument/2006/relationships/hyperlink" Target="consultantplus://offline/ref=A6181FFC7C75FEF478FF58F6ABDDCC358C2F6FF4E615B37B6F0B7CC7CCF53A2A794159F5E658EADCF2719C6F8E954C2007756258A32EE843s0YE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6181FFC7C75FEF478FF58F6ABDDCC358C2F6AFDEF1BB37B6F0B7CC7CCF53A2A794159F5E658EFD9F1719C6F8E954C2007756258A32EE843s0YEM" TargetMode="External"/><Relationship Id="rId11" Type="http://schemas.openxmlformats.org/officeDocument/2006/relationships/hyperlink" Target="consultantplus://offline/ref=A6181FFC7C75FEF478FF58F6ABDDCC358C2F6AFDEF1BB37B6F0B7CC7CCF53A2A794159F5E658EFD8F5719C6F8E954C2007756258A32EE843s0YEM" TargetMode="External"/><Relationship Id="rId24" Type="http://schemas.openxmlformats.org/officeDocument/2006/relationships/hyperlink" Target="consultantplus://offline/ref=A6181FFC7C75FEF478FF58F6ABDDCC358C2F68F0E014B37B6F0B7CC7CCF53A2A794159F5E658EFDBF0719C6F8E954C2007756258A32EE843s0YEM" TargetMode="External"/><Relationship Id="rId32" Type="http://schemas.openxmlformats.org/officeDocument/2006/relationships/hyperlink" Target="consultantplus://offline/ref=A6181FFC7C75FEF478FF58F6ABDDCC358C2F68F0E014B37B6F0B7CC7CCF53A2A794159F5E658EFDAF0719C6F8E954C2007756258A32EE843s0YEM" TargetMode="External"/><Relationship Id="rId37" Type="http://schemas.openxmlformats.org/officeDocument/2006/relationships/hyperlink" Target="consultantplus://offline/ref=A6181FFC7C75FEF478FF58F6ABDDCC358C2F6AFDE015B37B6F0B7CC7CCF53A2A794159F7E158EBD2A02B8C6BC7C1453F036D7C5CBD2EsEYAM" TargetMode="External"/><Relationship Id="rId40" Type="http://schemas.openxmlformats.org/officeDocument/2006/relationships/hyperlink" Target="consultantplus://offline/ref=A6181FFC7C75FEF478FF58F6ABDDCC358C2F68F0E014B37B6F0B7CC7CCF53A2A794159F5E658EFDDF4719C6F8E954C2007756258A32EE843s0YEM" TargetMode="External"/><Relationship Id="rId45" Type="http://schemas.openxmlformats.org/officeDocument/2006/relationships/hyperlink" Target="consultantplus://offline/ref=A6181FFC7C75FEF478FF58F6ABDDCC358C2F6AFDE015B37B6F0B7CC7CCF53A2A794159F7E158EBD2A02B8C6BC7C1453F036D7C5CBD2EsEYAM" TargetMode="External"/><Relationship Id="rId53" Type="http://schemas.openxmlformats.org/officeDocument/2006/relationships/hyperlink" Target="consultantplus://offline/ref=A6181FFC7C75FEF478FF58F6ABDDCC358C2F6FF4E615B37B6F0B7CC7CCF53A2A794159F5E65AE8DBF1719C6F8E954C2007756258A32EE843s0YEM" TargetMode="External"/><Relationship Id="rId58" Type="http://schemas.openxmlformats.org/officeDocument/2006/relationships/hyperlink" Target="consultantplus://offline/ref=A6181FFC7C75FEF478FF58F6ABDDCC358C2F6FF4E615B37B6F0B7CC7CCF53A2A794159F5E65CEFD9F6719C6F8E954C2007756258A32EE843s0YEM" TargetMode="External"/><Relationship Id="rId66" Type="http://schemas.openxmlformats.org/officeDocument/2006/relationships/theme" Target="theme/theme1.xml"/><Relationship Id="rId5" Type="http://schemas.openxmlformats.org/officeDocument/2006/relationships/hyperlink" Target="consultantplus://offline/ref=A6181FFC7C75FEF478FF58F6ABDDCC358C2F68F0E014B37B6F0B7CC7CCF53A2A794159F5E658EFD9F1719C6F8E954C2007756258A32EE843s0YEM" TargetMode="External"/><Relationship Id="rId15" Type="http://schemas.openxmlformats.org/officeDocument/2006/relationships/hyperlink" Target="consultantplus://offline/ref=A6181FFC7C75FEF478FF58F6ABDDCC358C2F68F0E014B37B6F0B7CC7CCF53A2A794159F5E658EFD8FC719C6F8E954C2007756258A32EE843s0YEM" TargetMode="External"/><Relationship Id="rId23" Type="http://schemas.openxmlformats.org/officeDocument/2006/relationships/hyperlink" Target="consultantplus://offline/ref=A6181FFC7C75FEF478FF58F6ABDDCC358C2F68F0E014B37B6F0B7CC7CCF53A2A794159F5E658EFDBF0719C6F8E954C2007756258A32EE843s0YEM" TargetMode="External"/><Relationship Id="rId28" Type="http://schemas.openxmlformats.org/officeDocument/2006/relationships/hyperlink" Target="consultantplus://offline/ref=A6181FFC7C75FEF478FF58F6ABDDCC358C2F68F0E014B37B6F0B7CC7CCF53A2A794159F5E658EFDAF4719C6F8E954C2007756258A32EE843s0YEM" TargetMode="External"/><Relationship Id="rId36" Type="http://schemas.openxmlformats.org/officeDocument/2006/relationships/hyperlink" Target="consultantplus://offline/ref=A6181FFC7C75FEF478FF58F6ABDDCC358B276BF1E515B37B6F0B7CC7CCF53A2A794159F5E658EFD9F2719C6F8E954C2007756258A32EE843s0YEM" TargetMode="External"/><Relationship Id="rId49" Type="http://schemas.openxmlformats.org/officeDocument/2006/relationships/hyperlink" Target="consultantplus://offline/ref=A6181FFC7C75FEF478FF58F6ABDDCC358C2F68F0E014B37B6F0B7CC7CCF53A2A794159F5E658EFDCF4719C6F8E954C2007756258A32EE843s0YEM" TargetMode="External"/><Relationship Id="rId57" Type="http://schemas.openxmlformats.org/officeDocument/2006/relationships/hyperlink" Target="consultantplus://offline/ref=A6181FFC7C75FEF478FF58F6ABDDCC358C2F6FF4E615B37B6F0B7CC7CCF53A2A794159F5E658E9D0F7719C6F8E954C2007756258A32EE843s0YEM" TargetMode="External"/><Relationship Id="rId61" Type="http://schemas.openxmlformats.org/officeDocument/2006/relationships/hyperlink" Target="consultantplus://offline/ref=A6181FFC7C75FEF478FF58F6ABDDCC358C2F6FF4E615B37B6F0B7CC7CCF53A2A794159F5E658EADDF0719C6F8E954C2007756258A32EE843s0YEM" TargetMode="External"/><Relationship Id="rId10" Type="http://schemas.openxmlformats.org/officeDocument/2006/relationships/hyperlink" Target="consultantplus://offline/ref=A6181FFC7C75FEF478FF58F6ABDDCC358C2F6EF0E51EB37B6F0B7CC7CCF53A2A794159F6EE50E48DA53E9D33CBC45F210575605EBFs2YEM" TargetMode="External"/><Relationship Id="rId19" Type="http://schemas.openxmlformats.org/officeDocument/2006/relationships/hyperlink" Target="consultantplus://offline/ref=A6181FFC7C75FEF478FF58F6ABDDCC358B2664F3E01BB37B6F0B7CC7CCF53A2A6B4101F9E75CF1D9F264CA3EC8sCY2M" TargetMode="External"/><Relationship Id="rId31" Type="http://schemas.openxmlformats.org/officeDocument/2006/relationships/hyperlink" Target="consultantplus://offline/ref=A6181FFC7C75FEF478FF58F6ABDDCC358C2F68F0E014B37B6F0B7CC7CCF53A2A794159F5E658EFDAF6719C6F8E954C2007756258A32EE843s0YEM" TargetMode="External"/><Relationship Id="rId44" Type="http://schemas.openxmlformats.org/officeDocument/2006/relationships/hyperlink" Target="consultantplus://offline/ref=A6181FFC7C75FEF478FF58F6ABDDCC358C2F6AFDEF1BB37B6F0B7CC7CCF53A2A794159F5E658EFD8F3719C6F8E954C2007756258A32EE843s0YEM" TargetMode="External"/><Relationship Id="rId52" Type="http://schemas.openxmlformats.org/officeDocument/2006/relationships/hyperlink" Target="consultantplus://offline/ref=A6181FFC7C75FEF478FF58F6ABDDCC358C2F6FF4E615B37B6F0B7CC7CCF53A2A794159F5E65AE8D8F1719C6F8E954C2007756258A32EE843s0YEM" TargetMode="External"/><Relationship Id="rId60" Type="http://schemas.openxmlformats.org/officeDocument/2006/relationships/hyperlink" Target="consultantplus://offline/ref=A6181FFC7C75FEF478FF58F6ABDDCC358C2F6FF4E615B37B6F0B7CC7CCF53A2A794159F5E658EAD9F4719C6F8E954C2007756258A32EE843s0YEM" TargetMode="External"/><Relationship Id="rId65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A6181FFC7C75FEF478FF58F6ABDDCC358C2F6FFDE71BB37B6F0B7CC7CCF53A2A794159F6EF5BE7DDFF2E997A9FCD40251D6B6440BF2CEAs4Y3M" TargetMode="External"/><Relationship Id="rId14" Type="http://schemas.openxmlformats.org/officeDocument/2006/relationships/hyperlink" Target="consultantplus://offline/ref=A6181FFC7C75FEF478FF58F6ABDDCC358C2F68F0E014B37B6F0B7CC7CCF53A2A794159F5E658EFD8F1719C6F8E954C2007756258A32EE843s0YEM" TargetMode="External"/><Relationship Id="rId22" Type="http://schemas.openxmlformats.org/officeDocument/2006/relationships/hyperlink" Target="consultantplus://offline/ref=A6181FFC7C75FEF478FF58F6ABDDCC358C2F68F0E014B37B6F0B7CC7CCF53A2A794159F5E658EFDBF0719C6F8E954C2007756258A32EE843s0YEM" TargetMode="External"/><Relationship Id="rId27" Type="http://schemas.openxmlformats.org/officeDocument/2006/relationships/hyperlink" Target="consultantplus://offline/ref=A6181FFC7C75FEF478FF58F6ABDDCC358C2F6AFDEF1BB37B6F0B7CC7CCF53A2A794159F5E658EFD8F1719C6F8E954C2007756258A32EE843s0YEM" TargetMode="External"/><Relationship Id="rId30" Type="http://schemas.openxmlformats.org/officeDocument/2006/relationships/hyperlink" Target="consultantplus://offline/ref=A6181FFC7C75FEF478FF58F6ABDDCC358C2F6EF0E51EB37B6F0B7CC7CCF53A2A794159F6EE50E48DA53E9D33CBC45F210575605EBFs2YEM" TargetMode="External"/><Relationship Id="rId35" Type="http://schemas.openxmlformats.org/officeDocument/2006/relationships/hyperlink" Target="consultantplus://offline/ref=A6181FFC7C75FEF478FF58F6ABDDCC358C2F68F0E014B37B6F0B7CC7CCF53A2A794159F5E658EFDAF3719C6F8E954C2007756258A32EE843s0YEM" TargetMode="External"/><Relationship Id="rId43" Type="http://schemas.openxmlformats.org/officeDocument/2006/relationships/hyperlink" Target="consultantplus://offline/ref=A6181FFC7C75FEF478FF58F6ABDDCC358C2F68F0E014B37B6F0B7CC7CCF53A2A794159F5E658EFDDF0719C6F8E954C2007756258A32EE843s0YEM" TargetMode="External"/><Relationship Id="rId48" Type="http://schemas.openxmlformats.org/officeDocument/2006/relationships/hyperlink" Target="consultantplus://offline/ref=A6181FFC7C75FEF478FF58F6ABDDCC358C2E6DF1E015B37B6F0B7CC7CCF53A2A794159F5E658EFD8F7719C6F8E954C2007756258A32EE843s0YEM" TargetMode="External"/><Relationship Id="rId56" Type="http://schemas.openxmlformats.org/officeDocument/2006/relationships/hyperlink" Target="consultantplus://offline/ref=A6181FFC7C75FEF478FF58F6ABDDCC358C2F6FF4E615B37B6F0B7CC7CCF53A2A794159F5E65AE8D1F1719C6F8E954C2007756258A32EE843s0YEM" TargetMode="External"/><Relationship Id="rId64" Type="http://schemas.openxmlformats.org/officeDocument/2006/relationships/hyperlink" Target="consultantplus://offline/ref=A6181FFC7C75FEF478FF58F6ABDDCC358C2F6FF4E615B37B6F0B7CC7CCF53A2A794159F5E65BEEDBFD719C6F8E954C2007756258A32EE843s0YEM" TargetMode="External"/><Relationship Id="rId8" Type="http://schemas.openxmlformats.org/officeDocument/2006/relationships/hyperlink" Target="consultantplus://offline/ref=A6181FFC7C75FEF478FF58F6ABDDCC358C2F6AFDEF1BB37B6F0B7CC7CCF53A2A794159F5E658EFD9F1719C6F8E954C2007756258A32EE843s0YEM" TargetMode="External"/><Relationship Id="rId51" Type="http://schemas.openxmlformats.org/officeDocument/2006/relationships/hyperlink" Target="consultantplus://offline/ref=A6181FFC7C75FEF478FF58F6ABDDCC358C2F6FF4E615B37B6F0B7CC7CCF53A2A6B4101F9E75CF1D9F264CA3EC8sCY2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A6181FFC7C75FEF478FF58F6ABDDCC358C2E6CF2E71FB37B6F0B7CC7CCF53A2A794159F0E450E48DA53E9D33CBC45F210575605EBFs2YEM" TargetMode="External"/><Relationship Id="rId17" Type="http://schemas.openxmlformats.org/officeDocument/2006/relationships/hyperlink" Target="consultantplus://offline/ref=A6181FFC7C75FEF478FF58F6ABDDCC358C2F6AFDEF1BB37B6F0B7CC7CCF53A2A794159F5E658EFD8F7719C6F8E954C2007756258A32EE843s0YEM" TargetMode="External"/><Relationship Id="rId25" Type="http://schemas.openxmlformats.org/officeDocument/2006/relationships/hyperlink" Target="consultantplus://offline/ref=A6181FFC7C75FEF478FF58F6ABDDCC358C2F68F0E014B37B6F0B7CC7CCF53A2A794159F5E658EFDBF1719C6F8E954C2007756258A32EE843s0YEM" TargetMode="External"/><Relationship Id="rId33" Type="http://schemas.openxmlformats.org/officeDocument/2006/relationships/hyperlink" Target="consultantplus://offline/ref=A6181FFC7C75FEF478FF58F6ABDDCC358C2F68F0E014B37B6F0B7CC7CCF53A2A794159F5E658EFDAF1719C6F8E954C2007756258A32EE843s0YEM" TargetMode="External"/><Relationship Id="rId38" Type="http://schemas.openxmlformats.org/officeDocument/2006/relationships/hyperlink" Target="consultantplus://offline/ref=A6181FFC7C75FEF478FF58F6ABDDCC358C2F6AFDE015B37B6F0B7CC7CCF53A2A794159F7E15AEDD2A02B8C6BC7C1453F036D7C5CBD2EsEYAM" TargetMode="External"/><Relationship Id="rId46" Type="http://schemas.openxmlformats.org/officeDocument/2006/relationships/hyperlink" Target="consultantplus://offline/ref=A6181FFC7C75FEF478FF58F6ABDDCC358C2F6AFDE015B37B6F0B7CC7CCF53A2A794159F7E15AEDD2A02B8C6BC7C1453F036D7C5CBD2EsEYAM" TargetMode="External"/><Relationship Id="rId59" Type="http://schemas.openxmlformats.org/officeDocument/2006/relationships/hyperlink" Target="consultantplus://offline/ref=A6181FFC7C75FEF478FF58F6ABDDCC358C2F6FF4E615B37B6F0B7CC7CCF53A2A794159F5E659EBDDF6719C6F8E954C2007756258A32EE843s0Y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8880</Words>
  <Characters>50618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2022-06-14T12:24:00Z</dcterms:created>
  <dcterms:modified xsi:type="dcterms:W3CDTF">2022-06-14T12:25:00Z</dcterms:modified>
</cp:coreProperties>
</file>