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B51" w:rsidRPr="00C74B51" w:rsidRDefault="00C74B51" w:rsidP="00C74B51">
      <w:pPr>
        <w:jc w:val="left"/>
        <w:rPr>
          <w:rFonts w:ascii="PTF55F-webfont" w:hAnsi="PTF55F-webfont"/>
          <w:snapToGrid/>
          <w:sz w:val="23"/>
          <w:szCs w:val="23"/>
        </w:rPr>
      </w:pPr>
      <w:bookmarkStart w:id="0" w:name="_GoBack"/>
      <w:bookmarkEnd w:id="0"/>
      <w:r w:rsidRPr="00C74B51">
        <w:rPr>
          <w:rFonts w:ascii="PTF55F-webfont" w:hAnsi="PTF55F-webfont"/>
          <w:snapToGrid/>
          <w:sz w:val="23"/>
          <w:szCs w:val="23"/>
        </w:rPr>
        <w:t>В соответствии с частью 3 статьи 5 и частью 5 статьи 10 Федерального закона от 30 декабря 2008 г. № 307-ФЗ «Об аудиторской деятельности» и постановлением Правительства Российской Федерации от 15 июня 2004 г. № 278 «Об утверждении Положения о Федеральной службе финансово-бюджетного надзора» Федеральная служба финансово-бюджетного надзора является федеральным органом исполнительной власти, осуществляющим, в том числе, государственную функцию по внешнему контролю качества работы аудиторских организаций, проводящих обязательный аудит бухгалтерской (финансовой) отчетности так называемых общественно значимых организаций (ВККР АО).</w:t>
      </w:r>
    </w:p>
    <w:p w:rsidR="00C74B51" w:rsidRPr="00C74B51" w:rsidRDefault="00C74B51" w:rsidP="00C74B51">
      <w:pPr>
        <w:jc w:val="left"/>
        <w:rPr>
          <w:rFonts w:ascii="PTF55F-webfont" w:hAnsi="PTF55F-webfont"/>
          <w:snapToGrid/>
          <w:sz w:val="23"/>
          <w:szCs w:val="23"/>
        </w:rPr>
      </w:pPr>
      <w:r w:rsidRPr="00C74B51">
        <w:rPr>
          <w:rFonts w:ascii="PTF55F-webfont" w:hAnsi="PTF55F-webfont"/>
          <w:snapToGrid/>
          <w:sz w:val="23"/>
          <w:szCs w:val="23"/>
        </w:rPr>
        <w:t>Предметом ВККР АО является соблюдение аудиторской организацией требований Федерального закона № 307-ФЗ, стандартов аудиторской деятельности, правил независимости аудиторов и аудиторских организаций, кодекса профессиональной этики аудиторов.</w:t>
      </w:r>
    </w:p>
    <w:p w:rsidR="00C74B51" w:rsidRPr="00C74B51" w:rsidRDefault="00C74B51" w:rsidP="00C74B51">
      <w:pPr>
        <w:jc w:val="left"/>
        <w:rPr>
          <w:rFonts w:ascii="PTF55F-webfont" w:hAnsi="PTF55F-webfont"/>
          <w:snapToGrid/>
          <w:sz w:val="23"/>
          <w:szCs w:val="23"/>
        </w:rPr>
      </w:pPr>
      <w:r w:rsidRPr="00C74B51">
        <w:rPr>
          <w:rFonts w:ascii="PTF55F-webfont" w:hAnsi="PTF55F-webfont"/>
          <w:snapToGrid/>
          <w:sz w:val="23"/>
          <w:szCs w:val="23"/>
        </w:rPr>
        <w:t>В рамках осуществления ВККР АО Росфиннадзором и его территориальными органами в 2012 году проведено 115 выездных внешних проверок, из них:</w:t>
      </w:r>
    </w:p>
    <w:p w:rsidR="00C74B51" w:rsidRPr="00C74B51" w:rsidRDefault="00C74B51" w:rsidP="00C74B51">
      <w:pPr>
        <w:jc w:val="left"/>
        <w:rPr>
          <w:rFonts w:ascii="PTF55F-webfont" w:hAnsi="PTF55F-webfont"/>
          <w:snapToGrid/>
          <w:sz w:val="23"/>
          <w:szCs w:val="23"/>
        </w:rPr>
      </w:pPr>
      <w:r w:rsidRPr="00C74B51">
        <w:rPr>
          <w:rFonts w:ascii="PTF55F-webfont" w:hAnsi="PTF55F-webfont"/>
          <w:snapToGrid/>
          <w:sz w:val="23"/>
          <w:szCs w:val="23"/>
        </w:rPr>
        <w:t>– 113 внешних проверок в рамках исполнения Плана Росфиннадзора на 2012 год; </w:t>
      </w:r>
      <w:r w:rsidRPr="00C74B51">
        <w:rPr>
          <w:rFonts w:ascii="PTF55F-webfont" w:hAnsi="PTF55F-webfont"/>
          <w:snapToGrid/>
          <w:sz w:val="23"/>
          <w:szCs w:val="23"/>
        </w:rPr>
        <w:br/>
        <w:t>– 2 внеплановые внешние проверки в связи с поступлением жалобы на действия (бездействие) аудиторской организации.</w:t>
      </w:r>
    </w:p>
    <w:p w:rsidR="00C74B51" w:rsidRPr="00C74B51" w:rsidRDefault="00C74B51" w:rsidP="00C74B51">
      <w:pPr>
        <w:jc w:val="left"/>
        <w:rPr>
          <w:rFonts w:ascii="PTF55F-webfont" w:hAnsi="PTF55F-webfont"/>
          <w:snapToGrid/>
          <w:sz w:val="23"/>
          <w:szCs w:val="23"/>
        </w:rPr>
      </w:pPr>
      <w:r w:rsidRPr="00C74B51">
        <w:rPr>
          <w:rFonts w:ascii="PTF55F-webfont" w:hAnsi="PTF55F-webfont"/>
          <w:snapToGrid/>
          <w:sz w:val="23"/>
          <w:szCs w:val="23"/>
        </w:rPr>
        <w:t>В отношении 97 аудиторских организаций были приняты меры дисциплинарного воздействия.</w:t>
      </w:r>
    </w:p>
    <w:p w:rsidR="00C74B51" w:rsidRPr="00C74B51" w:rsidRDefault="00C74B51" w:rsidP="00C74B51">
      <w:pPr>
        <w:jc w:val="left"/>
        <w:rPr>
          <w:rFonts w:ascii="PTF55F-webfont" w:hAnsi="PTF55F-webfont"/>
          <w:snapToGrid/>
          <w:sz w:val="23"/>
          <w:szCs w:val="23"/>
        </w:rPr>
      </w:pPr>
      <w:r w:rsidRPr="00C74B51">
        <w:rPr>
          <w:rFonts w:ascii="PTF55F-webfont" w:hAnsi="PTF55F-webfont"/>
          <w:snapToGrid/>
          <w:sz w:val="23"/>
          <w:szCs w:val="23"/>
        </w:rPr>
        <w:t>По результатам проведенных внешних проверок принято 103 решения о применении мер дисциплинарного воздействия, из них: </w:t>
      </w:r>
      <w:r w:rsidRPr="00C74B51">
        <w:rPr>
          <w:rFonts w:ascii="PTF55F-webfont" w:hAnsi="PTF55F-webfont"/>
          <w:snapToGrid/>
          <w:sz w:val="23"/>
          <w:szCs w:val="23"/>
        </w:rPr>
        <w:br/>
        <w:t>– предупреждений аудиторской организации о недопустимости нарушения правил аудиторской деятельности – 87; </w:t>
      </w:r>
      <w:r w:rsidRPr="00C74B51">
        <w:rPr>
          <w:rFonts w:ascii="PTF55F-webfont" w:hAnsi="PTF55F-webfont"/>
          <w:snapToGrid/>
          <w:sz w:val="23"/>
          <w:szCs w:val="23"/>
        </w:rPr>
        <w:br/>
        <w:t>– предписаний, обязывающих аудиторские организации устранить выявленные по результатам внешних проверок нарушения правил аудиторской деятельности – 9; </w:t>
      </w:r>
      <w:r w:rsidRPr="00C74B51">
        <w:rPr>
          <w:rFonts w:ascii="PTF55F-webfont" w:hAnsi="PTF55F-webfont"/>
          <w:snapToGrid/>
          <w:sz w:val="23"/>
          <w:szCs w:val="23"/>
        </w:rPr>
        <w:br/>
        <w:t>– предписаний в саморегулируемые организации аудиторов о приостановлении членства аудиторской организации – 5; </w:t>
      </w:r>
      <w:r w:rsidRPr="00C74B51">
        <w:rPr>
          <w:rFonts w:ascii="PTF55F-webfont" w:hAnsi="PTF55F-webfont"/>
          <w:snapToGrid/>
          <w:sz w:val="23"/>
          <w:szCs w:val="23"/>
        </w:rPr>
        <w:br/>
        <w:t>– предписаний в саморегулируемые организации аудиторов об исключении аудиторской организации из саморегулируемой организации аудиторов – 2. </w:t>
      </w:r>
      <w:r w:rsidRPr="00C74B51">
        <w:rPr>
          <w:rFonts w:ascii="PTF55F-webfont" w:hAnsi="PTF55F-webfont"/>
          <w:snapToGrid/>
          <w:sz w:val="23"/>
          <w:szCs w:val="23"/>
        </w:rPr>
        <w:br/>
        <w:t>Должностными лицами Росфиннадзора и его территориальных органов было составлено: </w:t>
      </w:r>
      <w:r w:rsidRPr="00C74B51">
        <w:rPr>
          <w:rFonts w:ascii="PTF55F-webfont" w:hAnsi="PTF55F-webfont"/>
          <w:snapToGrid/>
          <w:sz w:val="23"/>
          <w:szCs w:val="23"/>
        </w:rPr>
        <w:br/>
        <w:t>– 8 протоколов об административных правонарушениях, ответственность за которые предусмотрена статьей 19.4.1 КоАП РФ (по признакам уклонения аудиторских организаций от проведения внешних проверок); </w:t>
      </w:r>
      <w:r w:rsidRPr="00C74B51">
        <w:rPr>
          <w:rFonts w:ascii="PTF55F-webfont" w:hAnsi="PTF55F-webfont"/>
          <w:snapToGrid/>
          <w:sz w:val="23"/>
          <w:szCs w:val="23"/>
        </w:rPr>
        <w:br/>
        <w:t>– 1 протокол об административном правонарушении, ответственность за которое предусмотрена статьей 19.5 КоАП РФ (за невыполнение в законный срок предписания, обязывающего аудиторскую организацию устранить выявленные по результатам внешней проверки нарушения правил аудиторской деятельности).</w:t>
      </w:r>
    </w:p>
    <w:p w:rsidR="00C74B51" w:rsidRPr="00C74B51" w:rsidRDefault="00C74B51" w:rsidP="00C74B51">
      <w:pPr>
        <w:jc w:val="left"/>
        <w:rPr>
          <w:rFonts w:ascii="PTF55F-webfont" w:hAnsi="PTF55F-webfont"/>
          <w:snapToGrid/>
          <w:sz w:val="23"/>
          <w:szCs w:val="23"/>
        </w:rPr>
      </w:pPr>
      <w:r w:rsidRPr="00C74B51">
        <w:rPr>
          <w:rFonts w:ascii="PTF55F-webfont" w:hAnsi="PTF55F-webfont"/>
          <w:snapToGrid/>
          <w:sz w:val="23"/>
          <w:szCs w:val="23"/>
        </w:rPr>
        <w:t>В результате вынесенных постановлений о наложении административного штрафа в доход федерального бюджета поступило 45 тыс. рублей.</w:t>
      </w:r>
    </w:p>
    <w:p w:rsidR="00C74B51" w:rsidRPr="00C74B51" w:rsidRDefault="00C74B51" w:rsidP="00C74B51">
      <w:pPr>
        <w:jc w:val="left"/>
        <w:rPr>
          <w:rFonts w:ascii="PTF55F-webfont" w:hAnsi="PTF55F-webfont"/>
          <w:snapToGrid/>
          <w:sz w:val="23"/>
          <w:szCs w:val="23"/>
        </w:rPr>
      </w:pPr>
      <w:r w:rsidRPr="00C74B51">
        <w:rPr>
          <w:rFonts w:ascii="PTF55F-webfont" w:hAnsi="PTF55F-webfont"/>
          <w:snapToGrid/>
          <w:sz w:val="23"/>
          <w:szCs w:val="23"/>
        </w:rPr>
        <w:t>Кроме того, в связи с наличием признаков уклонения от проведения внешней проверки или воспрепятствования деятельности по проведению проверочных мероприятий проведение плановых выездных внешних проверок в 9 аудиторских организациях не представлялось возможным.</w:t>
      </w:r>
    </w:p>
    <w:p w:rsidR="00C74B51" w:rsidRPr="00C74B51" w:rsidRDefault="00C74B51" w:rsidP="00C74B51">
      <w:pPr>
        <w:jc w:val="left"/>
        <w:rPr>
          <w:rFonts w:ascii="PTF55F-webfont" w:hAnsi="PTF55F-webfont"/>
          <w:snapToGrid/>
          <w:sz w:val="23"/>
          <w:szCs w:val="23"/>
        </w:rPr>
      </w:pPr>
      <w:r w:rsidRPr="00C74B51">
        <w:rPr>
          <w:rFonts w:ascii="PTF55F-webfont" w:hAnsi="PTF55F-webfont"/>
          <w:snapToGrid/>
          <w:sz w:val="23"/>
          <w:szCs w:val="23"/>
        </w:rPr>
        <w:t>20 аудиторских организаций, включенных в План Росфиннадзора на 2012 год, прекратили свое членство в саморегулируемой организации аудиторов.</w:t>
      </w:r>
    </w:p>
    <w:p w:rsidR="00002BD4" w:rsidRDefault="00002BD4"/>
    <w:sectPr w:rsidR="00002B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PTF55F-webfon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C6481"/>
    <w:multiLevelType w:val="multilevel"/>
    <w:tmpl w:val="EE7C891A"/>
    <w:lvl w:ilvl="0">
      <w:start w:val="1"/>
      <w:numFmt w:val="decimal"/>
      <w:pStyle w:val="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0" w:firstLine="0"/>
      </w:pPr>
      <w:rPr>
        <w:rFonts w:hint="default"/>
        <w:lang w:val="ru-RU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0" w:firstLine="0"/>
      </w:pPr>
      <w:rPr>
        <w:rFonts w:hint="default"/>
        <w:lang w:val="ru-RU"/>
      </w:rPr>
    </w:lvl>
    <w:lvl w:ilvl="4">
      <w:start w:val="1"/>
      <w:numFmt w:val="decimal"/>
      <w:lvlText w:val="%1.%2.%3.%4.%5"/>
      <w:lvlJc w:val="left"/>
      <w:pPr>
        <w:tabs>
          <w:tab w:val="num" w:pos="725"/>
        </w:tabs>
        <w:ind w:left="725" w:hanging="1009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7"/>
        </w:tabs>
        <w:ind w:left="867" w:hanging="11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56"/>
        </w:tabs>
        <w:ind w:left="1014" w:hanging="129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1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16"/>
        </w:tabs>
        <w:ind w:left="1298" w:hanging="1582"/>
      </w:pPr>
      <w:rPr>
        <w:rFonts w:hint="default"/>
      </w:rPr>
    </w:lvl>
  </w:abstractNum>
  <w:abstractNum w:abstractNumId="1">
    <w:nsid w:val="5B506285"/>
    <w:multiLevelType w:val="hybridMultilevel"/>
    <w:tmpl w:val="68F4D30C"/>
    <w:lvl w:ilvl="0" w:tplc="23FA9BE6">
      <w:start w:val="1"/>
      <w:numFmt w:val="decimal"/>
      <w:pStyle w:val="a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1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B51"/>
    <w:rsid w:val="00002BD4"/>
    <w:rsid w:val="00016582"/>
    <w:rsid w:val="00087B2F"/>
    <w:rsid w:val="000C530B"/>
    <w:rsid w:val="00217D64"/>
    <w:rsid w:val="00300E8C"/>
    <w:rsid w:val="0033758D"/>
    <w:rsid w:val="007D0A76"/>
    <w:rsid w:val="00C74B51"/>
    <w:rsid w:val="00D93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a0">
    <w:name w:val="Normal"/>
    <w:rsid w:val="0033758D"/>
    <w:pPr>
      <w:jc w:val="both"/>
    </w:pPr>
    <w:rPr>
      <w:snapToGrid w:val="0"/>
      <w:color w:val="000000"/>
      <w:sz w:val="24"/>
      <w:lang w:eastAsia="ru-RU"/>
    </w:rPr>
  </w:style>
  <w:style w:type="paragraph" w:styleId="1">
    <w:name w:val="heading 1"/>
    <w:basedOn w:val="a0"/>
    <w:next w:val="a0"/>
    <w:link w:val="10"/>
    <w:qFormat/>
    <w:rsid w:val="00D93E5A"/>
    <w:pPr>
      <w:keepNext/>
      <w:numPr>
        <w:numId w:val="13"/>
      </w:numPr>
      <w:suppressAutoHyphens/>
      <w:spacing w:before="360" w:after="120"/>
      <w:jc w:val="left"/>
      <w:outlineLvl w:val="0"/>
    </w:pPr>
    <w:rPr>
      <w:rFonts w:ascii="Arial" w:hAnsi="Arial"/>
      <w:b/>
      <w:bCs/>
      <w:snapToGrid/>
      <w:sz w:val="36"/>
      <w:lang w:eastAsia="en-US"/>
    </w:rPr>
  </w:style>
  <w:style w:type="paragraph" w:styleId="2">
    <w:name w:val="heading 2"/>
    <w:basedOn w:val="a0"/>
    <w:next w:val="a0"/>
    <w:link w:val="20"/>
    <w:qFormat/>
    <w:rsid w:val="00D93E5A"/>
    <w:pPr>
      <w:keepNext/>
      <w:numPr>
        <w:ilvl w:val="1"/>
        <w:numId w:val="13"/>
      </w:numPr>
      <w:spacing w:before="360" w:after="120"/>
      <w:outlineLvl w:val="1"/>
    </w:pPr>
    <w:rPr>
      <w:rFonts w:ascii="Arial" w:hAnsi="Arial"/>
      <w:b/>
      <w:bCs/>
      <w:snapToGrid/>
      <w:sz w:val="32"/>
      <w:lang w:eastAsia="en-US"/>
    </w:rPr>
  </w:style>
  <w:style w:type="paragraph" w:styleId="3">
    <w:name w:val="heading 3"/>
    <w:basedOn w:val="a0"/>
    <w:next w:val="a0"/>
    <w:link w:val="30"/>
    <w:qFormat/>
    <w:rsid w:val="00D93E5A"/>
    <w:pPr>
      <w:keepNext/>
      <w:numPr>
        <w:ilvl w:val="2"/>
        <w:numId w:val="13"/>
      </w:numPr>
      <w:spacing w:before="360" w:after="120"/>
      <w:outlineLvl w:val="2"/>
    </w:pPr>
    <w:rPr>
      <w:rFonts w:ascii="Arial" w:hAnsi="Arial"/>
      <w:b/>
      <w:bCs/>
      <w:snapToGrid/>
      <w:sz w:val="28"/>
      <w:lang w:eastAsia="en-US"/>
    </w:rPr>
  </w:style>
  <w:style w:type="paragraph" w:styleId="4">
    <w:name w:val="heading 4"/>
    <w:basedOn w:val="a0"/>
    <w:next w:val="a0"/>
    <w:link w:val="40"/>
    <w:qFormat/>
    <w:rsid w:val="00D93E5A"/>
    <w:pPr>
      <w:numPr>
        <w:ilvl w:val="3"/>
        <w:numId w:val="7"/>
      </w:numPr>
      <w:spacing w:before="360" w:after="120"/>
      <w:outlineLvl w:val="3"/>
    </w:pPr>
    <w:rPr>
      <w:rFonts w:ascii="Arial" w:hAnsi="Arial"/>
      <w:snapToGrid/>
      <w:sz w:val="28"/>
      <w:lang w:eastAsia="en-US"/>
    </w:rPr>
  </w:style>
  <w:style w:type="paragraph" w:styleId="5">
    <w:name w:val="heading 5"/>
    <w:basedOn w:val="a0"/>
    <w:next w:val="a0"/>
    <w:link w:val="50"/>
    <w:qFormat/>
    <w:rsid w:val="00D93E5A"/>
    <w:pPr>
      <w:spacing w:before="240" w:after="60" w:line="360" w:lineRule="auto"/>
      <w:jc w:val="left"/>
      <w:outlineLvl w:val="4"/>
    </w:pPr>
    <w:rPr>
      <w:rFonts w:ascii="Arial" w:hAnsi="Arial"/>
      <w:snapToGrid/>
      <w:color w:val="auto"/>
      <w:sz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-">
    <w:name w:val="Таблица - наименование"/>
    <w:basedOn w:val="a0"/>
    <w:qFormat/>
    <w:rsid w:val="00D93E5A"/>
    <w:pPr>
      <w:keepNext/>
      <w:spacing w:before="120" w:after="60"/>
      <w:jc w:val="left"/>
    </w:pPr>
    <w:rPr>
      <w:color w:val="auto"/>
      <w:sz w:val="28"/>
      <w:lang w:eastAsia="en-US"/>
    </w:rPr>
  </w:style>
  <w:style w:type="paragraph" w:customStyle="1" w:styleId="12-">
    <w:name w:val="Таблица (12) - Заголовки"/>
    <w:basedOn w:val="a0"/>
    <w:qFormat/>
    <w:rsid w:val="00D93E5A"/>
    <w:pPr>
      <w:spacing w:before="60" w:after="60"/>
      <w:jc w:val="left"/>
    </w:pPr>
    <w:rPr>
      <w:rFonts w:ascii="Arial" w:hAnsi="Arial" w:cs="Arial"/>
      <w:b/>
      <w:sz w:val="28"/>
      <w:lang w:eastAsia="en-US"/>
    </w:rPr>
  </w:style>
  <w:style w:type="paragraph" w:customStyle="1" w:styleId="12-0">
    <w:name w:val="Таблица (12) - осн. текст"/>
    <w:basedOn w:val="a0"/>
    <w:qFormat/>
    <w:rsid w:val="00D93E5A"/>
    <w:pPr>
      <w:spacing w:before="60" w:after="60"/>
      <w:jc w:val="left"/>
    </w:pPr>
    <w:rPr>
      <w:lang w:eastAsia="en-US"/>
    </w:rPr>
  </w:style>
  <w:style w:type="character" w:customStyle="1" w:styleId="a4">
    <w:name w:val="Выделение жирным шрифтом"/>
    <w:qFormat/>
    <w:rsid w:val="00D93E5A"/>
    <w:rPr>
      <w:b/>
    </w:rPr>
  </w:style>
  <w:style w:type="character" w:customStyle="1" w:styleId="a5">
    <w:name w:val="Выделение курсивом"/>
    <w:qFormat/>
    <w:rsid w:val="00D93E5A"/>
    <w:rPr>
      <w:i/>
    </w:rPr>
  </w:style>
  <w:style w:type="character" w:customStyle="1" w:styleId="a6">
    <w:name w:val="Выделение подчеркиванием"/>
    <w:qFormat/>
    <w:rsid w:val="00D93E5A"/>
    <w:rPr>
      <w:u w:val="single"/>
    </w:rPr>
  </w:style>
  <w:style w:type="paragraph" w:customStyle="1" w:styleId="11">
    <w:name w:val="я_Технический стиль 1"/>
    <w:basedOn w:val="a0"/>
    <w:link w:val="12"/>
    <w:qFormat/>
    <w:rsid w:val="00D93E5A"/>
    <w:pPr>
      <w:pBdr>
        <w:bottom w:val="single" w:sz="12" w:space="1" w:color="auto"/>
      </w:pBdr>
      <w:suppressAutoHyphens/>
      <w:ind w:left="142" w:right="140"/>
      <w:jc w:val="center"/>
    </w:pPr>
    <w:rPr>
      <w:rFonts w:ascii="Arial" w:hAnsi="Arial" w:cs="Arial"/>
      <w:b/>
      <w:bCs/>
      <w:snapToGrid/>
      <w:szCs w:val="24"/>
      <w:lang w:eastAsia="en-US"/>
    </w:rPr>
  </w:style>
  <w:style w:type="character" w:customStyle="1" w:styleId="12">
    <w:name w:val="я_Технический стиль 1 Знак"/>
    <w:link w:val="11"/>
    <w:rsid w:val="00D93E5A"/>
    <w:rPr>
      <w:rFonts w:ascii="Arial" w:hAnsi="Arial" w:cs="Arial"/>
      <w:b/>
      <w:bCs/>
      <w:color w:val="000000"/>
      <w:sz w:val="24"/>
      <w:szCs w:val="24"/>
    </w:rPr>
  </w:style>
  <w:style w:type="paragraph" w:customStyle="1" w:styleId="21">
    <w:name w:val="я_Технический стиль 2"/>
    <w:basedOn w:val="a0"/>
    <w:link w:val="22"/>
    <w:qFormat/>
    <w:rsid w:val="00D93E5A"/>
    <w:pPr>
      <w:suppressAutoHyphens/>
      <w:jc w:val="left"/>
    </w:pPr>
    <w:rPr>
      <w:rFonts w:cs="Arial"/>
      <w:snapToGrid/>
      <w:color w:val="auto"/>
      <w:u w:val="single"/>
      <w:lang w:eastAsia="en-US"/>
    </w:rPr>
  </w:style>
  <w:style w:type="character" w:customStyle="1" w:styleId="22">
    <w:name w:val="я_Технический стиль 2 Знак"/>
    <w:link w:val="21"/>
    <w:rsid w:val="00D93E5A"/>
    <w:rPr>
      <w:rFonts w:cs="Arial"/>
      <w:sz w:val="24"/>
      <w:u w:val="single"/>
    </w:rPr>
  </w:style>
  <w:style w:type="paragraph" w:customStyle="1" w:styleId="31">
    <w:name w:val="я_Технический стиль 3"/>
    <w:basedOn w:val="a0"/>
    <w:link w:val="32"/>
    <w:qFormat/>
    <w:rsid w:val="00D93E5A"/>
    <w:pPr>
      <w:jc w:val="left"/>
    </w:pPr>
    <w:rPr>
      <w:rFonts w:ascii="Arial" w:hAnsi="Arial" w:cs="Arial"/>
      <w:b/>
      <w:snapToGrid/>
      <w:color w:val="auto"/>
      <w:lang w:eastAsia="en-US"/>
    </w:rPr>
  </w:style>
  <w:style w:type="character" w:customStyle="1" w:styleId="32">
    <w:name w:val="я_Технический стиль 3 Знак"/>
    <w:link w:val="31"/>
    <w:rsid w:val="00D93E5A"/>
    <w:rPr>
      <w:rFonts w:ascii="Arial" w:hAnsi="Arial" w:cs="Arial"/>
      <w:b/>
      <w:sz w:val="24"/>
    </w:rPr>
  </w:style>
  <w:style w:type="character" w:customStyle="1" w:styleId="a7">
    <w:name w:val="Выделение цветом (желтый)"/>
    <w:qFormat/>
    <w:rsid w:val="00D93E5A"/>
    <w:rPr>
      <w:bdr w:val="none" w:sz="0" w:space="0" w:color="auto"/>
      <w:shd w:val="clear" w:color="auto" w:fill="FFFF00"/>
    </w:rPr>
  </w:style>
  <w:style w:type="character" w:customStyle="1" w:styleId="10">
    <w:name w:val="Заголовок 1 Знак"/>
    <w:link w:val="1"/>
    <w:rsid w:val="00D93E5A"/>
    <w:rPr>
      <w:rFonts w:ascii="Arial" w:hAnsi="Arial"/>
      <w:b/>
      <w:bCs/>
      <w:color w:val="000000"/>
      <w:sz w:val="36"/>
    </w:rPr>
  </w:style>
  <w:style w:type="character" w:customStyle="1" w:styleId="20">
    <w:name w:val="Заголовок 2 Знак"/>
    <w:link w:val="2"/>
    <w:rsid w:val="00D93E5A"/>
    <w:rPr>
      <w:rFonts w:ascii="Arial" w:hAnsi="Arial"/>
      <w:b/>
      <w:bCs/>
      <w:color w:val="000000"/>
      <w:sz w:val="32"/>
    </w:rPr>
  </w:style>
  <w:style w:type="character" w:customStyle="1" w:styleId="30">
    <w:name w:val="Заголовок 3 Знак"/>
    <w:link w:val="3"/>
    <w:rsid w:val="00D93E5A"/>
    <w:rPr>
      <w:rFonts w:ascii="Arial" w:hAnsi="Arial"/>
      <w:b/>
      <w:bCs/>
      <w:color w:val="000000"/>
      <w:sz w:val="28"/>
    </w:rPr>
  </w:style>
  <w:style w:type="character" w:customStyle="1" w:styleId="40">
    <w:name w:val="Заголовок 4 Знак"/>
    <w:link w:val="4"/>
    <w:rsid w:val="00D93E5A"/>
    <w:rPr>
      <w:rFonts w:ascii="Arial" w:hAnsi="Arial"/>
      <w:color w:val="000000"/>
      <w:sz w:val="28"/>
    </w:rPr>
  </w:style>
  <w:style w:type="character" w:customStyle="1" w:styleId="50">
    <w:name w:val="Заголовок 5 Знак"/>
    <w:basedOn w:val="a1"/>
    <w:link w:val="5"/>
    <w:rsid w:val="0033758D"/>
    <w:rPr>
      <w:rFonts w:ascii="Arial" w:hAnsi="Arial"/>
      <w:sz w:val="22"/>
    </w:rPr>
  </w:style>
  <w:style w:type="paragraph" w:customStyle="1" w:styleId="a">
    <w:name w:val="Список нумерованный (цифра с точкой)"/>
    <w:basedOn w:val="a0"/>
    <w:qFormat/>
    <w:rsid w:val="00D93E5A"/>
    <w:pPr>
      <w:numPr>
        <w:numId w:val="14"/>
      </w:numPr>
      <w:spacing w:before="120" w:after="120"/>
    </w:pPr>
    <w:rPr>
      <w:sz w:val="28"/>
      <w:szCs w:val="28"/>
      <w:lang w:eastAsia="en-US"/>
    </w:rPr>
  </w:style>
  <w:style w:type="character" w:customStyle="1" w:styleId="a8">
    <w:name w:val="Выделение надстрочными символами"/>
    <w:qFormat/>
    <w:rsid w:val="00D93E5A"/>
    <w:rPr>
      <w:vertAlign w:val="superscript"/>
    </w:rPr>
  </w:style>
  <w:style w:type="paragraph" w:customStyle="1" w:styleId="a9">
    <w:name w:val="я_технический стиль &quot;перечень&quot;"/>
    <w:basedOn w:val="a0"/>
    <w:qFormat/>
    <w:rsid w:val="00D93E5A"/>
    <w:pPr>
      <w:tabs>
        <w:tab w:val="right" w:leader="dot" w:pos="9627"/>
      </w:tabs>
      <w:spacing w:before="60" w:after="60"/>
    </w:pPr>
    <w:rPr>
      <w:noProof/>
      <w:sz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a0">
    <w:name w:val="Normal"/>
    <w:rsid w:val="0033758D"/>
    <w:pPr>
      <w:jc w:val="both"/>
    </w:pPr>
    <w:rPr>
      <w:snapToGrid w:val="0"/>
      <w:color w:val="000000"/>
      <w:sz w:val="24"/>
      <w:lang w:eastAsia="ru-RU"/>
    </w:rPr>
  </w:style>
  <w:style w:type="paragraph" w:styleId="1">
    <w:name w:val="heading 1"/>
    <w:basedOn w:val="a0"/>
    <w:next w:val="a0"/>
    <w:link w:val="10"/>
    <w:qFormat/>
    <w:rsid w:val="00D93E5A"/>
    <w:pPr>
      <w:keepNext/>
      <w:numPr>
        <w:numId w:val="13"/>
      </w:numPr>
      <w:suppressAutoHyphens/>
      <w:spacing w:before="360" w:after="120"/>
      <w:jc w:val="left"/>
      <w:outlineLvl w:val="0"/>
    </w:pPr>
    <w:rPr>
      <w:rFonts w:ascii="Arial" w:hAnsi="Arial"/>
      <w:b/>
      <w:bCs/>
      <w:snapToGrid/>
      <w:sz w:val="36"/>
      <w:lang w:eastAsia="en-US"/>
    </w:rPr>
  </w:style>
  <w:style w:type="paragraph" w:styleId="2">
    <w:name w:val="heading 2"/>
    <w:basedOn w:val="a0"/>
    <w:next w:val="a0"/>
    <w:link w:val="20"/>
    <w:qFormat/>
    <w:rsid w:val="00D93E5A"/>
    <w:pPr>
      <w:keepNext/>
      <w:numPr>
        <w:ilvl w:val="1"/>
        <w:numId w:val="13"/>
      </w:numPr>
      <w:spacing w:before="360" w:after="120"/>
      <w:outlineLvl w:val="1"/>
    </w:pPr>
    <w:rPr>
      <w:rFonts w:ascii="Arial" w:hAnsi="Arial"/>
      <w:b/>
      <w:bCs/>
      <w:snapToGrid/>
      <w:sz w:val="32"/>
      <w:lang w:eastAsia="en-US"/>
    </w:rPr>
  </w:style>
  <w:style w:type="paragraph" w:styleId="3">
    <w:name w:val="heading 3"/>
    <w:basedOn w:val="a0"/>
    <w:next w:val="a0"/>
    <w:link w:val="30"/>
    <w:qFormat/>
    <w:rsid w:val="00D93E5A"/>
    <w:pPr>
      <w:keepNext/>
      <w:numPr>
        <w:ilvl w:val="2"/>
        <w:numId w:val="13"/>
      </w:numPr>
      <w:spacing w:before="360" w:after="120"/>
      <w:outlineLvl w:val="2"/>
    </w:pPr>
    <w:rPr>
      <w:rFonts w:ascii="Arial" w:hAnsi="Arial"/>
      <w:b/>
      <w:bCs/>
      <w:snapToGrid/>
      <w:sz w:val="28"/>
      <w:lang w:eastAsia="en-US"/>
    </w:rPr>
  </w:style>
  <w:style w:type="paragraph" w:styleId="4">
    <w:name w:val="heading 4"/>
    <w:basedOn w:val="a0"/>
    <w:next w:val="a0"/>
    <w:link w:val="40"/>
    <w:qFormat/>
    <w:rsid w:val="00D93E5A"/>
    <w:pPr>
      <w:numPr>
        <w:ilvl w:val="3"/>
        <w:numId w:val="7"/>
      </w:numPr>
      <w:spacing w:before="360" w:after="120"/>
      <w:outlineLvl w:val="3"/>
    </w:pPr>
    <w:rPr>
      <w:rFonts w:ascii="Arial" w:hAnsi="Arial"/>
      <w:snapToGrid/>
      <w:sz w:val="28"/>
      <w:lang w:eastAsia="en-US"/>
    </w:rPr>
  </w:style>
  <w:style w:type="paragraph" w:styleId="5">
    <w:name w:val="heading 5"/>
    <w:basedOn w:val="a0"/>
    <w:next w:val="a0"/>
    <w:link w:val="50"/>
    <w:qFormat/>
    <w:rsid w:val="00D93E5A"/>
    <w:pPr>
      <w:spacing w:before="240" w:after="60" w:line="360" w:lineRule="auto"/>
      <w:jc w:val="left"/>
      <w:outlineLvl w:val="4"/>
    </w:pPr>
    <w:rPr>
      <w:rFonts w:ascii="Arial" w:hAnsi="Arial"/>
      <w:snapToGrid/>
      <w:color w:val="auto"/>
      <w:sz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-">
    <w:name w:val="Таблица - наименование"/>
    <w:basedOn w:val="a0"/>
    <w:qFormat/>
    <w:rsid w:val="00D93E5A"/>
    <w:pPr>
      <w:keepNext/>
      <w:spacing w:before="120" w:after="60"/>
      <w:jc w:val="left"/>
    </w:pPr>
    <w:rPr>
      <w:color w:val="auto"/>
      <w:sz w:val="28"/>
      <w:lang w:eastAsia="en-US"/>
    </w:rPr>
  </w:style>
  <w:style w:type="paragraph" w:customStyle="1" w:styleId="12-">
    <w:name w:val="Таблица (12) - Заголовки"/>
    <w:basedOn w:val="a0"/>
    <w:qFormat/>
    <w:rsid w:val="00D93E5A"/>
    <w:pPr>
      <w:spacing w:before="60" w:after="60"/>
      <w:jc w:val="left"/>
    </w:pPr>
    <w:rPr>
      <w:rFonts w:ascii="Arial" w:hAnsi="Arial" w:cs="Arial"/>
      <w:b/>
      <w:sz w:val="28"/>
      <w:lang w:eastAsia="en-US"/>
    </w:rPr>
  </w:style>
  <w:style w:type="paragraph" w:customStyle="1" w:styleId="12-0">
    <w:name w:val="Таблица (12) - осн. текст"/>
    <w:basedOn w:val="a0"/>
    <w:qFormat/>
    <w:rsid w:val="00D93E5A"/>
    <w:pPr>
      <w:spacing w:before="60" w:after="60"/>
      <w:jc w:val="left"/>
    </w:pPr>
    <w:rPr>
      <w:lang w:eastAsia="en-US"/>
    </w:rPr>
  </w:style>
  <w:style w:type="character" w:customStyle="1" w:styleId="a4">
    <w:name w:val="Выделение жирным шрифтом"/>
    <w:qFormat/>
    <w:rsid w:val="00D93E5A"/>
    <w:rPr>
      <w:b/>
    </w:rPr>
  </w:style>
  <w:style w:type="character" w:customStyle="1" w:styleId="a5">
    <w:name w:val="Выделение курсивом"/>
    <w:qFormat/>
    <w:rsid w:val="00D93E5A"/>
    <w:rPr>
      <w:i/>
    </w:rPr>
  </w:style>
  <w:style w:type="character" w:customStyle="1" w:styleId="a6">
    <w:name w:val="Выделение подчеркиванием"/>
    <w:qFormat/>
    <w:rsid w:val="00D93E5A"/>
    <w:rPr>
      <w:u w:val="single"/>
    </w:rPr>
  </w:style>
  <w:style w:type="paragraph" w:customStyle="1" w:styleId="11">
    <w:name w:val="я_Технический стиль 1"/>
    <w:basedOn w:val="a0"/>
    <w:link w:val="12"/>
    <w:qFormat/>
    <w:rsid w:val="00D93E5A"/>
    <w:pPr>
      <w:pBdr>
        <w:bottom w:val="single" w:sz="12" w:space="1" w:color="auto"/>
      </w:pBdr>
      <w:suppressAutoHyphens/>
      <w:ind w:left="142" w:right="140"/>
      <w:jc w:val="center"/>
    </w:pPr>
    <w:rPr>
      <w:rFonts w:ascii="Arial" w:hAnsi="Arial" w:cs="Arial"/>
      <w:b/>
      <w:bCs/>
      <w:snapToGrid/>
      <w:szCs w:val="24"/>
      <w:lang w:eastAsia="en-US"/>
    </w:rPr>
  </w:style>
  <w:style w:type="character" w:customStyle="1" w:styleId="12">
    <w:name w:val="я_Технический стиль 1 Знак"/>
    <w:link w:val="11"/>
    <w:rsid w:val="00D93E5A"/>
    <w:rPr>
      <w:rFonts w:ascii="Arial" w:hAnsi="Arial" w:cs="Arial"/>
      <w:b/>
      <w:bCs/>
      <w:color w:val="000000"/>
      <w:sz w:val="24"/>
      <w:szCs w:val="24"/>
    </w:rPr>
  </w:style>
  <w:style w:type="paragraph" w:customStyle="1" w:styleId="21">
    <w:name w:val="я_Технический стиль 2"/>
    <w:basedOn w:val="a0"/>
    <w:link w:val="22"/>
    <w:qFormat/>
    <w:rsid w:val="00D93E5A"/>
    <w:pPr>
      <w:suppressAutoHyphens/>
      <w:jc w:val="left"/>
    </w:pPr>
    <w:rPr>
      <w:rFonts w:cs="Arial"/>
      <w:snapToGrid/>
      <w:color w:val="auto"/>
      <w:u w:val="single"/>
      <w:lang w:eastAsia="en-US"/>
    </w:rPr>
  </w:style>
  <w:style w:type="character" w:customStyle="1" w:styleId="22">
    <w:name w:val="я_Технический стиль 2 Знак"/>
    <w:link w:val="21"/>
    <w:rsid w:val="00D93E5A"/>
    <w:rPr>
      <w:rFonts w:cs="Arial"/>
      <w:sz w:val="24"/>
      <w:u w:val="single"/>
    </w:rPr>
  </w:style>
  <w:style w:type="paragraph" w:customStyle="1" w:styleId="31">
    <w:name w:val="я_Технический стиль 3"/>
    <w:basedOn w:val="a0"/>
    <w:link w:val="32"/>
    <w:qFormat/>
    <w:rsid w:val="00D93E5A"/>
    <w:pPr>
      <w:jc w:val="left"/>
    </w:pPr>
    <w:rPr>
      <w:rFonts w:ascii="Arial" w:hAnsi="Arial" w:cs="Arial"/>
      <w:b/>
      <w:snapToGrid/>
      <w:color w:val="auto"/>
      <w:lang w:eastAsia="en-US"/>
    </w:rPr>
  </w:style>
  <w:style w:type="character" w:customStyle="1" w:styleId="32">
    <w:name w:val="я_Технический стиль 3 Знак"/>
    <w:link w:val="31"/>
    <w:rsid w:val="00D93E5A"/>
    <w:rPr>
      <w:rFonts w:ascii="Arial" w:hAnsi="Arial" w:cs="Arial"/>
      <w:b/>
      <w:sz w:val="24"/>
    </w:rPr>
  </w:style>
  <w:style w:type="character" w:customStyle="1" w:styleId="a7">
    <w:name w:val="Выделение цветом (желтый)"/>
    <w:qFormat/>
    <w:rsid w:val="00D93E5A"/>
    <w:rPr>
      <w:bdr w:val="none" w:sz="0" w:space="0" w:color="auto"/>
      <w:shd w:val="clear" w:color="auto" w:fill="FFFF00"/>
    </w:rPr>
  </w:style>
  <w:style w:type="character" w:customStyle="1" w:styleId="10">
    <w:name w:val="Заголовок 1 Знак"/>
    <w:link w:val="1"/>
    <w:rsid w:val="00D93E5A"/>
    <w:rPr>
      <w:rFonts w:ascii="Arial" w:hAnsi="Arial"/>
      <w:b/>
      <w:bCs/>
      <w:color w:val="000000"/>
      <w:sz w:val="36"/>
    </w:rPr>
  </w:style>
  <w:style w:type="character" w:customStyle="1" w:styleId="20">
    <w:name w:val="Заголовок 2 Знак"/>
    <w:link w:val="2"/>
    <w:rsid w:val="00D93E5A"/>
    <w:rPr>
      <w:rFonts w:ascii="Arial" w:hAnsi="Arial"/>
      <w:b/>
      <w:bCs/>
      <w:color w:val="000000"/>
      <w:sz w:val="32"/>
    </w:rPr>
  </w:style>
  <w:style w:type="character" w:customStyle="1" w:styleId="30">
    <w:name w:val="Заголовок 3 Знак"/>
    <w:link w:val="3"/>
    <w:rsid w:val="00D93E5A"/>
    <w:rPr>
      <w:rFonts w:ascii="Arial" w:hAnsi="Arial"/>
      <w:b/>
      <w:bCs/>
      <w:color w:val="000000"/>
      <w:sz w:val="28"/>
    </w:rPr>
  </w:style>
  <w:style w:type="character" w:customStyle="1" w:styleId="40">
    <w:name w:val="Заголовок 4 Знак"/>
    <w:link w:val="4"/>
    <w:rsid w:val="00D93E5A"/>
    <w:rPr>
      <w:rFonts w:ascii="Arial" w:hAnsi="Arial"/>
      <w:color w:val="000000"/>
      <w:sz w:val="28"/>
    </w:rPr>
  </w:style>
  <w:style w:type="character" w:customStyle="1" w:styleId="50">
    <w:name w:val="Заголовок 5 Знак"/>
    <w:basedOn w:val="a1"/>
    <w:link w:val="5"/>
    <w:rsid w:val="0033758D"/>
    <w:rPr>
      <w:rFonts w:ascii="Arial" w:hAnsi="Arial"/>
      <w:sz w:val="22"/>
    </w:rPr>
  </w:style>
  <w:style w:type="paragraph" w:customStyle="1" w:styleId="a">
    <w:name w:val="Список нумерованный (цифра с точкой)"/>
    <w:basedOn w:val="a0"/>
    <w:qFormat/>
    <w:rsid w:val="00D93E5A"/>
    <w:pPr>
      <w:numPr>
        <w:numId w:val="14"/>
      </w:numPr>
      <w:spacing w:before="120" w:after="120"/>
    </w:pPr>
    <w:rPr>
      <w:sz w:val="28"/>
      <w:szCs w:val="28"/>
      <w:lang w:eastAsia="en-US"/>
    </w:rPr>
  </w:style>
  <w:style w:type="character" w:customStyle="1" w:styleId="a8">
    <w:name w:val="Выделение надстрочными символами"/>
    <w:qFormat/>
    <w:rsid w:val="00D93E5A"/>
    <w:rPr>
      <w:vertAlign w:val="superscript"/>
    </w:rPr>
  </w:style>
  <w:style w:type="paragraph" w:customStyle="1" w:styleId="a9">
    <w:name w:val="я_технический стиль &quot;перечень&quot;"/>
    <w:basedOn w:val="a0"/>
    <w:qFormat/>
    <w:rsid w:val="00D93E5A"/>
    <w:pPr>
      <w:tabs>
        <w:tab w:val="right" w:leader="dot" w:pos="9627"/>
      </w:tabs>
      <w:spacing w:before="60" w:after="60"/>
    </w:pPr>
    <w:rPr>
      <w:noProof/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48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8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0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6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59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8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46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5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16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Твердый переплет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Лотов Михаил Валерьевич</dc:creator>
  <cp:lastModifiedBy>Лотов Михаил Валерьевич</cp:lastModifiedBy>
  <cp:revision>2</cp:revision>
  <dcterms:created xsi:type="dcterms:W3CDTF">2018-02-05T12:51:00Z</dcterms:created>
  <dcterms:modified xsi:type="dcterms:W3CDTF">2018-02-05T12:51:00Z</dcterms:modified>
</cp:coreProperties>
</file>