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820" w:rsidRDefault="00B3582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35820" w:rsidRDefault="00B35820">
      <w:pPr>
        <w:pStyle w:val="ConsPlusNormal"/>
        <w:jc w:val="both"/>
        <w:outlineLvl w:val="0"/>
      </w:pPr>
    </w:p>
    <w:p w:rsidR="00B35820" w:rsidRDefault="00B3582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35820" w:rsidRDefault="00B35820">
      <w:pPr>
        <w:pStyle w:val="ConsPlusTitle"/>
        <w:jc w:val="center"/>
      </w:pPr>
    </w:p>
    <w:p w:rsidR="00B35820" w:rsidRDefault="00B35820">
      <w:pPr>
        <w:pStyle w:val="ConsPlusTitle"/>
        <w:jc w:val="center"/>
      </w:pPr>
      <w:r>
        <w:t>ПОСТАНОВЛЕНИЕ</w:t>
      </w:r>
    </w:p>
    <w:p w:rsidR="00B35820" w:rsidRDefault="00B35820">
      <w:pPr>
        <w:pStyle w:val="ConsPlusTitle"/>
        <w:jc w:val="center"/>
      </w:pPr>
      <w:r>
        <w:t>от 23 июля 2020 г. N 1095</w:t>
      </w:r>
    </w:p>
    <w:p w:rsidR="00B35820" w:rsidRDefault="00B35820">
      <w:pPr>
        <w:pStyle w:val="ConsPlusTitle"/>
        <w:jc w:val="center"/>
      </w:pPr>
    </w:p>
    <w:p w:rsidR="00B35820" w:rsidRDefault="00B35820">
      <w:pPr>
        <w:pStyle w:val="ConsPlusTitle"/>
        <w:jc w:val="center"/>
      </w:pPr>
      <w:r>
        <w:t>ОБ УТВЕРЖДЕНИИ ФЕДЕРАЛЬНОГО СТАНДАРТА</w:t>
      </w:r>
    </w:p>
    <w:p w:rsidR="00B35820" w:rsidRDefault="00B35820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B35820" w:rsidRDefault="00B35820">
      <w:pPr>
        <w:pStyle w:val="ConsPlusTitle"/>
        <w:jc w:val="center"/>
      </w:pPr>
      <w:r>
        <w:t>КОНТРОЛЯ "РЕАЛИЗАЦИЯ РЕЗУЛЬТАТОВ ПРОВЕРОК,</w:t>
      </w:r>
    </w:p>
    <w:p w:rsidR="00B35820" w:rsidRDefault="00B35820">
      <w:pPr>
        <w:pStyle w:val="ConsPlusTitle"/>
        <w:jc w:val="center"/>
      </w:pPr>
      <w:r>
        <w:t>РЕВИЗИЙ И ОБСЛЕДОВАНИЙ"</w:t>
      </w: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3 статьи 269.2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 w:history="1">
        <w:r>
          <w:rPr>
            <w:color w:val="0000FF"/>
          </w:rPr>
          <w:t>стандарт</w:t>
        </w:r>
      </w:hyperlink>
      <w:r>
        <w:t xml:space="preserve"> внутреннего государственного (муниципального) финансового контроля "Реализация результатов проверок, ревизий и обследований" (далее - стандарт).</w:t>
      </w:r>
    </w:p>
    <w:p w:rsidR="00B35820" w:rsidRDefault="00B35820">
      <w:pPr>
        <w:pStyle w:val="ConsPlusNormal"/>
        <w:spacing w:before="220"/>
        <w:ind w:firstLine="540"/>
        <w:jc w:val="both"/>
      </w:pPr>
      <w:bookmarkStart w:id="0" w:name="P13"/>
      <w:bookmarkEnd w:id="0"/>
      <w:r>
        <w:t xml:space="preserve">2. Настоящее постановление вступает в силу со дня его официального опубликования и применяется в отношении проверок, ревизий и обследований, начатых после вступления в силу настоящего постановления, за исключением </w:t>
      </w:r>
      <w:hyperlink w:anchor="P91" w:history="1">
        <w:r>
          <w:rPr>
            <w:color w:val="0000FF"/>
          </w:rPr>
          <w:t>пункта 18</w:t>
        </w:r>
      </w:hyperlink>
      <w:r>
        <w:t xml:space="preserve"> стандарта, который вступает в силу с 1 января 2021 г.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3. Установить, что до вступления в силу </w:t>
      </w:r>
      <w:hyperlink w:anchor="P91" w:history="1">
        <w:r>
          <w:rPr>
            <w:color w:val="0000FF"/>
          </w:rPr>
          <w:t>пункта 18</w:t>
        </w:r>
      </w:hyperlink>
      <w:r>
        <w:t xml:space="preserve"> стандарта органы внутреннего государственного (муниципального) финансового контроля вправе применять формы представлений, предписаний и уведомлений о применении бюджетных мер принуждения, установленные до вступления в силу указанного </w:t>
      </w:r>
      <w:hyperlink w:anchor="P91" w:history="1">
        <w:r>
          <w:rPr>
            <w:color w:val="0000FF"/>
          </w:rPr>
          <w:t>пункта</w:t>
        </w:r>
      </w:hyperlink>
      <w:r>
        <w:t xml:space="preserve"> стандарта.</w:t>
      </w: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Normal"/>
        <w:jc w:val="right"/>
      </w:pPr>
      <w:r>
        <w:t>Председатель Правительства</w:t>
      </w:r>
    </w:p>
    <w:p w:rsidR="00B35820" w:rsidRDefault="00B35820">
      <w:pPr>
        <w:pStyle w:val="ConsPlusNormal"/>
        <w:jc w:val="right"/>
      </w:pPr>
      <w:r>
        <w:t>Российской Федерации</w:t>
      </w:r>
    </w:p>
    <w:p w:rsidR="00B35820" w:rsidRDefault="00B35820">
      <w:pPr>
        <w:pStyle w:val="ConsPlusNormal"/>
        <w:jc w:val="right"/>
      </w:pPr>
      <w:r>
        <w:t>М.МИШУСТИН</w:t>
      </w: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Normal"/>
        <w:jc w:val="right"/>
        <w:outlineLvl w:val="0"/>
      </w:pPr>
      <w:r>
        <w:t>Утвержден</w:t>
      </w:r>
    </w:p>
    <w:p w:rsidR="00B35820" w:rsidRDefault="00B35820">
      <w:pPr>
        <w:pStyle w:val="ConsPlusNormal"/>
        <w:jc w:val="right"/>
      </w:pPr>
      <w:r>
        <w:t>постановлением Правительства</w:t>
      </w:r>
    </w:p>
    <w:p w:rsidR="00B35820" w:rsidRDefault="00B35820">
      <w:pPr>
        <w:pStyle w:val="ConsPlusNormal"/>
        <w:jc w:val="right"/>
      </w:pPr>
      <w:r>
        <w:t>Российской Федерации</w:t>
      </w:r>
    </w:p>
    <w:p w:rsidR="00B35820" w:rsidRDefault="00B35820">
      <w:pPr>
        <w:pStyle w:val="ConsPlusNormal"/>
        <w:jc w:val="right"/>
      </w:pPr>
      <w:r>
        <w:t>от 23 июля 2020 г. N 1095</w:t>
      </w: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Title"/>
        <w:jc w:val="center"/>
      </w:pPr>
      <w:bookmarkStart w:id="1" w:name="P29"/>
      <w:bookmarkEnd w:id="1"/>
      <w:r>
        <w:t>ФЕДЕРАЛЬНЫЙ СТАНДАРТ</w:t>
      </w:r>
    </w:p>
    <w:p w:rsidR="00B35820" w:rsidRDefault="00B35820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B35820" w:rsidRDefault="00B35820">
      <w:pPr>
        <w:pStyle w:val="ConsPlusTitle"/>
        <w:jc w:val="center"/>
      </w:pPr>
      <w:r>
        <w:t>КОНТРОЛЯ "РЕАЛИЗАЦИЯ РЕЗУЛЬТАТОВ ПРОВЕРОК,</w:t>
      </w:r>
    </w:p>
    <w:p w:rsidR="00B35820" w:rsidRDefault="00B35820">
      <w:pPr>
        <w:pStyle w:val="ConsPlusTitle"/>
        <w:jc w:val="center"/>
      </w:pPr>
      <w:r>
        <w:t>РЕВИЗИЙ И ОБСЛЕДОВАНИЙ"</w:t>
      </w: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Title"/>
        <w:jc w:val="center"/>
        <w:outlineLvl w:val="1"/>
      </w:pPr>
      <w:r>
        <w:t>I. Общие положения</w:t>
      </w: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Normal"/>
        <w:ind w:firstLine="540"/>
        <w:jc w:val="both"/>
      </w:pPr>
      <w:r>
        <w:t>1. Федеральный стандарт внутреннего государственного (муниципального) финансового контроля "Реализация результатов проверок, ревизий и обследований" (далее - стандарт) разработан в целях установления: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правил реализации результатов проведения проверок, ревизий и обследований (далее - </w:t>
      </w:r>
      <w:r>
        <w:lastRenderedPageBreak/>
        <w:t>контрольное мероприятие), в том числе предусматривающих требования к содержанию представления, предписания, уведомления о применении бюджетных мер принуждения органа внутреннего государственного (муниципального) финансового контроля (далее - орган контроля);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порядка продления срока исполнения представления (предписания) органа контроля.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Документы, оформляемые в целях реализации результатов контрольного мероприятия, предусматривающие требования к объекту внутреннего государственного (муниципального) финансового контроля (далее - объект контроля), вручаются руководителю (уполномоченному представителю) объекта контроля либо направляются объекту контроля заказным почтовым отправлением с уведомлением о вручении или иным способом, подтверждающим их получение объектом контроля, в том числе с применением факсимильной связи и (или) автоматизированных информационных систем.</w:t>
      </w:r>
      <w:proofErr w:type="gramEnd"/>
    </w:p>
    <w:p w:rsidR="00B35820" w:rsidRDefault="00B35820">
      <w:pPr>
        <w:pStyle w:val="ConsPlusNormal"/>
        <w:spacing w:before="220"/>
        <w:ind w:firstLine="540"/>
        <w:jc w:val="both"/>
      </w:pPr>
      <w:r>
        <w:t>Документы, оформляемые в целях реализации результатов контрольного мероприятия, и информация, подготавливаемая в целях реализации результатов контрольного мероприятия, направляются иным органам и организациям, указанным в стандарте, в порядке, предусмотренном законодательством Российской Федерации.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3. Производство по делам об административных правонарушениях, направленных на реализацию результатов контрольных мероприятий, осуществляется в порядке, установленном законодательством Российской Федерации об административных правонарушениях.</w:t>
      </w: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Title"/>
        <w:jc w:val="center"/>
        <w:outlineLvl w:val="1"/>
      </w:pPr>
      <w:r>
        <w:t>II. Реализация результатов контрольного мероприятия</w:t>
      </w: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Normal"/>
        <w:ind w:firstLine="540"/>
        <w:jc w:val="both"/>
      </w:pPr>
      <w:r>
        <w:t>4. Акт проверки (ревизии), возражения объекта контроля на акт проверки (ревизии) (при их наличии), а также иные материалы проверки (ревизии) подлежат рассмотрению руководителем (заместителем руководителя) органа контроля, по результатам которого принимается одно или несколько решений: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о наличии или об отсутствии оснований для направления представления и (или) предписания объекту контроля;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о наличии или об отсутствии оснований для направления информации в правоохранительные органы, органы прокуратуры и иные государственные (муниципальные) органы;</w:t>
      </w:r>
    </w:p>
    <w:p w:rsidR="00B35820" w:rsidRDefault="00B35820">
      <w:pPr>
        <w:pStyle w:val="ConsPlusNormal"/>
        <w:spacing w:before="220"/>
        <w:ind w:firstLine="540"/>
        <w:jc w:val="both"/>
      </w:pPr>
      <w:proofErr w:type="gramStart"/>
      <w:r>
        <w:t>о наличии или об отсутствии оснований для назначения внеплановой выездной проверки (ревизии) (далее - повторная проверка (ревизия), в том числе при наличии:</w:t>
      </w:r>
      <w:proofErr w:type="gramEnd"/>
    </w:p>
    <w:p w:rsidR="00B35820" w:rsidRDefault="00B35820">
      <w:pPr>
        <w:pStyle w:val="ConsPlusNormal"/>
        <w:spacing w:before="220"/>
        <w:ind w:firstLine="540"/>
        <w:jc w:val="both"/>
      </w:pPr>
      <w:r>
        <w:t>письменных возражений от объекта контроля и представленных объектом контроля дополнительных документов, относящихся к проверенному периоду, влияющих на выводы по результатам проведения проверки (ревизии);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признаков нарушений, которые не могут в полной мере быть подтверждены в рамках проведенной проверки (ревизии).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5. Заключение, составленное по результатам обследования, возражения объекта контроля на него (при их наличии), а также иные материалы обследования подлежат рассмотрению руководителем (заместителем руководителя) органа контроля, по результатам которого может быть принято решение о проведении внеплановой выездной проверки (ревизии).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6. Акт, заключение и иные материалы контрольного мероприятия подлежат рассмотрению руководителем (заместителем руководителя) органа контроля в срок не более 50 рабочих дней со дня подписания акта, заключения.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lastRenderedPageBreak/>
        <w:t>Результаты повторной проверки (ревизии) рассматриваются в совокупности с результатами проверки (ревизии), по результатам которой принято решение о назначении повторной проверки (ревизии).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По результатам повторной проверки (ревизии) не может быть принято повторное решение о назначении внеплановой выездной проверки (ревизии) в отношении одного и того же объекта контроля, темы проверки и проверяемого периода.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Порядок рассмотрения акта, заключения и иных материалов контрольного мероприятия может быть установлен ведомственным стандартом органа контроля.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На основании решения руководителя (заместителя руководителя) органа контроля, принятого по результатам рассмотрения акта проверки (ревизии), а также иных материалов проверки (ревизии), результатов повторной проверки (ревизии), о наличии оснований для направления представления и (или) предписания объекту контроля и (или) о наличии оснований для направления информации в правоохранительные органы, органы прокуратуры и иные государственные (муниципальные) органы должностные лица органа контроля, ответственные за</w:t>
      </w:r>
      <w:proofErr w:type="gramEnd"/>
      <w:r>
        <w:t xml:space="preserve"> проведение контрольного мероприятия, при отсутствии оснований для назначения повторной проверки (ревизии) обеспечивают подготовку и направление: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представления и (или) предписания объекту контроля;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информации в правоохранительные органы, органы прокуратуры и иные государственные (муниципальные) органы.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8. Орган контроля направляет объекту контроля представление не позднее 10 рабочих дней со дня принятия решения о его направлении.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9. При наличии возможности определения суммы причиненного ущерба публично-правовому образованию орган контроля направляет объекту контроля предписание: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одновременно с представлением в случае невозможности устранения нарушения;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в срок не позднее 5 рабочих дней со дня окончания срока исполнения представления в случае </w:t>
      </w:r>
      <w:proofErr w:type="spellStart"/>
      <w:r>
        <w:t>неустранения</w:t>
      </w:r>
      <w:proofErr w:type="spellEnd"/>
      <w:r>
        <w:t xml:space="preserve"> нарушения либо частичного </w:t>
      </w:r>
      <w:proofErr w:type="spellStart"/>
      <w:r>
        <w:t>неустранения</w:t>
      </w:r>
      <w:proofErr w:type="spellEnd"/>
      <w:r>
        <w:t xml:space="preserve"> нарушения в установленный в представлении срок.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10. Одновременно с направлением объекту контроля представления, предписания орган контроля в порядке, установленном ведомственным стандартом органа контроля, направляет их копии: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главному распорядителю бюджетных сре</w:t>
      </w:r>
      <w:proofErr w:type="gramStart"/>
      <w:r>
        <w:t>дств в сл</w:t>
      </w:r>
      <w:proofErr w:type="gramEnd"/>
      <w:r>
        <w:t>учае, если объект контроля является подведомственным ему получателем бюджетных средств;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органу исполнительной власти (органу местного самоуправления), осуществляющему функции и полномочия учредителя, в случае, если объект контроля является бюджетным или автономным учреждением.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11. В представлении помимо требований, предусмотренных </w:t>
      </w:r>
      <w:hyperlink r:id="rId7" w:history="1">
        <w:r>
          <w:rPr>
            <w:color w:val="0000FF"/>
          </w:rPr>
          <w:t>пунктом 2 статьи 270.2</w:t>
        </w:r>
      </w:hyperlink>
      <w:r>
        <w:t xml:space="preserve"> Бюджетного кодекса Российской Федерации, указываются:</w:t>
      </w:r>
    </w:p>
    <w:p w:rsidR="00B35820" w:rsidRDefault="00B35820">
      <w:pPr>
        <w:pStyle w:val="ConsPlusNormal"/>
        <w:spacing w:before="220"/>
        <w:ind w:firstLine="540"/>
        <w:jc w:val="both"/>
      </w:pPr>
      <w:proofErr w:type="gramStart"/>
      <w:r>
        <w:t>объект контроля, тема проверки (ревизии), проверенный период;</w:t>
      </w:r>
      <w:proofErr w:type="gramEnd"/>
    </w:p>
    <w:p w:rsidR="00B35820" w:rsidRDefault="00B35820">
      <w:pPr>
        <w:pStyle w:val="ConsPlusNormal"/>
        <w:spacing w:before="220"/>
        <w:ind w:firstLine="540"/>
        <w:jc w:val="both"/>
      </w:pPr>
      <w:r>
        <w:t>основания проведения проверки (ревизии), реквизиты акта проверки (ревизии);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информация о выявленных нарушениях - нарушениях, по которым принято решение о направлении представления, в том числе информация о суммах средств, использованных с этими </w:t>
      </w:r>
      <w:r>
        <w:lastRenderedPageBreak/>
        <w:t>нарушениями;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положение о представлении объектом контроля информации о результатах исполнения представления с приложением копий документов, подтверждающих его исполнение, и сроки направления объектом контроля указанных информации и материалов органу контроля.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12. В предписании помимо требований, предусмотренных </w:t>
      </w:r>
      <w:hyperlink r:id="rId8" w:history="1">
        <w:r>
          <w:rPr>
            <w:color w:val="0000FF"/>
          </w:rPr>
          <w:t>пунктом 3 статьи 270.2</w:t>
        </w:r>
      </w:hyperlink>
      <w:r>
        <w:t xml:space="preserve"> Бюджетного кодекса Российской Федерации, указываются: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объект контроля, тема проверки (ревизии), проверенный период;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реквизиты представления, содержащего информацию о нарушении, влекущем причинение ущерба публично-правовому образованию, и информация об этом нарушении;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сумма ущерба, причиненного публично-правовому образованию (без учета объемов средств, перечисленных в возмещение указанного ущерба до направления предписания);</w:t>
      </w:r>
    </w:p>
    <w:p w:rsidR="00B35820" w:rsidRDefault="00B35820">
      <w:pPr>
        <w:pStyle w:val="ConsPlusNormal"/>
        <w:spacing w:before="220"/>
        <w:ind w:firstLine="540"/>
        <w:jc w:val="both"/>
      </w:pPr>
      <w:proofErr w:type="gramStart"/>
      <w:r>
        <w:t xml:space="preserve">требование о принятии объектом контроля мер по возмещению причиненного ущерба публично-правовому образованию, в том числе мер, предусматривающих направление объектом контроля, являющимся государственным (муниципальным) органом или государственным (муниципальным) учреждением, требований о возврате средств к юридическим или физическим лицам, необоснованно их получившим, и (или) виновным должностным лицам и осуществление </w:t>
      </w:r>
      <w:proofErr w:type="spellStart"/>
      <w:r>
        <w:t>претензионно</w:t>
      </w:r>
      <w:proofErr w:type="spellEnd"/>
      <w:r>
        <w:t>-исковой работы;</w:t>
      </w:r>
      <w:proofErr w:type="gramEnd"/>
    </w:p>
    <w:p w:rsidR="00B35820" w:rsidRDefault="00B35820">
      <w:pPr>
        <w:pStyle w:val="ConsPlusNormal"/>
        <w:spacing w:before="220"/>
        <w:ind w:firstLine="540"/>
        <w:jc w:val="both"/>
      </w:pPr>
      <w:r>
        <w:t>положение о представлении объектом контроля информации о результатах исполнения предписания с приложением копий документов, подтверждающих его исполнение, и сроки направления объектом контроля указанных информации и материалов органу контроля.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Контроль за</w:t>
      </w:r>
      <w:proofErr w:type="gramEnd"/>
      <w:r>
        <w:t xml:space="preserve"> исполнением объектами контроля представлений и предписаний осуществляется должностными лицами органа контроля, ответственными за проведение контрольного мероприятия, по результатам которого принято решение о направлении представления (предписания), на основании информации, поступающей от объекта контроля в соответствии с представлением (предписанием).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14. Представление считается исполненным в случае, когда представленные объектом контроля документы, материалы и информация подтверждают устранение нарушения и (или) принятие указанных в представлении мер по устранению причин и условий нарушения, а также в случае наличия указанной информации в государственных (муниципальных) информационных системах.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Указанные в предписании требования о возмещении ущерба, причиненного публично-правовому образованию, считаются исполненными объектом контроля после зачисления в полном объеме средств возмещения ущерба на единый счет соответствующего бюджета бюджетной системы Российской Федерации.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15. 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(его должностного лица), не исполнившего такое представление или предписание.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Неисполнение представления является основанием для принятия решения руководителем (заместителем руководителя) органа контроля о подготовке и направлении в Министерство финансов Российской Федерации, финансовый орган субъекта Российской Федерации (муниципального образования) (далее - финансовый орган), орган управления государственным внебюджетным фондом уведомления о применении бюджетных мер принуждения.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lastRenderedPageBreak/>
        <w:t>В случае неисполнения предписания Федеральное казначейство (территориальный орган Федерального казначейства), государственный (муниципальный) орган, уполномоченный нормативным правовым актом высшего исполнительного органа государственной власти субъекта Российской Федерации, муниципальным правовым актом местной администрации, направляет в суд исковое заявление о возмещении объектом контроля ущерба, причиненного соответственно Российской Федерации, субъекту Российской Федерации, муниципальному образованию.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16. Обжалование представлений и предписаний органа контроля осуществляется: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в досудебном порядке в соответствии с федеральным стандартом внутреннего государственного (муниципального) финансового контроля о правилах досудебного обжалования решений и действий (бездействия) органов контроля и их должностных лиц;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в судебном порядке по правилам, установленным законодательством Российской Федерации.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17. В уведомлении о применении бюджетных мер принуждения помимо информации, предусмотренной </w:t>
      </w:r>
      <w:hyperlink r:id="rId9" w:history="1">
        <w:r>
          <w:rPr>
            <w:color w:val="0000FF"/>
          </w:rPr>
          <w:t>абзацем первым пункта 5 статьи 306.2</w:t>
        </w:r>
      </w:hyperlink>
      <w:r>
        <w:t xml:space="preserve"> Бюджетного кодекса Российской Федерации, указываются объект контроля, тема проверки (ревизии), проверенный период.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Орган контроля направляет финансовому органу, органу управления государственным внебюджетным фондом уведомление о применении бюджетных мер принуждения в сроки и порядке, которые предусмотрены </w:t>
      </w:r>
      <w:hyperlink r:id="rId10" w:history="1">
        <w:r>
          <w:rPr>
            <w:color w:val="0000FF"/>
          </w:rPr>
          <w:t>абзацем третьим статьи 306.2</w:t>
        </w:r>
      </w:hyperlink>
      <w:r>
        <w:t xml:space="preserve"> Бюджетного кодекса Российской Федерации.</w:t>
      </w:r>
    </w:p>
    <w:p w:rsidR="00B35820" w:rsidRDefault="00B35820">
      <w:pPr>
        <w:pStyle w:val="ConsPlusNormal"/>
        <w:spacing w:before="220"/>
        <w:ind w:firstLine="540"/>
        <w:jc w:val="both"/>
      </w:pPr>
      <w:proofErr w:type="gramStart"/>
      <w:r>
        <w:t xml:space="preserve">По основаниям и в порядке, которые предусмотрены </w:t>
      </w:r>
      <w:hyperlink r:id="rId11" w:history="1">
        <w:r>
          <w:rPr>
            <w:color w:val="0000FF"/>
          </w:rPr>
          <w:t>абзацем четвертым пункта 5 статьи 306.2</w:t>
        </w:r>
      </w:hyperlink>
      <w:r>
        <w:t xml:space="preserve"> Бюджетного кодекса Российской Федерации, орган контроля подготавливает уведомление о применении бюджетных мер принуждения, содержащее уточненные сведения, которое также должно содержать помимо уточненной на основании запроса финансового органа, органа управления государственным внебюджетным фондом информации, предусмотренной </w:t>
      </w:r>
      <w:hyperlink r:id="rId12" w:history="1">
        <w:r>
          <w:rPr>
            <w:color w:val="0000FF"/>
          </w:rPr>
          <w:t>абзацем первым пункта 5 статьи 306.2</w:t>
        </w:r>
      </w:hyperlink>
      <w:r>
        <w:t xml:space="preserve"> Бюджетного кодекса Российской Федерации, указание на объект</w:t>
      </w:r>
      <w:proofErr w:type="gramEnd"/>
      <w:r>
        <w:t xml:space="preserve"> контроля, тему проверки (ревизии), проверенный период.</w:t>
      </w:r>
    </w:p>
    <w:p w:rsidR="00B35820" w:rsidRDefault="00B3582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3582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35820" w:rsidRDefault="00B35820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35820" w:rsidRDefault="00B35820">
            <w:pPr>
              <w:pStyle w:val="ConsPlusNormal"/>
              <w:jc w:val="both"/>
            </w:pPr>
            <w:r>
              <w:rPr>
                <w:color w:val="392C69"/>
              </w:rPr>
              <w:t xml:space="preserve">П. 18 </w:t>
            </w:r>
            <w:hyperlink w:anchor="P13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01.01.2021.</w:t>
            </w:r>
          </w:p>
        </w:tc>
      </w:tr>
    </w:tbl>
    <w:p w:rsidR="00B35820" w:rsidRDefault="00B35820">
      <w:pPr>
        <w:pStyle w:val="ConsPlusNormal"/>
        <w:spacing w:before="280"/>
        <w:ind w:firstLine="540"/>
        <w:jc w:val="both"/>
      </w:pPr>
      <w:bookmarkStart w:id="2" w:name="P91"/>
      <w:bookmarkEnd w:id="2"/>
      <w:r>
        <w:t>18. Формы представления, предписания и уведомления о применении бюджетных мер принуждения устанавливаются Министерством финансов Российской Федерации.</w:t>
      </w:r>
    </w:p>
    <w:p w:rsidR="00B35820" w:rsidRDefault="00B35820">
      <w:pPr>
        <w:pStyle w:val="ConsPlusNormal"/>
        <w:ind w:firstLine="540"/>
        <w:jc w:val="both"/>
      </w:pPr>
    </w:p>
    <w:p w:rsidR="00B35820" w:rsidRDefault="00B35820">
      <w:pPr>
        <w:pStyle w:val="ConsPlusTitle"/>
        <w:jc w:val="center"/>
        <w:outlineLvl w:val="1"/>
      </w:pPr>
      <w:r>
        <w:t>III. Продление срока исполнения представления, предписания</w:t>
      </w:r>
    </w:p>
    <w:p w:rsidR="00B35820" w:rsidRDefault="00B35820">
      <w:pPr>
        <w:pStyle w:val="ConsPlusNormal"/>
        <w:jc w:val="center"/>
      </w:pPr>
    </w:p>
    <w:p w:rsidR="00B35820" w:rsidRDefault="00B35820">
      <w:pPr>
        <w:pStyle w:val="ConsPlusNormal"/>
        <w:ind w:firstLine="540"/>
        <w:jc w:val="both"/>
      </w:pPr>
      <w:r>
        <w:t xml:space="preserve">19. </w:t>
      </w:r>
      <w:proofErr w:type="gramStart"/>
      <w:r>
        <w:t>Решение о продлении срока исполнения представления (предписания) принимается однократно на основании поступления в орган контроля обращения объекта контроля, которому направлено представление (предписание) о невозможности исполнения представления (предписания) в установленный срок в связи с возникновением обстоятельств, препятствующих его исполнению, с приложением заверенных в установленном порядке документов (материалов), подтверждающих наступление обстоятельств, в том числе:</w:t>
      </w:r>
      <w:proofErr w:type="gramEnd"/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осуществление объектом контроля </w:t>
      </w:r>
      <w:proofErr w:type="spellStart"/>
      <w:r>
        <w:t>претензионно</w:t>
      </w:r>
      <w:proofErr w:type="spellEnd"/>
      <w:r>
        <w:t>-исковой работы в целях исполнения представления (предписания);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проведение реорганизации объекта контроля;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рассмотрение жалобы объекта контроля (его уполномоченного представителя) в </w:t>
      </w:r>
      <w:r>
        <w:lastRenderedPageBreak/>
        <w:t>соответствии с федеральным стандартом внутреннего государственного (муниципального) финансового контроля о правилах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лиц;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>обстоятельства, делающие невозможным исполнение представления (предписания) в установленные сроки, не зависящие от объекта контроля, в том числе обстоятельства непреодолимой силы.</w:t>
      </w:r>
    </w:p>
    <w:p w:rsidR="00B35820" w:rsidRDefault="00B35820">
      <w:pPr>
        <w:pStyle w:val="ConsPlusNormal"/>
        <w:spacing w:before="220"/>
        <w:ind w:firstLine="540"/>
        <w:jc w:val="both"/>
      </w:pPr>
      <w:r>
        <w:t xml:space="preserve">20. Обращение, содержащее основания для продления срока исполнения представления (предписания), может быть направлено органу контроля не </w:t>
      </w:r>
      <w:proofErr w:type="gramStart"/>
      <w:r>
        <w:t>позднее</w:t>
      </w:r>
      <w:proofErr w:type="gramEnd"/>
      <w:r>
        <w:t xml:space="preserve"> чем за 10 рабочих дней до окончания срока исполнения представления (предписания).</w:t>
      </w:r>
    </w:p>
    <w:p w:rsidR="00B35820" w:rsidRDefault="00B35820">
      <w:pPr>
        <w:pStyle w:val="ConsPlusNormal"/>
        <w:spacing w:before="220"/>
        <w:ind w:firstLine="540"/>
        <w:jc w:val="both"/>
      </w:pPr>
      <w:bookmarkStart w:id="3" w:name="P101"/>
      <w:bookmarkEnd w:id="3"/>
      <w:r>
        <w:t>21. Решение руководителя (заместителя руководителя) органа контроля о продлении срока исполнения требования, содержащегося в представлении (предписании), или решение об отсутствии оснований продления срока исполнения представления (предписания) принимается руководителем (заместителем руководителя) органа контроля в течение 10 рабочих дней со дня поступления соответствующего обращения.</w:t>
      </w:r>
    </w:p>
    <w:p w:rsidR="00AD0982" w:rsidRDefault="00B35820" w:rsidP="00B35820">
      <w:pPr>
        <w:pStyle w:val="ConsPlusNormal"/>
        <w:spacing w:before="220"/>
        <w:ind w:firstLine="540"/>
        <w:jc w:val="both"/>
      </w:pPr>
      <w:r>
        <w:t xml:space="preserve">22. Орган контроля уведомляет объект контроля о решении, принятом в соответствии с </w:t>
      </w:r>
      <w:hyperlink w:anchor="P101" w:history="1">
        <w:r>
          <w:rPr>
            <w:color w:val="0000FF"/>
          </w:rPr>
          <w:t>пунктом 21</w:t>
        </w:r>
      </w:hyperlink>
      <w:r>
        <w:t xml:space="preserve"> стандарта, не позднее дня, следующего за днем принятия указанного решения.</w:t>
      </w:r>
      <w:bookmarkStart w:id="4" w:name="_GoBack"/>
      <w:bookmarkEnd w:id="4"/>
    </w:p>
    <w:sectPr w:rsidR="00AD0982" w:rsidSect="005C5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820"/>
    <w:rsid w:val="00AD0982"/>
    <w:rsid w:val="00B3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8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58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58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8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58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58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E7DF797F3F8727E7FA8C92C46916FF38DCCB03C2100371F4D5291714FFABC02959567B9DF997C07C931AE7E0E86AF497E1E2958F56Q2J6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E7DF797F3F8727E7FA8C92C46916FF38DCCB03C2100371F4D5291714FFABC02959567B9DF994C07C931AE7E0E86AF497E1E2958F56Q2J6O" TargetMode="External"/><Relationship Id="rId12" Type="http://schemas.openxmlformats.org/officeDocument/2006/relationships/hyperlink" Target="consultantplus://offline/ref=B7E7DF797F3F8727E7FA8C92C46916FF38DCCB03C2100371F4D5291714FFABC02959567A9CF394C07C931AE7E0E86AF497E1E2958F56Q2J6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E7DF797F3F8727E7FA8C92C46916FF38DCCB03C2100371F4D5291714FFABC02959567B92F397C07C931AE7E0E86AF497E1E2958F56Q2J6O" TargetMode="External"/><Relationship Id="rId11" Type="http://schemas.openxmlformats.org/officeDocument/2006/relationships/hyperlink" Target="consultantplus://offline/ref=B7E7DF797F3F8727E7FA8C92C46916FF38DCCB03C2100371F4D5291714FFABC02959567A9CF397C07C931AE7E0E86AF497E1E2958F56Q2J6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B7E7DF797F3F8727E7FA8C92C46916FF38DCCB03C2100371F4D5291714FFABC02959567A9CF396C07C931AE7E0E86AF497E1E2958F56Q2J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E7DF797F3F8727E7FA8C92C46916FF38DCCB03C2100371F4D5291714FFABC02959567A9CF394C07C931AE7E0E86AF497E1E2958F56Q2J6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2438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2020-08-21T14:09:00Z</dcterms:created>
  <dcterms:modified xsi:type="dcterms:W3CDTF">2020-08-21T14:10:00Z</dcterms:modified>
</cp:coreProperties>
</file>