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docProps/app.xml" ContentType="application/vnd.openxmlformats-officedocument.extended-properties+xml"/>
  <Override PartName="/word/diagrams/quickStyle4.xml" ContentType="application/vnd.openxmlformats-officedocument.drawingml.diagramQuickStyle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footnotes.xml" ContentType="application/vnd.openxmlformats-officedocument.wordprocessingml.footnotes+xml"/>
  <Override PartName="/word/diagrams/drawing4.xml" ContentType="application/vnd.openxmlformats-officedocument.drawingml.diagramDrawing+xml"/>
  <Override PartName="/word/diagrams/colors4.xml" ContentType="application/vnd.openxmlformats-officedocument.drawingml.diagramColors+xml"/>
  <Override PartName="/word/diagrams/layout3.xml" ContentType="application/vnd.openxmlformats-officedocument.drawingml.diagramLayout+xml"/>
  <Override PartName="/word/diagrams/colors3.xml" ContentType="application/vnd.openxmlformats-officedocument.drawingml.diagramColors+xml"/>
  <Override PartName="/word/diagrams/layout2.xml" ContentType="application/vnd.openxmlformats-officedocument.drawingml.diagramLayout+xml"/>
  <Override PartName="/word/fontTable.xml" ContentType="application/vnd.openxmlformats-officedocument.wordprocessingml.fontTable+xml"/>
  <Override PartName="/word/diagrams/colors2.xml" ContentType="application/vnd.openxmlformats-officedocument.drawingml.diagramColors+xml"/>
  <Override PartName="/word/diagrams/data3.xml" ContentType="application/vnd.openxmlformats-officedocument.drawingml.diagramData+xml"/>
  <Override PartName="/word/diagrams/colors1.xml" ContentType="application/vnd.openxmlformats-officedocument.drawingml.diagramColors+xml"/>
  <Override PartName="/word/diagrams/data2.xml" ContentType="application/vnd.openxmlformats-officedocument.drawingml.diagramData+xml"/>
  <Override PartName="/word/diagrams/drawing3.xml" ContentType="application/vnd.openxmlformats-officedocument.drawingml.diagramDrawing+xml"/>
  <Override PartName="/word/diagrams/data1.xml" ContentType="application/vnd.openxmlformats-officedocument.drawingml.diagramData+xml"/>
  <Override PartName="/word/diagrams/drawing2.xml" ContentType="application/vnd.openxmlformats-officedocument.drawingml.diagramDrawing+xml"/>
  <Override PartName="/word/diagrams/drawing1.xml" ContentType="application/vnd.openxmlformats-officedocument.drawingml.diagramDrawing+xml"/>
  <Override PartName="/word/diagrams/quickStyle3.xml" ContentType="application/vnd.openxmlformats-officedocument.drawingml.diagramQuickStyle+xml"/>
  <Override PartName="/word/endnotes.xml" ContentType="application/vnd.openxmlformats-officedocument.wordprocessingml.endnotes+xml"/>
  <Override PartName="/word/diagrams/quickStyle1.xml" ContentType="application/vnd.openxmlformats-officedocument.drawingml.diagramQuickSty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theme/themeOverride1.xml" ContentType="application/vnd.openxmlformats-officedocument.themeOverride+xml"/>
  <Override PartName="/word/diagrams/quickStyle2.xml" ContentType="application/vnd.openxmlformats-officedocument.drawingml.diagramQuickSty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iagrams/layout1.xml" ContentType="application/vnd.openxmlformats-officedocument.drawingml.diagramLayout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Казначейское обслуживание Социального фонда России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2014 году </w:t>
      </w:r>
      <w:r>
        <w:rPr>
          <w:sz w:val="28"/>
          <w:szCs w:val="28"/>
        </w:rPr>
        <w:t xml:space="preserve">казначейское </w:t>
      </w:r>
      <w:r>
        <w:rPr>
          <w:sz w:val="28"/>
          <w:szCs w:val="28"/>
        </w:rPr>
        <w:t xml:space="preserve">обслуживание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государственных внебюджетных фондов – Пенсионного фонда Российской Федерации и Фонда социального страхования Российской Федерации</w:t>
      </w:r>
      <w:r>
        <w:rPr>
          <w:sz w:val="28"/>
          <w:szCs w:val="28"/>
        </w:rPr>
        <w:t xml:space="preserve"> было передано органам Федерального казначейства</w:t>
      </w:r>
      <w:r>
        <w:rPr>
          <w:sz w:val="28"/>
          <w:szCs w:val="28"/>
        </w:rPr>
        <w:t xml:space="preserve">.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1 января 2023 года произошло объединение фондов</w:t>
      </w:r>
      <w:r>
        <w:rPr>
          <w:sz w:val="28"/>
          <w:szCs w:val="28"/>
        </w:rPr>
        <w:t xml:space="preserve">. В результате реорганизации в форме присоединения Фонда социального страхования к Пенсионному фонду был образован Фонд пенс</w:t>
      </w:r>
      <w:r>
        <w:rPr>
          <w:sz w:val="28"/>
          <w:szCs w:val="28"/>
        </w:rPr>
        <w:t xml:space="preserve">ионного и социального страхования Российской Федерации (далее - </w:t>
      </w:r>
      <w:r>
        <w:rPr>
          <w:sz w:val="28"/>
          <w:szCs w:val="28"/>
        </w:rPr>
        <w:t xml:space="preserve">Социальный фонд России</w:t>
      </w:r>
      <w:r>
        <w:rPr>
          <w:sz w:val="28"/>
          <w:szCs w:val="28"/>
        </w:rPr>
        <w:t xml:space="preserve">)</w:t>
      </w:r>
      <w:r>
        <w:rPr>
          <w:rStyle w:val="a8"/>
          <w:sz w:val="28"/>
          <w:szCs w:val="28"/>
        </w:rPr>
        <w:footnoteReference w:id="1"/>
      </w:r>
      <w:r>
        <w:rPr>
          <w:sz w:val="28"/>
          <w:szCs w:val="28"/>
        </w:rPr>
        <w:t xml:space="preserve">. 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Деятельность Социального фонда России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также как и деятельность его предшественников, ориентирована на население, юридических лиц и индивидуальных предпринимателей.</w:t>
      </w:r>
      <w:r>
        <w:rPr>
          <w:sz w:val="28"/>
          <w:szCs w:val="28"/>
        </w:rPr>
        <w:t xml:space="preserve"> Фонд создан для осуществления государством пенсионного обеспечения, обязательного пенсионного страхования, обязательного социального страхования на случай временной нетрудоспособности и в связи с материнством, обязательного социального страхования от несчастных случаев на производстве и профессиональных заболеваний, социального обеспечения, предоставления мер социальной защиты (поддержки) отдельным категориям граждан</w:t>
      </w:r>
      <w:r>
        <w:rPr>
          <w:sz w:val="28"/>
          <w:szCs w:val="28"/>
        </w:rPr>
        <w:t xml:space="preserve"> </w:t>
      </w:r>
      <w:r>
        <w:rPr>
          <w:rStyle w:val="a8"/>
          <w:sz w:val="28"/>
          <w:szCs w:val="28"/>
        </w:rPr>
        <w:footnoteReference w:id="2"/>
      </w:r>
      <w:r>
        <w:rPr>
          <w:sz w:val="28"/>
          <w:szCs w:val="28"/>
        </w:rPr>
        <w:t xml:space="preserve">.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Органы Федерального казначейства, </w:t>
      </w:r>
      <w:r>
        <w:rPr>
          <w:sz w:val="28"/>
          <w:szCs w:val="28"/>
        </w:rPr>
        <w:t xml:space="preserve">обслуживая лицев</w:t>
      </w:r>
      <w:r>
        <w:rPr>
          <w:sz w:val="28"/>
          <w:szCs w:val="28"/>
        </w:rPr>
        <w:t xml:space="preserve">ые</w:t>
      </w:r>
      <w:r>
        <w:rPr>
          <w:sz w:val="28"/>
          <w:szCs w:val="28"/>
        </w:rPr>
        <w:t xml:space="preserve"> счет</w:t>
      </w:r>
      <w:r>
        <w:rPr>
          <w:sz w:val="28"/>
          <w:szCs w:val="28"/>
        </w:rPr>
        <w:t xml:space="preserve">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причастны к таким </w:t>
      </w:r>
      <w:r>
        <w:rPr>
          <w:sz w:val="28"/>
          <w:szCs w:val="28"/>
        </w:rPr>
        <w:t xml:space="preserve">социально – значимым функциям Социального фонда России</w:t>
      </w:r>
      <w:r>
        <w:rPr>
          <w:sz w:val="28"/>
          <w:szCs w:val="28"/>
        </w:rPr>
        <w:t xml:space="preserve">, как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</w:p>
    <w:p>
      <w:pPr>
        <w:pStyle w:val="ac"/>
        <w:numPr>
          <w:numId w:val="7"/>
          <w:ilvl w:val="0"/>
        </w:numPr>
        <w:spacing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выплата пенсий по обязательному пенсионному страхованию и государственному пенсионному обеспечению;</w:t>
      </w:r>
    </w:p>
    <w:p>
      <w:pPr>
        <w:pStyle w:val="ac"/>
        <w:numPr>
          <w:numId w:val="7"/>
          <w:ilvl w:val="0"/>
        </w:numPr>
        <w:spacing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выплата государственных пособий, обеспечение по обязательному социальному страхованию и иных видов обеспечения;</w:t>
      </w:r>
    </w:p>
    <w:p>
      <w:pPr>
        <w:pStyle w:val="ac"/>
        <w:numPr>
          <w:numId w:val="7"/>
          <w:ilvl w:val="0"/>
        </w:numPr>
        <w:spacing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государственных гарантий, мер социальной защиты (поддержки), социальных услуг отдельным категориям граждан, в том числе в рамках оказания государственной социальной помощи;</w:t>
      </w:r>
    </w:p>
    <w:p>
      <w:pPr>
        <w:pStyle w:val="ac"/>
        <w:numPr>
          <w:numId w:val="7"/>
          <w:ilvl w:val="0"/>
        </w:numPr>
        <w:spacing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организация мероприятий в области медицинской, социальной и профессиональной реабилитации застрахованных лиц;</w:t>
      </w:r>
    </w:p>
    <w:p>
      <w:pPr>
        <w:pStyle w:val="ac"/>
        <w:numPr>
          <w:numId w:val="7"/>
          <w:ilvl w:val="0"/>
        </w:numPr>
        <w:rPr>
          <w:sz w:val="28"/>
          <w:szCs w:val="28"/>
        </w:rPr>
      </w:pPr>
      <w:r>
        <w:rPr>
          <w:sz w:val="28"/>
          <w:szCs w:val="28"/>
        </w:rPr>
        <w:t xml:space="preserve">    обеспечение инвалидов (ветеранов) техническими средствами реабилитации.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Объединение фондов </w:t>
      </w:r>
      <w:r>
        <w:rPr>
          <w:sz w:val="28"/>
          <w:szCs w:val="28"/>
        </w:rPr>
        <w:t xml:space="preserve">изменило прежний порядок казначейского обслуживания фондов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В целях реорганизаци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 4 квартале 2022 года была разработана и утверждена Типовая дорожная карта по реализации мероприятий в части обеспечения образования </w:t>
      </w:r>
      <w:r>
        <w:rPr>
          <w:sz w:val="28"/>
          <w:szCs w:val="28"/>
        </w:rPr>
        <w:t xml:space="preserve">Социального фонда России</w:t>
      </w:r>
      <w:r>
        <w:rPr>
          <w:sz w:val="28"/>
          <w:szCs w:val="28"/>
        </w:rPr>
        <w:t xml:space="preserve">. Согласно этому документу были </w:t>
      </w:r>
      <w:r>
        <w:rPr>
          <w:sz w:val="28"/>
          <w:szCs w:val="28"/>
        </w:rPr>
        <w:t xml:space="preserve">внесены изменения в учетные записи и показ</w:t>
      </w:r>
      <w:r>
        <w:rPr>
          <w:sz w:val="28"/>
          <w:szCs w:val="28"/>
        </w:rPr>
        <w:t xml:space="preserve">атели на лицевых счетах, открытых в органах Федерального казначейства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В целом процесс проведения реорганизации в учреждениях - это достаточно </w:t>
      </w:r>
      <w:r>
        <w:rPr>
          <w:sz w:val="28"/>
          <w:szCs w:val="28"/>
        </w:rPr>
        <w:t xml:space="preserve">сложное и </w:t>
      </w:r>
      <w:r>
        <w:rPr>
          <w:sz w:val="28"/>
          <w:szCs w:val="28"/>
        </w:rPr>
        <w:t xml:space="preserve">затратное мероприятие в отношении трудовых, информационных и временн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ресурсов.  Реорганизационные мероприятия по образованию Социального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онда России, благодаря заранее разработанному пошаговому плану и слаженной работе всех заинтересованных участников, прошли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бесшовно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в кратчайшие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Первостепенной задачей при этом было строгое соблюдение </w:t>
      </w:r>
      <w:r>
        <w:rPr>
          <w:sz w:val="28"/>
          <w:szCs w:val="28"/>
        </w:rPr>
        <w:t xml:space="preserve">графика</w:t>
      </w:r>
      <w:r>
        <w:rPr>
          <w:sz w:val="28"/>
          <w:szCs w:val="28"/>
        </w:rPr>
        <w:t xml:space="preserve"> перечисления получателям  всех назначенных выплат. </w:t>
      </w:r>
      <w:r>
        <w:rPr>
          <w:sz w:val="28"/>
          <w:szCs w:val="28"/>
        </w:rPr>
        <w:t xml:space="preserve">И надо отметить, что</w:t>
      </w:r>
      <w:r>
        <w:rPr>
          <w:sz w:val="28"/>
          <w:szCs w:val="28"/>
        </w:rPr>
        <w:t xml:space="preserve"> уже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первый рабочий день  января  2023 года </w:t>
      </w:r>
      <w:r>
        <w:rPr>
          <w:sz w:val="28"/>
          <w:szCs w:val="28"/>
        </w:rPr>
        <w:t xml:space="preserve"> выплаты были направлены адресатам.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Полномочия по казначейскому обслуживанию </w:t>
      </w:r>
      <w:r>
        <w:rPr>
          <w:sz w:val="28"/>
          <w:szCs w:val="28"/>
        </w:rPr>
        <w:t xml:space="preserve">передаются органами  управления государственного внебюджетного фонда в соответствии с </w:t>
      </w:r>
      <w:r>
        <w:rPr>
          <w:sz w:val="28"/>
          <w:szCs w:val="28"/>
        </w:rPr>
        <w:t xml:space="preserve">установленным порядком. </w:t>
      </w:r>
      <w:r>
        <w:rPr>
          <w:rStyle w:val="a8"/>
          <w:sz w:val="28"/>
          <w:szCs w:val="28"/>
        </w:rPr>
        <w:footnoteReference w:id="3"/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Передача полномочий подкрепляется отдельными нормативн</w:t>
      </w:r>
      <w:r>
        <w:rPr>
          <w:sz w:val="28"/>
          <w:szCs w:val="28"/>
        </w:rPr>
        <w:t xml:space="preserve">ыми</w:t>
      </w:r>
      <w:r>
        <w:rPr>
          <w:sz w:val="28"/>
          <w:szCs w:val="28"/>
        </w:rPr>
        <w:t xml:space="preserve"> правовыми актами, изданными органом управления государственным внебюджетным фондом.</w:t>
      </w:r>
      <w:r>
        <w:rPr>
          <w:sz w:val="28"/>
          <w:szCs w:val="28"/>
        </w:rPr>
        <w:t xml:space="preserve"> В настоящее время это:</w:t>
      </w:r>
      <w:r>
        <w:rPr>
          <w:sz w:val="28"/>
          <w:szCs w:val="28"/>
        </w:rPr>
        <w:t xml:space="preserve"> 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Правления ПФ РФ от 29.12.2022 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</w:rPr>
        <w:t xml:space="preserve"> 414п "Об утверждении Порядка учета бюджетных и денежных обязательств получателей средств бюджета Фонда пенсионного и социального страхования Российской Федерации";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Правления ПФ РФ от 30.12.2022 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</w:rPr>
        <w:t xml:space="preserve"> 415п "Об утверждении </w:t>
      </w:r>
      <w:r>
        <w:rPr>
          <w:sz w:val="28"/>
          <w:szCs w:val="28"/>
        </w:rPr>
        <w:t xml:space="preserve">Порядка санкционирования оплаты денежных обязательств получателей средств бюджета Фонда пенсионного</w:t>
      </w:r>
      <w:r>
        <w:rPr>
          <w:sz w:val="28"/>
          <w:szCs w:val="28"/>
        </w:rPr>
        <w:t xml:space="preserve"> и социального страхования Российской Федерации"</w:t>
      </w:r>
      <w:r>
        <w:rPr>
          <w:sz w:val="28"/>
          <w:szCs w:val="28"/>
        </w:rPr>
        <w:t xml:space="preserve">.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Методология казначейского обслуживания и содержание  рабочего  процесса определены  Приказами Казначейства России: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от 13.05.2020 N 20н "Об утверждении Правил организации и функционирования системы казначейских платежей";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от 14.05.2020 N 21н "О Порядке казначейского обслуживания";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18.08.2017 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</w:rPr>
        <w:t xml:space="preserve"> 211 "Об утверждении Порядка организации работы Федерального казначейства и его территориальных органов при осуществлении кассовых выплат за счет средств бюджетов бюджетной </w:t>
      </w:r>
      <w:r>
        <w:rPr>
          <w:sz w:val="28"/>
          <w:szCs w:val="28"/>
        </w:rPr>
        <w:t xml:space="preserve">системы Российской Федерации на банковские карты "Мир" физических лиц"</w:t>
      </w:r>
      <w:r>
        <w:rPr>
          <w:sz w:val="28"/>
          <w:szCs w:val="28"/>
        </w:rPr>
        <w:t xml:space="preserve">.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Для учета  </w:t>
      </w:r>
      <w:r>
        <w:rPr>
          <w:sz w:val="28"/>
          <w:szCs w:val="28"/>
        </w:rPr>
        <w:t xml:space="preserve">финансовых </w:t>
      </w:r>
      <w:r>
        <w:rPr>
          <w:sz w:val="28"/>
          <w:szCs w:val="28"/>
        </w:rPr>
        <w:t xml:space="preserve">операций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подразделениям</w:t>
      </w:r>
      <w:r>
        <w:rPr>
          <w:sz w:val="28"/>
          <w:szCs w:val="28"/>
        </w:rPr>
        <w:t xml:space="preserve"> Социального </w:t>
      </w:r>
      <w:r>
        <w:rPr>
          <w:sz w:val="28"/>
          <w:szCs w:val="28"/>
        </w:rPr>
        <w:t xml:space="preserve"> фонда</w:t>
      </w:r>
      <w:r>
        <w:rPr>
          <w:sz w:val="28"/>
          <w:szCs w:val="28"/>
        </w:rPr>
        <w:t xml:space="preserve"> России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территориальн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органах Федерального казначейства </w:t>
      </w:r>
      <w:r>
        <w:rPr>
          <w:sz w:val="28"/>
          <w:szCs w:val="28"/>
        </w:rPr>
        <w:t xml:space="preserve">открыты </w:t>
      </w:r>
      <w:r>
        <w:rPr>
          <w:sz w:val="28"/>
          <w:szCs w:val="28"/>
        </w:rPr>
        <w:t xml:space="preserve">лицевы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 счет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на которых </w:t>
      </w:r>
      <w:r>
        <w:rPr>
          <w:sz w:val="28"/>
          <w:szCs w:val="28"/>
        </w:rPr>
        <w:t xml:space="preserve">отражается движени</w:t>
      </w:r>
      <w:r>
        <w:rPr>
          <w:sz w:val="28"/>
          <w:szCs w:val="28"/>
        </w:rPr>
        <w:t xml:space="preserve">е по </w:t>
      </w:r>
      <w:r>
        <w:rPr>
          <w:sz w:val="28"/>
          <w:szCs w:val="28"/>
        </w:rPr>
        <w:t xml:space="preserve">поступлению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 выбытию денежных средств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(рис.1) </w:t>
      </w:r>
      <w:r>
        <w:rPr>
          <w:sz w:val="28"/>
          <w:szCs w:val="28"/>
        </w:rPr>
        <w:t xml:space="preserve">.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Рис.1                </w:t>
      </w:r>
    </w:p>
    <w:p>
      <w:pPr>
        <w:spacing w:line="240" w:lineRule="auto"/>
        <w:contextualSpacing/>
        <w:jc w:val="both"/>
        <w:rPr>
          <w:sz w:val="28"/>
          <w:szCs w:val="28"/>
        </w:rPr>
      </w:pP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drawing>
          <wp:inline xmlns:wp="http://schemas.openxmlformats.org/drawingml/2006/wordprocessingDrawing" distT="0" distB="0" distL="0" distR="0">
            <wp:extent cx="5940425" cy="902945"/>
            <wp:effectExtent l="57150" t="19050" r="0" b="69215"/>
            <wp:docPr id="1" name="Схема 7"/>
            <wp:cNvGraphicFramePr/>
            <a:graphic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4" r:qs="rId15" r:cs="rId13"/>
              </a:graphicData>
            </a:graphic>
          </wp:inline>
        </w:drawing>
      </w:r>
      <w:r>
        <w:rPr>
          <w:sz w:val="28"/>
          <w:szCs w:val="28"/>
          <w:lang w:eastAsia="ru-RU"/>
        </w:rPr>
        <w:drawing>
          <wp:inline xmlns:wp="http://schemas.openxmlformats.org/drawingml/2006/wordprocessingDrawing" distT="0" distB="0" distL="0" distR="0">
            <wp:extent cx="5940425" cy="902945"/>
            <wp:effectExtent l="57150" t="57150" r="0" b="88265"/>
            <wp:docPr id="2" name="Схема 8"/>
            <wp:cNvGraphicFramePr/>
            <a:graphic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9" r:qs="rId20" r:cs="rId18"/>
              </a:graphicData>
            </a:graphic>
          </wp:inline>
        </w:drawing>
      </w:r>
      <w:r>
        <w:rPr>
          <w:sz w:val="28"/>
          <w:szCs w:val="28"/>
          <w:lang w:eastAsia="ru-RU"/>
        </w:rPr>
        <w:drawing>
          <wp:inline xmlns:wp="http://schemas.openxmlformats.org/drawingml/2006/wordprocessingDrawing" distT="0" distB="0" distL="0" distR="0">
            <wp:extent cx="5940425" cy="902945"/>
            <wp:effectExtent l="57150" t="19050" r="0" b="88265"/>
            <wp:docPr id="3" name="Схема 10"/>
            <wp:cNvGraphicFramePr/>
            <a:graphic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4" r:qs="rId25" r:cs="rId23"/>
              </a:graphicData>
            </a:graphic>
          </wp:inline>
        </w:drawing>
      </w:r>
      <w:r>
        <w:rPr>
          <w:sz w:val="28"/>
          <w:szCs w:val="28"/>
          <w:lang w:eastAsia="ru-RU"/>
        </w:rPr>
        <w:drawing>
          <wp:inline xmlns:wp="http://schemas.openxmlformats.org/drawingml/2006/wordprocessingDrawing" distT="0" distB="0" distL="0" distR="0">
            <wp:extent cx="5953125" cy="1171575"/>
            <wp:effectExtent l="57150" t="0" r="0" b="0"/>
            <wp:docPr id="4" name="Схема 4"/>
            <wp:cNvGraphicFramePr/>
            <a:graphic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9" r:qs="rId30" r:cs="rId28"/>
              </a:graphicData>
            </a:graphic>
          </wp:inline>
        </w:drawing>
      </w:r>
    </w:p>
    <w:p>
      <w:pPr>
        <w:spacing w:line="240" w:lineRule="auto"/>
        <w:contextualSpacing/>
        <w:jc w:val="both"/>
        <w:rPr>
          <w:sz w:val="28"/>
          <w:szCs w:val="28"/>
        </w:rPr>
      </w:pPr>
    </w:p>
    <w:p>
      <w:pPr>
        <w:spacing w:line="240" w:lineRule="auto"/>
        <w:contextualSpacing/>
        <w:jc w:val="both"/>
        <w:rPr>
          <w:sz w:val="28"/>
          <w:szCs w:val="28"/>
        </w:rPr>
      </w:pP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Особенности казначейского обслуживания бюджета Социального фонда России обусловлен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спецификой </w:t>
      </w:r>
      <w:r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деятельности и </w:t>
      </w:r>
      <w:r>
        <w:rPr>
          <w:sz w:val="28"/>
          <w:szCs w:val="28"/>
        </w:rPr>
        <w:t xml:space="preserve">разнообразием видов выплат и услуг  в пользу  получателей.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Необходимо отметить, что у</w:t>
      </w:r>
      <w:r>
        <w:rPr>
          <w:sz w:val="28"/>
          <w:szCs w:val="28"/>
        </w:rPr>
        <w:t xml:space="preserve">чет операций на лицевых </w:t>
      </w:r>
      <w:r>
        <w:rPr>
          <w:sz w:val="28"/>
          <w:szCs w:val="28"/>
        </w:rPr>
        <w:t xml:space="preserve">счетах всех участников системы казначейских платежей осуществляется по кодам 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юджетной классификации.</w:t>
      </w:r>
      <w:r>
        <w:rPr>
          <w:sz w:val="28"/>
          <w:szCs w:val="28"/>
        </w:rPr>
        <w:t xml:space="preserve"> Каждому виду выплат соответствует свой уникальный код</w:t>
      </w:r>
      <w:r>
        <w:rPr>
          <w:sz w:val="28"/>
          <w:szCs w:val="28"/>
        </w:rPr>
        <w:t xml:space="preserve">, который указывает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цели </w:t>
      </w:r>
      <w:r>
        <w:rPr>
          <w:sz w:val="28"/>
          <w:szCs w:val="28"/>
        </w:rPr>
        <w:t xml:space="preserve">их использования или источник поступлений.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переданными полномочиями, при санкционировании выплат из бюджета Социального фонда России, специалист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органов казначейства осуществляют проверочные мероприятия, </w:t>
      </w:r>
      <w:r>
        <w:rPr>
          <w:sz w:val="28"/>
          <w:szCs w:val="28"/>
        </w:rPr>
        <w:t xml:space="preserve">направленные на соблюдение п</w:t>
      </w:r>
      <w:r>
        <w:rPr>
          <w:sz w:val="28"/>
          <w:szCs w:val="28"/>
        </w:rPr>
        <w:t xml:space="preserve">ринцип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адресности и целевого характера бюджетных средств</w:t>
      </w:r>
      <w:r>
        <w:rPr>
          <w:sz w:val="28"/>
          <w:szCs w:val="28"/>
        </w:rPr>
        <w:t xml:space="preserve">.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Практику казначейского обслуживания Социального фонда России, а также ряд статистических показателей истекшего периода 2023 года рассмотрим на примере  Отделения фонда пенсионного и социального страхования Российской Федерации по Омской области (далее – ОСФР по Омской области), лицевые </w:t>
      </w:r>
      <w:r>
        <w:rPr>
          <w:sz w:val="28"/>
          <w:szCs w:val="28"/>
        </w:rPr>
        <w:t xml:space="preserve">счета</w:t>
      </w:r>
      <w:r>
        <w:rPr>
          <w:sz w:val="28"/>
          <w:szCs w:val="28"/>
        </w:rPr>
        <w:t xml:space="preserve"> которого открыты в Управлении Федерального казначейства по Омской области</w:t>
      </w:r>
      <w:r>
        <w:rPr>
          <w:sz w:val="28"/>
          <w:szCs w:val="28"/>
        </w:rPr>
        <w:t xml:space="preserve"> (далее – УФК по Омской области</w:t>
      </w:r>
      <w:r>
        <w:rPr>
          <w:sz w:val="28"/>
          <w:szCs w:val="28"/>
        </w:rPr>
        <w:t xml:space="preserve">, Управление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  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Всего в 2023 году  </w:t>
      </w:r>
      <w:r>
        <w:rPr>
          <w:sz w:val="28"/>
          <w:szCs w:val="28"/>
        </w:rPr>
        <w:t xml:space="preserve">ОСФР по Омской области</w:t>
      </w:r>
      <w:r>
        <w:rPr>
          <w:sz w:val="28"/>
          <w:szCs w:val="28"/>
        </w:rPr>
        <w:t xml:space="preserve"> осуществл</w:t>
      </w:r>
      <w:r>
        <w:rPr>
          <w:sz w:val="28"/>
          <w:szCs w:val="28"/>
        </w:rPr>
        <w:t xml:space="preserve">яло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 пользу получателей – застрахованных лиц </w:t>
      </w:r>
      <w:r>
        <w:rPr>
          <w:sz w:val="28"/>
          <w:szCs w:val="28"/>
        </w:rPr>
        <w:t xml:space="preserve"> по 80 направлениям. </w:t>
      </w:r>
      <w:r>
        <w:rPr>
          <w:sz w:val="28"/>
          <w:szCs w:val="28"/>
        </w:rPr>
        <w:t xml:space="preserve">Из общего числа выплат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наиболее распространенные можно с</w:t>
      </w:r>
      <w:r>
        <w:rPr>
          <w:sz w:val="28"/>
          <w:szCs w:val="28"/>
        </w:rPr>
        <w:t xml:space="preserve">группир</w:t>
      </w:r>
      <w:r>
        <w:rPr>
          <w:sz w:val="28"/>
          <w:szCs w:val="28"/>
        </w:rPr>
        <w:t xml:space="preserve">овать</w:t>
      </w:r>
      <w:r>
        <w:rPr>
          <w:sz w:val="28"/>
          <w:szCs w:val="28"/>
        </w:rPr>
        <w:t xml:space="preserve"> по  4 вид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 расходов</w:t>
      </w:r>
      <w:r>
        <w:rPr>
          <w:sz w:val="28"/>
          <w:szCs w:val="28"/>
        </w:rPr>
        <w:t xml:space="preserve">:</w:t>
      </w:r>
    </w:p>
    <w:p>
      <w:pPr>
        <w:pStyle w:val="ac"/>
        <w:numPr>
          <w:numId w:val="9"/>
          <w:ilvl w:val="0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Пенсии, выплачиваемые по пенсионному страхованию населения</w:t>
      </w:r>
      <w:r>
        <w:rPr>
          <w:sz w:val="28"/>
          <w:szCs w:val="28"/>
        </w:rPr>
        <w:t xml:space="preserve">;</w:t>
      </w:r>
    </w:p>
    <w:p>
      <w:pPr>
        <w:pStyle w:val="ac"/>
        <w:numPr>
          <w:numId w:val="9"/>
          <w:ilvl w:val="0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Пособия, компенсации, меры социальной поддержки по публичным нормативным обязательствам;</w:t>
      </w:r>
    </w:p>
    <w:p>
      <w:pPr>
        <w:pStyle w:val="ac"/>
        <w:numPr>
          <w:numId w:val="9"/>
          <w:ilvl w:val="0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Пособия, компенсации и иные социальные выплаты гражданам, кроме публичных нормативных обязательств;</w:t>
      </w:r>
    </w:p>
    <w:p>
      <w:pPr>
        <w:pStyle w:val="ac"/>
        <w:numPr>
          <w:numId w:val="9"/>
          <w:ilvl w:val="0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товаров, работ и услуг в пользу граждан в целях их социального обеспечения</w:t>
      </w:r>
      <w:r>
        <w:rPr>
          <w:sz w:val="28"/>
          <w:szCs w:val="28"/>
        </w:rPr>
        <w:t xml:space="preserve">.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Наибольший удельный вес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общем объеме выплат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ОСФР по Омской области занимают </w:t>
      </w:r>
      <w:r>
        <w:rPr>
          <w:sz w:val="28"/>
          <w:szCs w:val="28"/>
        </w:rPr>
        <w:t xml:space="preserve">пенсионные выплаты </w:t>
      </w:r>
      <w:r>
        <w:rPr>
          <w:sz w:val="28"/>
          <w:szCs w:val="28"/>
        </w:rPr>
        <w:t xml:space="preserve">(рис.2)</w:t>
      </w:r>
      <w:r>
        <w:rPr>
          <w:sz w:val="28"/>
          <w:szCs w:val="28"/>
        </w:rPr>
        <w:t xml:space="preserve">. В их числе в</w:t>
      </w:r>
      <w:r>
        <w:rPr>
          <w:sz w:val="28"/>
          <w:szCs w:val="28"/>
        </w:rPr>
        <w:t xml:space="preserve">ыплата страховой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накопительной пенси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, в</w:t>
      </w:r>
      <w:r>
        <w:rPr>
          <w:sz w:val="28"/>
          <w:szCs w:val="28"/>
        </w:rPr>
        <w:t xml:space="preserve">ыплата пенсий по государственному пенсионному обеспечению</w:t>
      </w:r>
      <w:r>
        <w:rPr>
          <w:sz w:val="28"/>
          <w:szCs w:val="28"/>
        </w:rPr>
        <w:t xml:space="preserve">, е</w:t>
      </w:r>
      <w:r>
        <w:rPr>
          <w:sz w:val="28"/>
          <w:szCs w:val="28"/>
        </w:rPr>
        <w:t xml:space="preserve">диновременная выплата средств пенсионных накоплений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ыплата пенсий, назначенных досрочно гражданам, признанным безработными</w:t>
      </w:r>
      <w:r>
        <w:rPr>
          <w:sz w:val="28"/>
          <w:szCs w:val="28"/>
        </w:rPr>
        <w:t xml:space="preserve">.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большую долю расходов в общем объеме занимают расходы на выплату пособий, компенсации и меры социальной поддержки по публичным нормативным обязательствам.  В их число входит осуществление ежемесячной денежной выплаты ветеранам,  предоставление материнского  капитала, выплата пособия по временной нетрудоспособности, а также многие другие выплаты, предусмотренные законодательством о социальной защите граждан. </w:t>
      </w:r>
    </w:p>
    <w:p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Примером пособий, компенсаций и иных социальных выплат гражданам, кроме публичных нормативных обязательств,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</w:rPr>
        <w:t xml:space="preserve"> выплата компенсаций членам семей погибших военнослужащих и обеспечение </w:t>
      </w:r>
      <w:r>
        <w:rPr>
          <w:sz w:val="28"/>
          <w:szCs w:val="28"/>
        </w:rPr>
        <w:t xml:space="preserve">инвалидов</w:t>
      </w:r>
      <w:r>
        <w:rPr>
          <w:sz w:val="28"/>
          <w:szCs w:val="28"/>
        </w:rPr>
        <w:t xml:space="preserve"> техническими средствами реабилитации, включая изготовление и ремонт протезно-ортопедических изделий.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>
      <w:pPr>
        <w:spacing w:line="240" w:lineRule="auto"/>
        <w:contextualSpacing/>
        <w:jc w:val="both"/>
        <w:rPr>
          <w:sz w:val="28"/>
          <w:szCs w:val="28"/>
        </w:rPr>
      </w:pPr>
    </w:p>
    <w:p>
      <w:pPr>
        <w:spacing w:line="240" w:lineRule="auto"/>
        <w:contextualSpacing/>
        <w:jc w:val="both"/>
        <w:rPr>
          <w:sz w:val="28"/>
          <w:szCs w:val="28"/>
        </w:rPr>
      </w:pP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</w:t>
      </w:r>
    </w:p>
    <w:p>
      <w:pPr>
        <w:spacing w:line="240" w:lineRule="auto"/>
        <w:contextualSpacing/>
        <w:jc w:val="both"/>
        <w:rPr>
          <w:sz w:val="28"/>
          <w:szCs w:val="28"/>
        </w:rPr>
      </w:pPr>
    </w:p>
    <w:p>
      <w:pPr>
        <w:spacing w:line="240" w:lineRule="auto"/>
        <w:contextualSpacing/>
        <w:jc w:val="both"/>
        <w:rPr>
          <w:sz w:val="28"/>
          <w:szCs w:val="28"/>
        </w:rPr>
      </w:pPr>
    </w:p>
    <w:p>
      <w:pPr>
        <w:spacing w:line="240" w:lineRule="auto"/>
        <w:contextualSpacing/>
        <w:jc w:val="both"/>
        <w:rPr>
          <w:sz w:val="28"/>
          <w:szCs w:val="28"/>
        </w:rPr>
      </w:pPr>
    </w:p>
    <w:p>
      <w:pPr>
        <w:spacing w:line="240" w:lineRule="auto"/>
        <w:contextualSpacing/>
        <w:jc w:val="both"/>
        <w:rPr>
          <w:sz w:val="28"/>
          <w:szCs w:val="28"/>
        </w:rPr>
      </w:pP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Рис.2</w:t>
      </w:r>
    </w:p>
    <w:p>
      <w:pPr>
        <w:spacing w:line="240" w:lineRule="auto"/>
        <w:contextualSpacing/>
        <w:jc w:val="both"/>
        <w:rPr>
          <w:sz w:val="28"/>
          <w:szCs w:val="28"/>
        </w:rPr>
      </w:pP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lang w:eastAsia="ru-RU"/>
        </w:rPr>
        <w:drawing>
          <wp:inline distT="0" distB="0" distL="0" distR="0">
            <wp:extent cx="6153150" cy="4343400"/>
            <wp:effectExtent l="0" t="0" r="19050" b="1905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>
      <w:pPr>
        <w:spacing w:line="240" w:lineRule="auto"/>
        <w:contextualSpacing/>
        <w:jc w:val="both"/>
        <w:rPr>
          <w:sz w:val="28"/>
          <w:szCs w:val="28"/>
        </w:rPr>
      </w:pP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 социального обеспечения граждан </w:t>
      </w:r>
      <w:r>
        <w:rPr>
          <w:sz w:val="28"/>
          <w:szCs w:val="28"/>
        </w:rPr>
        <w:t xml:space="preserve">отделениями Социального фонда </w:t>
      </w:r>
      <w:r>
        <w:rPr>
          <w:sz w:val="28"/>
          <w:szCs w:val="28"/>
        </w:rPr>
        <w:t xml:space="preserve">России </w:t>
      </w:r>
      <w:r>
        <w:rPr>
          <w:sz w:val="28"/>
          <w:szCs w:val="28"/>
        </w:rPr>
        <w:t xml:space="preserve">заключаются контракты и договоры на </w:t>
      </w:r>
      <w:r>
        <w:rPr>
          <w:sz w:val="28"/>
          <w:szCs w:val="28"/>
        </w:rPr>
        <w:t xml:space="preserve">приобретени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товаров, работ и услуг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которые являются основанием для принятия бюджетных обязательств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Эти обязательства подлежат оплате в соответствующем финансовом году.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По мере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выполнения работ и оказания услуг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 xml:space="preserve">документов о приемке</w:t>
      </w:r>
      <w:r>
        <w:rPr>
          <w:sz w:val="28"/>
          <w:szCs w:val="28"/>
        </w:rPr>
        <w:t xml:space="preserve">, выставленных поставщиками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учитываются денежные обязательства</w:t>
      </w:r>
      <w:r>
        <w:rPr>
          <w:sz w:val="28"/>
          <w:szCs w:val="28"/>
        </w:rPr>
        <w:t xml:space="preserve">, а затем </w:t>
      </w:r>
      <w:r>
        <w:rPr>
          <w:sz w:val="28"/>
          <w:szCs w:val="28"/>
        </w:rPr>
        <w:t xml:space="preserve">осуществляются платежи.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Четко отлаженный в системе казначейского обслуживания  учет бюджетных и денежных обязательств является гарантом их финансового обеспечения. Это означает, что все принятые Социальным фондом России обязательства подкреплены реальными денежными средствами и будут исполнены в полном объеме.    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Необходимо отметить, что У</w:t>
      </w:r>
      <w:r>
        <w:rPr>
          <w:sz w:val="28"/>
          <w:szCs w:val="28"/>
        </w:rPr>
        <w:t xml:space="preserve">ФК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Омской области один из немногих территориальных органов Федерального казначейства, у которого на обслуживании находится </w:t>
      </w:r>
      <w:r>
        <w:rPr>
          <w:sz w:val="28"/>
          <w:szCs w:val="28"/>
        </w:rPr>
        <w:t xml:space="preserve">Федеральное бюджетное </w:t>
      </w:r>
      <w:r>
        <w:rPr>
          <w:sz w:val="28"/>
          <w:szCs w:val="28"/>
        </w:rPr>
        <w:t xml:space="preserve">учреждение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 </w:t>
      </w:r>
      <w:r>
        <w:rPr>
          <w:sz w:val="28"/>
          <w:szCs w:val="28"/>
        </w:rPr>
        <w:t xml:space="preserve">реабилитации Фонда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пенсионного и социального страхования Российской Федерации</w:t>
      </w:r>
      <w:r>
        <w:rPr>
          <w:sz w:val="28"/>
          <w:szCs w:val="28"/>
        </w:rPr>
        <w:t xml:space="preserve"> "О</w:t>
      </w:r>
      <w:r>
        <w:rPr>
          <w:sz w:val="28"/>
          <w:szCs w:val="28"/>
        </w:rPr>
        <w:t xml:space="preserve">мский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работы с этим учреждением аналогичен порядку работы с бюджетными учреждениями федерального уровня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лицевых счетах </w:t>
      </w:r>
      <w:r>
        <w:rPr>
          <w:sz w:val="28"/>
          <w:szCs w:val="28"/>
        </w:rPr>
        <w:t xml:space="preserve">Центр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реабилитации </w:t>
      </w:r>
      <w:r>
        <w:rPr>
          <w:sz w:val="28"/>
          <w:szCs w:val="28"/>
        </w:rPr>
        <w:t xml:space="preserve">учитываются субсидии и денежные средства</w:t>
      </w:r>
      <w:r>
        <w:rPr>
          <w:sz w:val="28"/>
          <w:szCs w:val="28"/>
        </w:rPr>
        <w:t xml:space="preserve"> в виде доходов от оказания услуг по санаторно-курортному лечению. Кроме того, Центру реабилитации открыт лицевой счет бюджетного учреждения для учета операций со средствами </w:t>
      </w:r>
      <w:r>
        <w:rPr>
          <w:sz w:val="28"/>
          <w:szCs w:val="28"/>
        </w:rPr>
        <w:t xml:space="preserve">обязательного медицинского страхования</w:t>
      </w:r>
      <w:r>
        <w:rPr>
          <w:sz w:val="28"/>
          <w:szCs w:val="28"/>
        </w:rPr>
        <w:t xml:space="preserve">.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Достаточно длительное время органы Федерального казначейства, являясь участником национальной платежной системы</w:t>
      </w:r>
      <w:r>
        <w:rPr>
          <w:sz w:val="28"/>
          <w:szCs w:val="28"/>
        </w:rPr>
        <w:t xml:space="preserve">, осуществляют казначейско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обслуживание с использованием карт «МИР»</w:t>
      </w:r>
      <w:r>
        <w:rPr>
          <w:sz w:val="28"/>
          <w:szCs w:val="28"/>
        </w:rPr>
        <w:t xml:space="preserve"> через процессинг </w:t>
      </w:r>
      <w:r>
        <w:rPr>
          <w:sz w:val="28"/>
          <w:szCs w:val="28"/>
        </w:rPr>
        <w:t xml:space="preserve">Национальн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систем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платежных карт (НСПК)</w:t>
      </w:r>
      <w:r>
        <w:rPr>
          <w:sz w:val="28"/>
          <w:szCs w:val="28"/>
        </w:rPr>
        <w:t xml:space="preserve">.  У держателей этих карт</w:t>
      </w:r>
      <w:r>
        <w:rPr>
          <w:sz w:val="28"/>
          <w:szCs w:val="28"/>
        </w:rPr>
        <w:t xml:space="preserve"> есть очевидное преимущество перед теми, кто получает </w:t>
      </w:r>
      <w:r>
        <w:rPr>
          <w:sz w:val="28"/>
          <w:szCs w:val="28"/>
        </w:rPr>
        <w:t xml:space="preserve"> выплаты на другие типы банковских  карт или во вклады.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режде всего</w:t>
      </w:r>
      <w:r>
        <w:rPr>
          <w:sz w:val="28"/>
          <w:szCs w:val="28"/>
        </w:rPr>
        <w:t xml:space="preserve">, это значительное </w:t>
      </w:r>
      <w:r>
        <w:rPr>
          <w:sz w:val="28"/>
          <w:szCs w:val="28"/>
        </w:rPr>
        <w:t xml:space="preserve"> сокращение времени на зачисление назначенных выплат на карты получателя</w:t>
      </w:r>
      <w:r>
        <w:rPr>
          <w:sz w:val="28"/>
          <w:szCs w:val="28"/>
        </w:rPr>
        <w:t xml:space="preserve">, которое </w:t>
      </w:r>
      <w:r>
        <w:rPr>
          <w:sz w:val="28"/>
          <w:szCs w:val="28"/>
        </w:rPr>
        <w:t xml:space="preserve">обеспечивается </w:t>
      </w:r>
      <w:r>
        <w:rPr>
          <w:sz w:val="28"/>
          <w:szCs w:val="28"/>
        </w:rPr>
        <w:t xml:space="preserve">благодаря тому, что</w:t>
      </w:r>
      <w:r>
        <w:rPr>
          <w:sz w:val="28"/>
          <w:szCs w:val="28"/>
        </w:rPr>
        <w:t xml:space="preserve">: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t xml:space="preserve"> </w:t>
      </w:r>
      <w:r>
        <w:rPr>
          <w:sz w:val="28"/>
          <w:szCs w:val="28"/>
        </w:rPr>
        <w:t xml:space="preserve">авторизация  получателя осуществляется только по двум реквизитам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дате рождения получателя и номеру его карты;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банки – эмитенты пополняют карты физических лиц собственными средствами, а позже получают возмещение расходов от плательщиков, например от </w:t>
      </w:r>
      <w:r>
        <w:rPr>
          <w:sz w:val="28"/>
          <w:szCs w:val="28"/>
        </w:rPr>
        <w:t xml:space="preserve">ОСФР по Омской </w:t>
      </w:r>
      <w:r>
        <w:rPr>
          <w:sz w:val="28"/>
          <w:szCs w:val="28"/>
        </w:rPr>
        <w:t xml:space="preserve">области.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Первыми выплатами при внедрении </w:t>
      </w:r>
      <w:r>
        <w:rPr>
          <w:sz w:val="28"/>
          <w:szCs w:val="28"/>
        </w:rPr>
        <w:t xml:space="preserve">технологии перечисления на карты «МИР» через процессинг НСПК были пособия по временной нетрудоспособности. </w:t>
      </w:r>
      <w:r>
        <w:rPr>
          <w:sz w:val="28"/>
          <w:szCs w:val="28"/>
        </w:rPr>
        <w:t xml:space="preserve">С момента внедрения данного механизма </w:t>
      </w:r>
      <w:r>
        <w:rPr>
          <w:sz w:val="28"/>
          <w:szCs w:val="28"/>
        </w:rPr>
        <w:t xml:space="preserve">перечень выплат </w:t>
      </w:r>
      <w:r>
        <w:rPr>
          <w:sz w:val="28"/>
          <w:szCs w:val="28"/>
        </w:rPr>
        <w:t xml:space="preserve">значительно расширился (рис.3) </w:t>
      </w:r>
      <w:r>
        <w:rPr>
          <w:sz w:val="28"/>
          <w:szCs w:val="28"/>
        </w:rPr>
        <w:t xml:space="preserve">                                                                                </w:t>
      </w:r>
    </w:p>
    <w:p>
      <w:pPr>
        <w:spacing w:line="240" w:lineRule="auto"/>
        <w:contextualSpacing/>
        <w:jc w:val="both"/>
        <w:rPr>
          <w:sz w:val="28"/>
          <w:szCs w:val="28"/>
        </w:rPr>
      </w:pP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Рис.3</w:t>
      </w:r>
    </w:p>
    <w:p>
      <w:pPr>
        <w:spacing w:line="240" w:lineRule="auto"/>
        <w:contextualSpacing/>
        <w:jc w:val="both"/>
        <w:rPr>
          <w:sz w:val="28"/>
          <w:szCs w:val="28"/>
        </w:rPr>
      </w:pP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lang w:eastAsia="ru-RU"/>
        </w:rPr>
        <w:drawing>
          <wp:inline distT="0" distB="0" distL="0" distR="0">
            <wp:extent cx="6000750" cy="3295650"/>
            <wp:effectExtent l="0" t="0" r="19050" b="19050"/>
            <wp:docPr id="6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>
      <w:pPr>
        <w:spacing w:line="240" w:lineRule="auto"/>
        <w:contextualSpacing/>
        <w:jc w:val="both"/>
        <w:rPr>
          <w:sz w:val="28"/>
          <w:szCs w:val="28"/>
        </w:rPr>
      </w:pP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 настоящее время </w:t>
      </w:r>
      <w:r>
        <w:rPr>
          <w:sz w:val="28"/>
          <w:szCs w:val="28"/>
        </w:rPr>
        <w:t xml:space="preserve">ведутся настройки информационных систем для возможности </w:t>
      </w:r>
      <w:r>
        <w:rPr>
          <w:sz w:val="28"/>
          <w:szCs w:val="28"/>
        </w:rPr>
        <w:t xml:space="preserve"> перечисления на карты «МИР» через процессинг НСПК </w:t>
      </w:r>
      <w:r>
        <w:rPr>
          <w:sz w:val="28"/>
          <w:szCs w:val="28"/>
        </w:rPr>
        <w:t xml:space="preserve">пенсионных выплат.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Новым в области социального обеспечения  является инструмент</w:t>
      </w:r>
      <w:r>
        <w:rPr>
          <w:sz w:val="28"/>
          <w:szCs w:val="28"/>
        </w:rPr>
        <w:t xml:space="preserve"> электронных сертификатов</w:t>
      </w:r>
      <w:r>
        <w:rPr>
          <w:sz w:val="28"/>
          <w:szCs w:val="28"/>
        </w:rPr>
        <w:t xml:space="preserve">, используемых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приобретени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отдельных видов товаров, работ и услуг в пользу застрахованных лиц.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Э</w:t>
      </w:r>
      <w:r>
        <w:rPr>
          <w:sz w:val="28"/>
          <w:szCs w:val="28"/>
        </w:rPr>
        <w:t xml:space="preserve">лектронный сертификат </w:t>
      </w:r>
      <w:r>
        <w:rPr>
          <w:sz w:val="28"/>
          <w:szCs w:val="28"/>
        </w:rPr>
        <w:t xml:space="preserve">– это </w:t>
      </w:r>
      <w:r>
        <w:rPr>
          <w:sz w:val="28"/>
          <w:szCs w:val="28"/>
        </w:rPr>
        <w:t xml:space="preserve">размещенная в Государственной информационной системе электронных сертификатов запись в электронной форме, содержащая сведения о праве гражданина Российской Федерации на самостоятельное приобретение отдельных видов товаров, работ, услуг за счет средств соответствующего бюджета и используемая для подтверждения оплаты таких товаров, работ, услуг в объеме, установленном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rStyle w:val="a8"/>
          <w:sz w:val="28"/>
          <w:szCs w:val="28"/>
        </w:rPr>
        <w:footnoteReference w:id="4"/>
      </w:r>
    </w:p>
    <w:p>
      <w:pPr>
        <w:spacing w:line="240" w:lineRule="auto"/>
        <w:contextualSpacing/>
        <w:jc w:val="both"/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Э</w:t>
      </w:r>
      <w:r>
        <w:rPr>
          <w:sz w:val="28"/>
          <w:szCs w:val="28"/>
        </w:rPr>
        <w:t xml:space="preserve">лектронная запись привязана к номеру карты «МИР» получателя технического средства реабилитации. Денежные средства,  выделяемые</w:t>
      </w:r>
      <w:r>
        <w:rPr>
          <w:sz w:val="28"/>
          <w:szCs w:val="28"/>
        </w:rPr>
        <w:t xml:space="preserve"> из бюджета Социального фонда России</w:t>
      </w:r>
      <w:r>
        <w:rPr>
          <w:sz w:val="28"/>
          <w:szCs w:val="28"/>
        </w:rPr>
        <w:t xml:space="preserve"> на покупку этого средства, не перечисляются на карту ее владельцу, а резервируются </w:t>
      </w:r>
      <w:r>
        <w:rPr>
          <w:sz w:val="28"/>
          <w:szCs w:val="28"/>
        </w:rPr>
        <w:t xml:space="preserve">оператором информационной системы </w:t>
      </w:r>
      <w:r>
        <w:rPr>
          <w:sz w:val="28"/>
          <w:szCs w:val="28"/>
        </w:rPr>
        <w:t xml:space="preserve"> и направляются продавцу при </w:t>
      </w:r>
      <w:r>
        <w:rPr>
          <w:sz w:val="28"/>
          <w:szCs w:val="28"/>
        </w:rPr>
        <w:t xml:space="preserve">покупке изделия.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Таким о</w:t>
      </w:r>
      <w:r>
        <w:rPr>
          <w:sz w:val="28"/>
          <w:szCs w:val="28"/>
        </w:rPr>
        <w:t xml:space="preserve">ператором является  Управление Федерального казначейства по  Владимирской   области</w:t>
      </w:r>
      <w:r>
        <w:rPr>
          <w:sz w:val="28"/>
          <w:szCs w:val="28"/>
        </w:rPr>
        <w:t xml:space="preserve">.</w:t>
      </w:r>
      <w:r>
        <w:t xml:space="preserve"> 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t xml:space="preserve">                 </w:t>
      </w:r>
      <w:r>
        <w:rPr>
          <w:sz w:val="28"/>
          <w:szCs w:val="28"/>
        </w:rPr>
        <w:t xml:space="preserve">За 9 месяцев 2023 года в адрес оператора Государственной информационной</w:t>
      </w:r>
      <w:r>
        <w:rPr>
          <w:sz w:val="28"/>
          <w:szCs w:val="28"/>
        </w:rPr>
        <w:t xml:space="preserve">  </w:t>
      </w:r>
      <w:r>
        <w:rPr>
          <w:sz w:val="28"/>
          <w:szCs w:val="28"/>
        </w:rPr>
        <w:t xml:space="preserve">системы электронных сертификатов ОСФР по Омской области было перечислено 119,4 млн. руб. для приобретения технических средств реабилитации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Социальный фонд России – это один из </w:t>
      </w:r>
      <w:r>
        <w:rPr>
          <w:sz w:val="28"/>
          <w:szCs w:val="28"/>
        </w:rPr>
        <w:t xml:space="preserve">крупнейших</w:t>
      </w:r>
      <w:r>
        <w:rPr>
          <w:sz w:val="28"/>
          <w:szCs w:val="28"/>
        </w:rPr>
        <w:t xml:space="preserve"> участников системы казначейских платежей, </w:t>
      </w:r>
      <w:r>
        <w:rPr>
          <w:sz w:val="28"/>
          <w:szCs w:val="28"/>
        </w:rPr>
        <w:t xml:space="preserve">с большим объемом </w:t>
      </w:r>
      <w:r>
        <w:rPr>
          <w:sz w:val="28"/>
          <w:szCs w:val="28"/>
        </w:rPr>
        <w:t xml:space="preserve">социально-значимых </w:t>
      </w:r>
      <w:r>
        <w:rPr>
          <w:sz w:val="28"/>
          <w:szCs w:val="28"/>
        </w:rPr>
        <w:t xml:space="preserve">расход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Удельный вес операций из бюджета фонда в общем объеме расходов в разных регионах страны может отличаться</w:t>
      </w:r>
      <w:r>
        <w:rPr>
          <w:sz w:val="28"/>
          <w:szCs w:val="28"/>
        </w:rPr>
        <w:t xml:space="preserve"> в силу </w:t>
      </w:r>
      <w:r>
        <w:rPr>
          <w:sz w:val="28"/>
          <w:szCs w:val="28"/>
        </w:rPr>
        <w:t xml:space="preserve">таких</w:t>
      </w:r>
      <w:r>
        <w:rPr>
          <w:sz w:val="28"/>
          <w:szCs w:val="28"/>
        </w:rPr>
        <w:t xml:space="preserve"> факторов, </w:t>
      </w:r>
      <w:r>
        <w:rPr>
          <w:sz w:val="28"/>
          <w:szCs w:val="28"/>
        </w:rPr>
        <w:t xml:space="preserve">как </w:t>
      </w:r>
      <w:r>
        <w:rPr>
          <w:sz w:val="28"/>
          <w:szCs w:val="28"/>
        </w:rPr>
        <w:t xml:space="preserve"> численност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застрахованного населения или наличи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произво</w:t>
      </w:r>
      <w:r>
        <w:rPr>
          <w:sz w:val="28"/>
          <w:szCs w:val="28"/>
        </w:rPr>
        <w:t xml:space="preserve">дств с вр</w:t>
      </w:r>
      <w:r>
        <w:rPr>
          <w:sz w:val="28"/>
          <w:szCs w:val="28"/>
        </w:rPr>
        <w:t xml:space="preserve">едными</w:t>
      </w:r>
      <w:bookmarkStart w:id="0" w:name="_GoBack"/>
      <w:bookmarkEnd w:id="0"/>
      <w:r>
        <w:rPr>
          <w:sz w:val="28"/>
          <w:szCs w:val="28"/>
        </w:rPr>
        <w:t xml:space="preserve">, а также опасными</w:t>
      </w:r>
      <w:r>
        <w:rPr>
          <w:sz w:val="28"/>
          <w:szCs w:val="28"/>
        </w:rPr>
        <w:t xml:space="preserve"> условиями труда.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9 месяцев 2023 года </w:t>
      </w:r>
      <w:r>
        <w:rPr>
          <w:sz w:val="28"/>
          <w:szCs w:val="28"/>
        </w:rPr>
        <w:t xml:space="preserve">ОСФР по Омской области</w:t>
      </w:r>
      <w:r>
        <w:rPr>
          <w:sz w:val="28"/>
          <w:szCs w:val="28"/>
        </w:rPr>
        <w:t xml:space="preserve"> осуществил выплат на сумму 120510,5 млн. руб., что составляет 40,2</w:t>
      </w:r>
      <w:r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в общем объеме расходов всех </w:t>
      </w:r>
      <w:r>
        <w:rPr>
          <w:sz w:val="28"/>
          <w:szCs w:val="28"/>
        </w:rPr>
        <w:t xml:space="preserve">уровней </w:t>
      </w:r>
      <w:r>
        <w:rPr>
          <w:sz w:val="28"/>
          <w:szCs w:val="28"/>
        </w:rPr>
        <w:t xml:space="preserve">бюджетов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территории Омской области. </w:t>
      </w:r>
    </w:p>
    <w:p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Управление </w:t>
      </w:r>
      <w:r>
        <w:rPr>
          <w:sz w:val="28"/>
          <w:szCs w:val="28"/>
        </w:rPr>
        <w:t xml:space="preserve">остатками </w:t>
      </w:r>
      <w:r>
        <w:rPr>
          <w:sz w:val="28"/>
          <w:szCs w:val="28"/>
        </w:rPr>
        <w:t xml:space="preserve">на счетах  Социального фонда России входит в мероприятия Федерального казначейства по обеспечению ликвидности единого казначейского счета. </w:t>
      </w:r>
      <w:r>
        <w:rPr>
          <w:sz w:val="28"/>
          <w:szCs w:val="28"/>
        </w:rPr>
        <w:t xml:space="preserve">В связи с этим, </w:t>
      </w:r>
      <w:r>
        <w:rPr>
          <w:sz w:val="28"/>
          <w:szCs w:val="28"/>
        </w:rPr>
        <w:t xml:space="preserve">в соответствии с полномочиями, определенными Бюджетным кодексом, </w:t>
      </w:r>
      <w:r>
        <w:rPr>
          <w:sz w:val="28"/>
          <w:szCs w:val="28"/>
        </w:rPr>
        <w:t xml:space="preserve">в июле 2023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Федеральное казначейство впервые разместило </w:t>
      </w:r>
      <w:r>
        <w:rPr>
          <w:sz w:val="28"/>
          <w:szCs w:val="28"/>
        </w:rPr>
        <w:t xml:space="preserve">временно свободные денежные </w:t>
      </w:r>
      <w:r>
        <w:rPr>
          <w:sz w:val="28"/>
          <w:szCs w:val="28"/>
        </w:rPr>
        <w:t xml:space="preserve">средства Социального фонда России на банковских депозитах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Доходы от размещения </w:t>
      </w:r>
      <w:r>
        <w:rPr>
          <w:sz w:val="28"/>
          <w:szCs w:val="28"/>
        </w:rPr>
        <w:t xml:space="preserve">этих</w:t>
      </w:r>
      <w:r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 xml:space="preserve">подлежат </w:t>
      </w:r>
      <w:r>
        <w:rPr>
          <w:sz w:val="28"/>
          <w:szCs w:val="28"/>
        </w:rPr>
        <w:t xml:space="preserve">полно</w:t>
      </w:r>
      <w:r>
        <w:rPr>
          <w:sz w:val="28"/>
          <w:szCs w:val="28"/>
        </w:rPr>
        <w:t xml:space="preserve">стью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зачислению в бюджет Социального фонда России</w:t>
      </w:r>
      <w:r>
        <w:rPr>
          <w:sz w:val="28"/>
          <w:szCs w:val="28"/>
        </w:rPr>
        <w:t xml:space="preserve">, что будет увеличивать общий объем поступлений.</w:t>
      </w:r>
      <w:r>
        <w:rPr>
          <w:sz w:val="28"/>
          <w:szCs w:val="28"/>
        </w:rPr>
        <w:t xml:space="preserve">  Первые доходы </w:t>
      </w:r>
      <w:r>
        <w:rPr>
          <w:sz w:val="28"/>
          <w:szCs w:val="28"/>
        </w:rPr>
        <w:t xml:space="preserve">в объеме 80,3 млн. рублей</w:t>
      </w:r>
      <w:r>
        <w:rPr>
          <w:sz w:val="28"/>
          <w:szCs w:val="28"/>
        </w:rPr>
        <w:t xml:space="preserve"> были зачислены в бюджет</w:t>
      </w:r>
      <w:r>
        <w:rPr>
          <w:sz w:val="28"/>
          <w:szCs w:val="28"/>
        </w:rPr>
        <w:t xml:space="preserve"> Социального фонда России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 сентября 2023 года</w:t>
      </w:r>
      <w:r>
        <w:rPr>
          <w:rStyle w:val="a8"/>
          <w:sz w:val="28"/>
          <w:szCs w:val="28"/>
        </w:rPr>
        <w:footnoteReference w:id="5"/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>
      <w:pPr>
        <w:spacing w:after="100" w:afterAutospacing="1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Федеральное казначейство</w:t>
      </w:r>
      <w:r>
        <w:rPr>
          <w:sz w:val="28"/>
          <w:szCs w:val="28"/>
        </w:rPr>
        <w:t xml:space="preserve">, являясь оператором многих Государственных информационных систем, непрерывно совершенствует </w:t>
      </w:r>
      <w:r>
        <w:rPr>
          <w:sz w:val="28"/>
          <w:szCs w:val="28"/>
        </w:rPr>
        <w:t xml:space="preserve">инструменты и оптимизирует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процессы</w:t>
      </w:r>
      <w:r>
        <w:rPr>
          <w:sz w:val="28"/>
          <w:szCs w:val="28"/>
        </w:rPr>
        <w:t xml:space="preserve"> казначейского обслуживания бюджетов бюджетной системы России</w:t>
      </w:r>
      <w:r>
        <w:rPr>
          <w:sz w:val="28"/>
          <w:szCs w:val="28"/>
        </w:rPr>
        <w:t xml:space="preserve">. Регулярные </w:t>
      </w:r>
      <w:r>
        <w:rPr>
          <w:sz w:val="28"/>
          <w:szCs w:val="28"/>
        </w:rPr>
        <w:t xml:space="preserve">нововведения  в методологической и </w:t>
      </w:r>
      <w:r>
        <w:rPr>
          <w:sz w:val="28"/>
          <w:szCs w:val="28"/>
        </w:rPr>
        <w:t xml:space="preserve">технологических </w:t>
      </w:r>
      <w:r>
        <w:rPr>
          <w:sz w:val="28"/>
          <w:szCs w:val="28"/>
        </w:rPr>
        <w:t xml:space="preserve">сферах, имеют   </w:t>
      </w:r>
      <w:r>
        <w:rPr>
          <w:sz w:val="28"/>
          <w:szCs w:val="28"/>
        </w:rPr>
        <w:t xml:space="preserve">клиентоориентированный</w:t>
      </w:r>
      <w:r>
        <w:rPr>
          <w:sz w:val="28"/>
          <w:szCs w:val="28"/>
        </w:rPr>
        <w:t xml:space="preserve"> вектор направленности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обеспечивают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благоприятной среды для получателей социальных государственных гарантий.  </w:t>
      </w:r>
    </w:p>
    <w:p>
      <w:pPr>
        <w:spacing w:after="100" w:afterAutospacing="1" w:line="240" w:lineRule="auto"/>
        <w:contextualSpacing/>
        <w:jc w:val="both"/>
        <w:rPr>
          <w:sz w:val="28"/>
          <w:szCs w:val="28"/>
        </w:rPr>
      </w:pPr>
    </w:p>
    <w:p>
      <w:pPr>
        <w:spacing w:after="100" w:afterAutospacing="1" w:line="240" w:lineRule="auto"/>
        <w:contextualSpacing/>
        <w:jc w:val="both"/>
        <w:rPr>
          <w:sz w:val="28"/>
          <w:szCs w:val="28"/>
        </w:rPr>
      </w:pPr>
    </w:p>
    <w:p>
      <w:pPr>
        <w:spacing w:after="100" w:afterAutospacing="1" w:line="240" w:lineRule="auto"/>
        <w:contextualSpacing/>
        <w:jc w:val="both"/>
        <w:rPr>
          <w:sz w:val="28"/>
          <w:szCs w:val="28"/>
        </w:rPr>
      </w:pPr>
    </w:p>
    <w:p>
      <w:pPr>
        <w:spacing w:after="100" w:afterAutospacing="1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расходов </w:t>
      </w:r>
    </w:p>
    <w:p>
      <w:pPr>
        <w:spacing w:after="100" w:afterAutospacing="1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Федерального </w:t>
      </w:r>
    </w:p>
    <w:p>
      <w:pPr>
        <w:spacing w:after="100" w:afterAutospacing="1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казначейства по Омской области </w:t>
      </w: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М.В. Кононова    </w:t>
      </w:r>
    </w:p>
    <w:sectPr>
      <w:headerReference w:type="default" r:id="rId9"/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a6"/>
      </w:pPr>
      <w:r>
        <w:rPr>
          <w:rStyle w:val="a8"/>
        </w:rPr>
        <w:footnoteRef/>
      </w:r>
      <w:r>
        <w:t xml:space="preserve"> Федеральный закон от 14.07.2022 № 236-ФЗ «О Фонде пенсионного и социального страхования Российской Федерации»</w:t>
      </w:r>
    </w:p>
  </w:footnote>
  <w:footnote w:id="2">
    <w:p>
      <w:pPr>
        <w:pStyle w:val="a6"/>
      </w:pPr>
      <w:r>
        <w:rPr>
          <w:rStyle w:val="a8"/>
        </w:rPr>
        <w:footnoteRef/>
      </w:r>
      <w:r>
        <w:t xml:space="preserve"> </w:t>
      </w:r>
      <w:r>
        <w:t xml:space="preserve">https://sfr.gov.ru</w:t>
      </w:r>
    </w:p>
  </w:footnote>
  <w:footnote w:id="3">
    <w:p>
      <w:pPr>
        <w:pStyle w:val="a6"/>
      </w:pPr>
      <w:r>
        <w:rPr>
          <w:rStyle w:val="a8"/>
        </w:rPr>
        <w:footnoteRef/>
      </w:r>
      <w:r>
        <w:t xml:space="preserve"> </w:t>
      </w:r>
      <w:r>
        <w:t xml:space="preserve">Приказ Минфина России от 10.08.2023 N 130н "Об утверждении Порядка направления обращений высших исполнительных органов субъектов Российской Федерации (местных администраций), органов управления государственными внебюджетными фондами в Федеральное казначейство, их рассмотрения Федеральным казначейством и особенностей передачи функций финансовых органов субъектов Российской Федерации (муниципальных образований), органов управления государственными внебюджетными фондами</w:t>
      </w:r>
      <w:r>
        <w:t xml:space="preserve">,</w:t>
      </w:r>
      <w:r>
        <w:t xml:space="preserve"> </w:t>
      </w:r>
      <w:r>
        <w:t xml:space="preserve"> </w:t>
      </w:r>
      <w:r>
        <w:t xml:space="preserve">связанных с исполнением соответствующего бюджета</w:t>
      </w:r>
      <w:r>
        <w:t xml:space="preserve">"</w:t>
      </w:r>
      <w:r>
        <w:t xml:space="preserve"> </w:t>
      </w:r>
    </w:p>
  </w:footnote>
  <w:footnote w:id="4">
    <w:p>
      <w:pPr>
        <w:pStyle w:val="a6"/>
      </w:pPr>
      <w:r>
        <w:rPr>
          <w:rStyle w:val="a8"/>
        </w:rPr>
        <w:footnoteRef/>
      </w:r>
      <w:r>
        <w:t xml:space="preserve"> Федеральный закон от 30.12.2020 N 491-ФЗ "О приобретении отдельных видов товаров, работ, услуг с использованием электронного сертификата"</w:t>
      </w:r>
    </w:p>
  </w:footnote>
  <w:footnote w:id="5">
    <w:p>
      <w:pPr>
        <w:pStyle w:val="a6"/>
      </w:pPr>
      <w:r>
        <w:rPr>
          <w:rStyle w:val="a8"/>
        </w:rPr>
        <w:footnoteRef/>
      </w:r>
      <w:r>
        <w:t xml:space="preserve"> </w:t>
      </w:r>
      <w:r>
        <w:t xml:space="preserve">https://t.me/TreasuryofRussia/5771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2014567520"/>
      <w:docPartObj>
        <w:docPartGallery w:val="Page Numbers (Top of Page)"/>
        <w:docPartUnique w:val="true"/>
      </w:docPartObj>
    </w:sdtPr>
    <w:sdtContent>
      <w:p>
        <w:pPr>
          <w:pStyle w:val="ad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8</w:t>
        </w:r>
        <w:r>
          <w:fldChar w:fldCharType="end"/>
        </w:r>
      </w:p>
    </w:sdtContent>
  </w:sdt>
  <w:p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86DE66AE">
      <w:start w:val="16"/>
      <w:numFmt w:val="bullet"/>
      <w:lvlText w:val="-"/>
      <w:lvlJc w:val="left"/>
      <w:pPr>
        <w:ind w:left="990" w:hanging="360"/>
      </w:pPr>
      <w:rPr>
        <w:rFonts w:hint="default" w:ascii="Calibri" w:hAnsi="Calibri" w:eastAsiaTheme="minorHAnsi" w:cstheme="minorBidi"/>
      </w:rPr>
    </w:lvl>
    <w:lvl w:ilvl="1" w:tentative="1" w:tplc="04190003">
      <w:start w:val="1"/>
      <w:numFmt w:val="bullet"/>
      <w:lvlText w:val="o"/>
      <w:lvlJc w:val="left"/>
      <w:pPr>
        <w:ind w:left="171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31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03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 w:tplc="041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 w:tplc="041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plc="041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 w:tplc="041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 w:tplc="041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 w:tplc="DE7E09E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a4" w:customStyle="1">
    <w:name w:val="Текст концевой сноски Знак"/>
    <w:basedOn w:val="a0"/>
    <w:link w:val="a3"/>
    <w:uiPriority w:val="99"/>
    <w:semiHidden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a7" w:customStyle="1">
    <w:name w:val="Текст сноски Знак"/>
    <w:basedOn w:val="a0"/>
    <w:link w:val="a6"/>
    <w:uiPriority w:val="99"/>
    <w:semiHidden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1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e" w:customStyle="1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1">
    <w:name w:val="Нижний колонтитул Знак"/>
    <w:basedOn w:val="a0"/>
    <w:link w:val="af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diagramData" Target="diagrams/data1.xml" /><Relationship Id="rId12" Type="http://schemas.microsoft.com/office/2007/relationships/diagramDrawing" Target="diagrams/drawing1.xml" /><Relationship Id="rId13" Type="http://schemas.openxmlformats.org/officeDocument/2006/relationships/diagramColors" Target="diagrams/colors1.xml" /><Relationship Id="rId14" Type="http://schemas.openxmlformats.org/officeDocument/2006/relationships/diagramLayout" Target="diagrams/layout1.xml" /><Relationship Id="rId15" Type="http://schemas.openxmlformats.org/officeDocument/2006/relationships/diagramQuickStyle" Target="diagrams/quickStyle1.xml" /><Relationship Id="rId16" Type="http://schemas.openxmlformats.org/officeDocument/2006/relationships/diagramData" Target="diagrams/data2.xml" /><Relationship Id="rId17" Type="http://schemas.microsoft.com/office/2007/relationships/diagramDrawing" Target="diagrams/drawing2.xml" /><Relationship Id="rId18" Type="http://schemas.openxmlformats.org/officeDocument/2006/relationships/diagramColors" Target="diagrams/colors2.xml" /><Relationship Id="rId19" Type="http://schemas.openxmlformats.org/officeDocument/2006/relationships/diagramLayout" Target="diagrams/layout2.xml" /><Relationship Id="rId20" Type="http://schemas.openxmlformats.org/officeDocument/2006/relationships/diagramQuickStyle" Target="diagrams/quickStyle2.xml" /><Relationship Id="rId21" Type="http://schemas.openxmlformats.org/officeDocument/2006/relationships/diagramData" Target="diagrams/data3.xml" /><Relationship Id="rId22" Type="http://schemas.microsoft.com/office/2007/relationships/diagramDrawing" Target="diagrams/drawing3.xml" /><Relationship Id="rId23" Type="http://schemas.openxmlformats.org/officeDocument/2006/relationships/diagramColors" Target="diagrams/colors3.xml" /><Relationship Id="rId24" Type="http://schemas.openxmlformats.org/officeDocument/2006/relationships/diagramLayout" Target="diagrams/layout3.xml" /><Relationship Id="rId25" Type="http://schemas.openxmlformats.org/officeDocument/2006/relationships/diagramQuickStyle" Target="diagrams/quickStyle3.xml" /><Relationship Id="rId26" Type="http://schemas.openxmlformats.org/officeDocument/2006/relationships/diagramData" Target="diagrams/data4.xml" /><Relationship Id="rId27" Type="http://schemas.microsoft.com/office/2007/relationships/diagramDrawing" Target="diagrams/drawing4.xml" /><Relationship Id="rId28" Type="http://schemas.openxmlformats.org/officeDocument/2006/relationships/diagramColors" Target="diagrams/colors4.xml" /><Relationship Id="rId29" Type="http://schemas.openxmlformats.org/officeDocument/2006/relationships/diagramLayout" Target="diagrams/layout4.xml" /><Relationship Id="rId30" Type="http://schemas.openxmlformats.org/officeDocument/2006/relationships/diagramQuickStyle" Target="diagrams/quickStyle4.xml" /><Relationship Id="rId31" Type="http://schemas.openxmlformats.org/officeDocument/2006/relationships/chart" Target="charts/chart1.xml" /><Relationship Id="rId32" Type="http://schemas.openxmlformats.org/officeDocument/2006/relationships/chart" Target="charts/chart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Relationship Id="rId2" Type="http://schemas.openxmlformats.org/officeDocument/2006/relationships/themeOverride" Target="../theme/themeOverride1.xml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Relationship Id="rId2" Type="http://schemas.openxmlformats.org/officeDocument/2006/relationships/themeOverride" Target="../theme/themeOverride1.xm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Струкрура</a:t>
            </a:r>
            <a:r>
              <a:rPr lang="ru-RU" baseline="0"/>
              <a:t> расходов ОСФР по Омской области на пенсионное и социальное обеспечение граждан </a:t>
            </a:r>
            <a:endParaRPr lang="ru-RU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3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0,</a:t>
                    </a:r>
                    <a:r>
                      <a:rPr lang="ru-RU"/>
                      <a:t>1%</a:t>
                    </a:r>
                    <a:endParaRPr lang="en-US"/>
                  </a:p>
                </c:rich>
              </c:tx>
              <c:numFmt formatCode="#,##0.0" sourceLinked="0"/>
              <c:spPr/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Лист1!$B$5:$B$8</c:f>
              <c:strCache>
                <c:ptCount val="4"/>
                <c:pt idx="0">
                  <c:v xml:space="preserve">Пенсии, выплачиваемые по пенсионному страхованию населения</c:v>
                </c:pt>
                <c:pt idx="1">
                  <c:v xml:space="preserve">Пособия, компенсации, меры социальной поддержки по публичным нормативным обязательствам</c:v>
                </c:pt>
                <c:pt idx="2">
                  <c:v xml:space="preserve">Пособия, компенсации и иные социальные выплаты гражданам, кроме публичных нормативных обязательств</c:v>
                </c:pt>
                <c:pt idx="3">
                  <c:v xml:space="preserve">Приобретение товаров, работ и услуг в пользу граждан в целях их социального обеспечения</c:v>
                </c:pt>
              </c:strCache>
            </c:strRef>
          </c:cat>
          <c:val>
            <c:numRef>
              <c:f>Лист1!$C$5:$C$8</c:f>
              <c:numCache>
                <c:formatCode>0.00</c:formatCode>
                <c:ptCount val="4"/>
                <c:pt idx="0">
                  <c:v>86740141220.970001</c:v>
                </c:pt>
                <c:pt idx="1">
                  <c:v>31147056564.350006</c:v>
                </c:pt>
                <c:pt idx="2">
                  <c:v>975015010.46000004</c:v>
                </c:pt>
                <c:pt idx="3">
                  <c:v>226352605.28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/>
              <a:t>Количество видов выплат, перечисляемых на карты "МИР" через</a:t>
            </a:r>
            <a:r>
              <a:rPr lang="ru-RU" sz="1400" baseline="0"/>
              <a:t> процессинг НСПК</a:t>
            </a:r>
            <a:r>
              <a:rPr lang="ru-RU" sz="1400"/>
              <a:t> </a:t>
            </a:r>
          </a:p>
        </c:rich>
      </c:tx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cat>
            <c:numRef>
              <c:f>Лист1!$D$4:$D$6</c:f>
              <c:numCache>
                <c:formatCode>General</c:formatCode>
                <c:ptCount val="3"/>
                <c:pt idx="0">
                  <c:v>2017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Лист1!$E$4:$E$6</c:f>
              <c:numCache>
                <c:formatCode>General</c:formatCode>
                <c:ptCount val="3"/>
                <c:pt idx="0">
                  <c:v>23</c:v>
                </c:pt>
                <c:pt idx="1">
                  <c:v>125</c:v>
                </c:pt>
                <c:pt idx="2">
                  <c:v>147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258675712"/>
        <c:axId val="238637568"/>
        <c:axId val="0"/>
      </c:bar3DChart>
      <c:catAx>
        <c:axId val="258675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38637568"/>
        <c:crosses val="autoZero"/>
        <c:auto val="1"/>
        <c:lblAlgn val="ctr"/>
        <c:lblOffset val="100"/>
        <c:noMultiLvlLbl val="0"/>
      </c:catAx>
      <c:valAx>
        <c:axId val="2386375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586757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diagrams/_rels/data1.xml.rels><?xml version="1.0" encoding="UTF-8" standalone="yes"?><Relationships xmlns="http://schemas.openxmlformats.org/package/2006/relationships"><Relationship Id="rId1" Type="http://schemas.microsoft.com/office/2007/relationships/diagramDrawing" Target="diagrams/drawing1.xml" /></Relationships>
</file>

<file path=word/diagrams/_rels/data2.xml.rels><?xml version="1.0" encoding="UTF-8" standalone="yes"?><Relationships xmlns="http://schemas.openxmlformats.org/package/2006/relationships"><Relationship Id="rId1" Type="http://schemas.microsoft.com/office/2007/relationships/diagramDrawing" Target="diagrams/drawing2.xml" /></Relationships>
</file>

<file path=word/diagrams/_rels/data3.xml.rels><?xml version="1.0" encoding="UTF-8" standalone="yes"?><Relationships xmlns="http://schemas.openxmlformats.org/package/2006/relationships"><Relationship Id="rId1" Type="http://schemas.microsoft.com/office/2007/relationships/diagramDrawing" Target="diagrams/drawing3.xml" /></Relationships>
</file>

<file path=word/diagrams/_rels/data4.xml.rels><?xml version="1.0" encoding="UTF-8" standalone="yes"?><Relationships xmlns="http://schemas.openxmlformats.org/package/2006/relationships"><Relationship Id="rId1" Type="http://schemas.microsoft.com/office/2007/relationships/diagramDrawing" Target="diagrams/drawing4.xml" /></Relationships>
</file>

<file path=word/diagrams/_rels/drawing1.xml.rels><?xml version="1.0" encoding="UTF-8" standalone="yes"?><Relationships xmlns="http://schemas.openxmlformats.org/package/2006/relationships"></Relationships>
</file>

<file path=word/diagrams/_rels/drawing2.xml.rels><?xml version="1.0" encoding="UTF-8" standalone="yes"?><Relationships xmlns="http://schemas.openxmlformats.org/package/2006/relationships"></Relationships>
</file>

<file path=word/diagrams/_rels/drawing3.xml.rels><?xml version="1.0" encoding="UTF-8" standalone="yes"?><Relationships xmlns="http://schemas.openxmlformats.org/package/2006/relationships"></Relationships>
</file>

<file path=word/diagrams/_rels/drawing4.xml.rels><?xml version="1.0" encoding="UTF-8" standalone="yes"?><Relationships xmlns="http://schemas.openxmlformats.org/package/2006/relationships"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 xmlns:r="http://schemas.openxmlformats.org/officeDocument/2006/relationships">
  <dgm:ptLst>
    <dgm:pt modelId="{D2C5CFB1-2EFD-4AAB-8198-3A2080D1FB61}" type="doc">
      <dgm:prSet loTypeId="urn:microsoft.com/office/officeart/2005/8/layout/lProcess3" loCatId="process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C808BE9-4459-4069-80FD-FD1A31AF60AF}">
      <dgm:prSet phldrT="[Текст]" custT="1"/>
      <dgm:spPr/>
      <dgm:t>
        <a:bodyPr/>
        <a:lstStyle/>
        <a:p>
          <a:r>
            <a:rPr lang="ru-RU" sz="1400"/>
            <a:t>Лицевой счет администратора доходов</a:t>
          </a:r>
        </a:p>
      </dgm:t>
    </dgm:pt>
    <dgm:pt modelId="{42665608-178B-425A-9A7D-8ED8BE3C6367}" type="parTrans" cxnId="{F30C8C9E-04EA-4715-8A82-0CBEC438D248}">
      <dgm:prSet/>
      <dgm:spPr/>
      <dgm:t>
        <a:bodyPr/>
        <a:lstStyle/>
        <a:p>
          <a:endParaRPr lang="ru-RU"/>
        </a:p>
      </dgm:t>
    </dgm:pt>
    <dgm:pt modelId="{63B8A1C0-E33A-4281-A3EA-9485C3D13E69}" type="sibTrans" cxnId="{F30C8C9E-04EA-4715-8A82-0CBEC438D248}">
      <dgm:prSet/>
      <dgm:spPr/>
      <dgm:t>
        <a:bodyPr/>
        <a:lstStyle/>
        <a:p>
          <a:endParaRPr lang="ru-RU"/>
        </a:p>
      </dgm:t>
    </dgm:pt>
    <dgm:pt modelId="{C4DE4425-337B-43F1-866E-D448B72A297B}">
      <dgm:prSet phldrT="[Текст]" custT="1"/>
      <dgm:spPr/>
      <dgm:t>
        <a:bodyPr/>
        <a:lstStyle/>
        <a:p>
          <a:r>
            <a:rPr lang="ru-RU" sz="1400"/>
            <a:t>Операции по учету доходов бюджета фонда</a:t>
          </a:r>
        </a:p>
      </dgm:t>
    </dgm:pt>
    <dgm:pt modelId="{59185AB7-D483-42C8-9CBB-436A8FBDF9AA}" type="parTrans" cxnId="{B950D5F1-67EE-419D-8A41-EA2B6972FF10}">
      <dgm:prSet/>
      <dgm:spPr/>
      <dgm:t>
        <a:bodyPr/>
        <a:lstStyle/>
        <a:p>
          <a:endParaRPr lang="ru-RU"/>
        </a:p>
      </dgm:t>
    </dgm:pt>
    <dgm:pt modelId="{A5C04FD1-9739-42F9-A6FC-AD029EDDBCB2}" type="sibTrans" cxnId="{B950D5F1-67EE-419D-8A41-EA2B6972FF10}">
      <dgm:prSet/>
      <dgm:spPr/>
      <dgm:t>
        <a:bodyPr/>
        <a:lstStyle/>
        <a:p>
          <a:endParaRPr lang="ru-RU"/>
        </a:p>
      </dgm:t>
    </dgm:pt>
    <dgm:pt modelId="{40495C3B-EBBF-48F3-94CB-3BC72A8F4166}" type="pres">
      <dgm:prSet presAssocID="{D2C5CFB1-2EFD-4AAB-8198-3A2080D1FB61}" presName="Name0" presStyleCnt="0">
        <dgm:presLayoutVars>
          <dgm:chPref val="3"/>
          <dgm:dir val="norm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B9E73E2-2EA4-41F7-95F5-E7E72F78C676}" type="pres">
      <dgm:prSet presAssocID="{8C808BE9-4459-4069-80FD-FD1A31AF60AF}" presName="horFlow" presStyleCnt="0"/>
      <dgm:spPr/>
    </dgm:pt>
    <dgm:pt modelId="{AE03090D-EC9E-47B7-B38E-C89935BC573D}" type="pres">
      <dgm:prSet custScaleX="180714" custScaleY="133718" presAssocID="{8C808BE9-4459-4069-80FD-FD1A31AF60AF}" presName="bigChev" presStyleLbl="node1" presStyleIdx="0" presStyleCnt="1"/>
      <dgm:spPr/>
      <dgm:t>
        <a:bodyPr/>
        <a:lstStyle/>
        <a:p>
          <a:endParaRPr lang="ru-RU"/>
        </a:p>
      </dgm:t>
    </dgm:pt>
    <dgm:pt modelId="{5C856BA8-C1D8-4921-9246-3271762D4A82}" type="pres">
      <dgm:prSet presAssocID="{59185AB7-D483-42C8-9CBB-436A8FBDF9AA}" presName="parTrans" presStyleCnt="0"/>
      <dgm:spPr/>
    </dgm:pt>
    <dgm:pt modelId="{96A96FE8-D1A7-4047-AA03-EF361C9A40DD}" type="pres">
      <dgm:prSet custLinFactNeighborX="1159" custLinFactNeighborY="-80" custScaleX="221536" custScaleY="160946" presAssocID="{C4DE4425-337B-43F1-866E-D448B72A297B}" presName="node" presStyleLbl="alignAccFollowNode1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13A0E6A-9C3B-4B25-B710-837A3ADCB92C}" type="presOf" srcId="{C4DE4425-337B-43F1-866E-D448B72A297B}" destId="{96A96FE8-D1A7-4047-AA03-EF361C9A40DD}" srcOrd="0" destOrd="0" presId="urn:microsoft.com/office/officeart/2005/8/layout/lProcess3"/>
    <dgm:cxn modelId="{9359CE24-18CC-4466-88AA-5D8CE2BA48D4}" type="presOf" srcId="{8C808BE9-4459-4069-80FD-FD1A31AF60AF}" destId="{AE03090D-EC9E-47B7-B38E-C89935BC573D}" srcOrd="0" destOrd="0" presId="urn:microsoft.com/office/officeart/2005/8/layout/lProcess3"/>
    <dgm:cxn modelId="{97C03DFC-F62A-4906-9B33-B6463B34A278}" type="presOf" srcId="{D2C5CFB1-2EFD-4AAB-8198-3A2080D1FB61}" destId="{40495C3B-EBBF-48F3-94CB-3BC72A8F4166}" srcOrd="0" destOrd="0" presId="urn:microsoft.com/office/officeart/2005/8/layout/lProcess3"/>
    <dgm:cxn modelId="{B950D5F1-67EE-419D-8A41-EA2B6972FF10}" srcId="{8C808BE9-4459-4069-80FD-FD1A31AF60AF}" destId="{C4DE4425-337B-43F1-866E-D448B72A297B}" srcOrd="0" destOrd="0" parTransId="{59185AB7-D483-42C8-9CBB-436A8FBDF9AA}" sibTransId="{A5C04FD1-9739-42F9-A6FC-AD029EDDBCB2}"/>
    <dgm:cxn modelId="{F30C8C9E-04EA-4715-8A82-0CBEC438D248}" srcId="{D2C5CFB1-2EFD-4AAB-8198-3A2080D1FB61}" destId="{8C808BE9-4459-4069-80FD-FD1A31AF60AF}" srcOrd="0" destOrd="0" parTransId="{42665608-178B-425A-9A7D-8ED8BE3C6367}" sibTransId="{63B8A1C0-E33A-4281-A3EA-9485C3D13E69}"/>
    <dgm:cxn modelId="{648B803B-3C3F-471D-86B1-CC1BF11506E2}" type="presParOf" srcId="{40495C3B-EBBF-48F3-94CB-3BC72A8F4166}" destId="{FB9E73E2-2EA4-41F7-95F5-E7E72F78C676}" srcOrd="0" destOrd="0" presId="urn:microsoft.com/office/officeart/2005/8/layout/lProcess3"/>
    <dgm:cxn modelId="{25162FD3-8DC0-4C18-953E-5BFA029EF7BC}" type="presParOf" srcId="{FB9E73E2-2EA4-41F7-95F5-E7E72F78C676}" destId="{AE03090D-EC9E-47B7-B38E-C89935BC573D}" srcOrd="0" destOrd="0" presId="urn:microsoft.com/office/officeart/2005/8/layout/lProcess3"/>
    <dgm:cxn modelId="{B139B51F-36A3-4DCD-A949-0B288FE6B3EC}" type="presParOf" srcId="{FB9E73E2-2EA4-41F7-95F5-E7E72F78C676}" destId="{5C856BA8-C1D8-4921-9246-3271762D4A82}" srcOrd="1" destOrd="0" presId="urn:microsoft.com/office/officeart/2005/8/layout/lProcess3"/>
    <dgm:cxn modelId="{F8221FDD-0CA8-4B58-8222-20766F5FA571}" type="presParOf" srcId="{FB9E73E2-2EA4-41F7-95F5-E7E72F78C676}" destId="{96A96FE8-D1A7-4047-AA03-EF361C9A40DD}" srcOrd="2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 xmlns:r="http://schemas.openxmlformats.org/officeDocument/2006/relationships">
  <dgm:ptLst>
    <dgm:pt modelId="{D2C5CFB1-2EFD-4AAB-8198-3A2080D1FB61}" type="doc">
      <dgm:prSet loTypeId="urn:microsoft.com/office/officeart/2005/8/layout/lProcess3" loCatId="process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C808BE9-4459-4069-80FD-FD1A31AF60AF}">
      <dgm:prSet phldrT="[Текст]" custT="1"/>
      <dgm:spPr/>
      <dgm:t>
        <a:bodyPr/>
        <a:lstStyle/>
        <a:p>
          <a:r>
            <a:rPr lang="ru-RU" sz="1400"/>
            <a:t>Лицевой счет получателя средств </a:t>
          </a:r>
        </a:p>
      </dgm:t>
    </dgm:pt>
    <dgm:pt modelId="{42665608-178B-425A-9A7D-8ED8BE3C6367}" type="parTrans" cxnId="{F30C8C9E-04EA-4715-8A82-0CBEC438D248}">
      <dgm:prSet/>
      <dgm:spPr/>
      <dgm:t>
        <a:bodyPr/>
        <a:lstStyle/>
        <a:p>
          <a:endParaRPr lang="ru-RU"/>
        </a:p>
      </dgm:t>
    </dgm:pt>
    <dgm:pt modelId="{63B8A1C0-E33A-4281-A3EA-9485C3D13E69}" type="sibTrans" cxnId="{F30C8C9E-04EA-4715-8A82-0CBEC438D248}">
      <dgm:prSet/>
      <dgm:spPr/>
      <dgm:t>
        <a:bodyPr/>
        <a:lstStyle/>
        <a:p>
          <a:endParaRPr lang="ru-RU"/>
        </a:p>
      </dgm:t>
    </dgm:pt>
    <dgm:pt modelId="{C4DE4425-337B-43F1-866E-D448B72A297B}">
      <dgm:prSet phldrT="[Текст]" custT="1"/>
      <dgm:spPr/>
      <dgm:t>
        <a:bodyPr/>
        <a:lstStyle/>
        <a:p>
          <a:r>
            <a:rPr lang="ru-RU" sz="1400"/>
            <a:t>  Учет операций по обеспечению расходных обязательств в установленной сфере деятельности</a:t>
          </a:r>
        </a:p>
      </dgm:t>
    </dgm:pt>
    <dgm:pt modelId="{59185AB7-D483-42C8-9CBB-436A8FBDF9AA}" type="parTrans" cxnId="{B950D5F1-67EE-419D-8A41-EA2B6972FF10}">
      <dgm:prSet/>
      <dgm:spPr/>
      <dgm:t>
        <a:bodyPr/>
        <a:lstStyle/>
        <a:p>
          <a:endParaRPr lang="ru-RU"/>
        </a:p>
      </dgm:t>
    </dgm:pt>
    <dgm:pt modelId="{A5C04FD1-9739-42F9-A6FC-AD029EDDBCB2}" type="sibTrans" cxnId="{B950D5F1-67EE-419D-8A41-EA2B6972FF10}">
      <dgm:prSet/>
      <dgm:spPr/>
      <dgm:t>
        <a:bodyPr/>
        <a:lstStyle/>
        <a:p>
          <a:endParaRPr lang="ru-RU"/>
        </a:p>
      </dgm:t>
    </dgm:pt>
    <dgm:pt modelId="{40495C3B-EBBF-48F3-94CB-3BC72A8F4166}" type="pres">
      <dgm:prSet presAssocID="{D2C5CFB1-2EFD-4AAB-8198-3A2080D1FB61}" presName="Name0" presStyleCnt="0">
        <dgm:presLayoutVars>
          <dgm:chPref val="3"/>
          <dgm:dir val="norm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B9E73E2-2EA4-41F7-95F5-E7E72F78C676}" type="pres">
      <dgm:prSet presAssocID="{8C808BE9-4459-4069-80FD-FD1A31AF60AF}" presName="horFlow" presStyleCnt="0"/>
      <dgm:spPr/>
    </dgm:pt>
    <dgm:pt modelId="{AE03090D-EC9E-47B7-B38E-C89935BC573D}" type="pres">
      <dgm:prSet custScaleX="180714" custScaleY="133718" presAssocID="{8C808BE9-4459-4069-80FD-FD1A31AF60AF}" presName="bigChev" presStyleLbl="node1" presStyleIdx="0" presStyleCnt="1"/>
      <dgm:spPr/>
      <dgm:t>
        <a:bodyPr/>
        <a:lstStyle/>
        <a:p>
          <a:endParaRPr lang="ru-RU"/>
        </a:p>
      </dgm:t>
    </dgm:pt>
    <dgm:pt modelId="{5C856BA8-C1D8-4921-9246-3271762D4A82}" type="pres">
      <dgm:prSet presAssocID="{59185AB7-D483-42C8-9CBB-436A8FBDF9AA}" presName="parTrans" presStyleCnt="0"/>
      <dgm:spPr/>
    </dgm:pt>
    <dgm:pt modelId="{96A96FE8-D1A7-4047-AA03-EF361C9A40DD}" type="pres">
      <dgm:prSet custLinFactNeighborX="1159" custLinFactNeighborY="-80" custScaleX="221536" custScaleY="161106" presAssocID="{C4DE4425-337B-43F1-866E-D448B72A297B}" presName="node" presStyleLbl="alignAccFollowNode1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BC9A0EE-BD38-4DD3-A3C0-6AFAA36CE8B7}" type="presOf" srcId="{8C808BE9-4459-4069-80FD-FD1A31AF60AF}" destId="{AE03090D-EC9E-47B7-B38E-C89935BC573D}" srcOrd="0" destOrd="0" presId="urn:microsoft.com/office/officeart/2005/8/layout/lProcess3"/>
    <dgm:cxn modelId="{56F9A512-5E07-4DC0-AE75-8BD09423929A}" type="presOf" srcId="{D2C5CFB1-2EFD-4AAB-8198-3A2080D1FB61}" destId="{40495C3B-EBBF-48F3-94CB-3BC72A8F4166}" srcOrd="0" destOrd="0" presId="urn:microsoft.com/office/officeart/2005/8/layout/lProcess3"/>
    <dgm:cxn modelId="{B950D5F1-67EE-419D-8A41-EA2B6972FF10}" srcId="{8C808BE9-4459-4069-80FD-FD1A31AF60AF}" destId="{C4DE4425-337B-43F1-866E-D448B72A297B}" srcOrd="0" destOrd="0" parTransId="{59185AB7-D483-42C8-9CBB-436A8FBDF9AA}" sibTransId="{A5C04FD1-9739-42F9-A6FC-AD029EDDBCB2}"/>
    <dgm:cxn modelId="{E12C736A-A763-4D7E-A42F-408646B2A1C8}" type="presOf" srcId="{C4DE4425-337B-43F1-866E-D448B72A297B}" destId="{96A96FE8-D1A7-4047-AA03-EF361C9A40DD}" srcOrd="0" destOrd="0" presId="urn:microsoft.com/office/officeart/2005/8/layout/lProcess3"/>
    <dgm:cxn modelId="{F30C8C9E-04EA-4715-8A82-0CBEC438D248}" srcId="{D2C5CFB1-2EFD-4AAB-8198-3A2080D1FB61}" destId="{8C808BE9-4459-4069-80FD-FD1A31AF60AF}" srcOrd="0" destOrd="0" parTransId="{42665608-178B-425A-9A7D-8ED8BE3C6367}" sibTransId="{63B8A1C0-E33A-4281-A3EA-9485C3D13E69}"/>
    <dgm:cxn modelId="{4EC3F93A-DF64-4D2F-A577-95F130C60A65}" type="presParOf" srcId="{40495C3B-EBBF-48F3-94CB-3BC72A8F4166}" destId="{FB9E73E2-2EA4-41F7-95F5-E7E72F78C676}" srcOrd="0" destOrd="0" presId="urn:microsoft.com/office/officeart/2005/8/layout/lProcess3"/>
    <dgm:cxn modelId="{CABEB540-E415-42E1-83E0-05659C86FAFD}" type="presParOf" srcId="{FB9E73E2-2EA4-41F7-95F5-E7E72F78C676}" destId="{AE03090D-EC9E-47B7-B38E-C89935BC573D}" srcOrd="0" destOrd="0" presId="urn:microsoft.com/office/officeart/2005/8/layout/lProcess3"/>
    <dgm:cxn modelId="{5B559D6A-F10D-4EDF-9421-56DF12C0068C}" type="presParOf" srcId="{FB9E73E2-2EA4-41F7-95F5-E7E72F78C676}" destId="{5C856BA8-C1D8-4921-9246-3271762D4A82}" srcOrd="1" destOrd="0" presId="urn:microsoft.com/office/officeart/2005/8/layout/lProcess3"/>
    <dgm:cxn modelId="{8C0BDEEF-6E57-44FB-9561-782798FDE96C}" type="presParOf" srcId="{FB9E73E2-2EA4-41F7-95F5-E7E72F78C676}" destId="{96A96FE8-D1A7-4047-AA03-EF361C9A40DD}" srcOrd="2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 xmlns:r="http://schemas.openxmlformats.org/officeDocument/2006/relationships">
  <dgm:ptLst>
    <dgm:pt modelId="{D2C5CFB1-2EFD-4AAB-8198-3A2080D1FB61}" type="doc">
      <dgm:prSet loTypeId="urn:microsoft.com/office/officeart/2005/8/layout/lProcess3" loCatId="process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C808BE9-4459-4069-80FD-FD1A31AF60AF}">
      <dgm:prSet phldrT="[Текст]" custT="1"/>
      <dgm:spPr/>
      <dgm:t>
        <a:bodyPr/>
        <a:lstStyle/>
        <a:p>
          <a:r>
            <a:rPr lang="ru-RU" sz="1400"/>
            <a:t>Лицевой счет для учета   операций со средствами, поступающими во временное распоряжение   </a:t>
          </a:r>
        </a:p>
      </dgm:t>
    </dgm:pt>
    <dgm:pt modelId="{42665608-178B-425A-9A7D-8ED8BE3C6367}" type="parTrans" cxnId="{F30C8C9E-04EA-4715-8A82-0CBEC438D248}">
      <dgm:prSet/>
      <dgm:spPr/>
      <dgm:t>
        <a:bodyPr/>
        <a:lstStyle/>
        <a:p>
          <a:endParaRPr lang="ru-RU"/>
        </a:p>
      </dgm:t>
    </dgm:pt>
    <dgm:pt modelId="{63B8A1C0-E33A-4281-A3EA-9485C3D13E69}" type="sibTrans" cxnId="{F30C8C9E-04EA-4715-8A82-0CBEC438D248}">
      <dgm:prSet/>
      <dgm:spPr/>
      <dgm:t>
        <a:bodyPr/>
        <a:lstStyle/>
        <a:p>
          <a:endParaRPr lang="ru-RU"/>
        </a:p>
      </dgm:t>
    </dgm:pt>
    <dgm:pt modelId="{C4DE4425-337B-43F1-866E-D448B72A297B}">
      <dgm:prSet phldrT="[Текст]" custT="1"/>
      <dgm:spPr/>
      <dgm:t>
        <a:bodyPr/>
        <a:lstStyle/>
        <a:p>
          <a:pPr algn="ctr"/>
          <a:r>
            <a:rPr lang="ru-RU" sz="1400"/>
            <a:t>Учет денежных средств, поступающих в качестве  обеспечения исполнения контрактов</a:t>
          </a:r>
        </a:p>
      </dgm:t>
    </dgm:pt>
    <dgm:pt modelId="{59185AB7-D483-42C8-9CBB-436A8FBDF9AA}" type="parTrans" cxnId="{B950D5F1-67EE-419D-8A41-EA2B6972FF10}">
      <dgm:prSet/>
      <dgm:spPr/>
      <dgm:t>
        <a:bodyPr/>
        <a:lstStyle/>
        <a:p>
          <a:endParaRPr lang="ru-RU"/>
        </a:p>
      </dgm:t>
    </dgm:pt>
    <dgm:pt modelId="{A5C04FD1-9739-42F9-A6FC-AD029EDDBCB2}" type="sibTrans" cxnId="{B950D5F1-67EE-419D-8A41-EA2B6972FF10}">
      <dgm:prSet/>
      <dgm:spPr/>
      <dgm:t>
        <a:bodyPr/>
        <a:lstStyle/>
        <a:p>
          <a:endParaRPr lang="ru-RU"/>
        </a:p>
      </dgm:t>
    </dgm:pt>
    <dgm:pt modelId="{40495C3B-EBBF-48F3-94CB-3BC72A8F4166}" type="pres">
      <dgm:prSet presAssocID="{D2C5CFB1-2EFD-4AAB-8198-3A2080D1FB61}" presName="Name0" presStyleCnt="0">
        <dgm:presLayoutVars>
          <dgm:chPref val="3"/>
          <dgm:dir val="norm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B9E73E2-2EA4-41F7-95F5-E7E72F78C676}" type="pres">
      <dgm:prSet presAssocID="{8C808BE9-4459-4069-80FD-FD1A31AF60AF}" presName="horFlow" presStyleCnt="0"/>
      <dgm:spPr/>
    </dgm:pt>
    <dgm:pt modelId="{AE03090D-EC9E-47B7-B38E-C89935BC573D}" type="pres">
      <dgm:prSet custScaleX="180714" custScaleY="133718" presAssocID="{8C808BE9-4459-4069-80FD-FD1A31AF60AF}" presName="bigChev" presStyleLbl="node1" presStyleIdx="0" presStyleCnt="1"/>
      <dgm:spPr/>
      <dgm:t>
        <a:bodyPr/>
        <a:lstStyle/>
        <a:p>
          <a:endParaRPr lang="ru-RU"/>
        </a:p>
      </dgm:t>
    </dgm:pt>
    <dgm:pt modelId="{5C856BA8-C1D8-4921-9246-3271762D4A82}" type="pres">
      <dgm:prSet presAssocID="{59185AB7-D483-42C8-9CBB-436A8FBDF9AA}" presName="parTrans" presStyleCnt="0"/>
      <dgm:spPr/>
    </dgm:pt>
    <dgm:pt modelId="{96A96FE8-D1A7-4047-AA03-EF361C9A40DD}" type="pres">
      <dgm:prSet custLinFactNeighborX="1159" custLinFactNeighborY="-80" custScaleX="221536" custScaleY="161106" presAssocID="{C4DE4425-337B-43F1-866E-D448B72A297B}" presName="node" presStyleLbl="alignAccFollowNode1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AA2C639-4C74-4C40-BBB8-09FB9140B353}" type="presOf" srcId="{8C808BE9-4459-4069-80FD-FD1A31AF60AF}" destId="{AE03090D-EC9E-47B7-B38E-C89935BC573D}" srcOrd="0" destOrd="0" presId="urn:microsoft.com/office/officeart/2005/8/layout/lProcess3"/>
    <dgm:cxn modelId="{0B082517-1724-42BA-B89E-49447CD3CFEA}" type="presOf" srcId="{C4DE4425-337B-43F1-866E-D448B72A297B}" destId="{96A96FE8-D1A7-4047-AA03-EF361C9A40DD}" srcOrd="0" destOrd="0" presId="urn:microsoft.com/office/officeart/2005/8/layout/lProcess3"/>
    <dgm:cxn modelId="{B950D5F1-67EE-419D-8A41-EA2B6972FF10}" srcId="{8C808BE9-4459-4069-80FD-FD1A31AF60AF}" destId="{C4DE4425-337B-43F1-866E-D448B72A297B}" srcOrd="0" destOrd="0" parTransId="{59185AB7-D483-42C8-9CBB-436A8FBDF9AA}" sibTransId="{A5C04FD1-9739-42F9-A6FC-AD029EDDBCB2}"/>
    <dgm:cxn modelId="{4A73F126-584C-4368-B76C-B6A6D7166551}" type="presOf" srcId="{D2C5CFB1-2EFD-4AAB-8198-3A2080D1FB61}" destId="{40495C3B-EBBF-48F3-94CB-3BC72A8F4166}" srcOrd="0" destOrd="0" presId="urn:microsoft.com/office/officeart/2005/8/layout/lProcess3"/>
    <dgm:cxn modelId="{F30C8C9E-04EA-4715-8A82-0CBEC438D248}" srcId="{D2C5CFB1-2EFD-4AAB-8198-3A2080D1FB61}" destId="{8C808BE9-4459-4069-80FD-FD1A31AF60AF}" srcOrd="0" destOrd="0" parTransId="{42665608-178B-425A-9A7D-8ED8BE3C6367}" sibTransId="{63B8A1C0-E33A-4281-A3EA-9485C3D13E69}"/>
    <dgm:cxn modelId="{F3C60596-4FA6-43FE-ACEB-97EC44A1B39C}" type="presParOf" srcId="{40495C3B-EBBF-48F3-94CB-3BC72A8F4166}" destId="{FB9E73E2-2EA4-41F7-95F5-E7E72F78C676}" srcOrd="0" destOrd="0" presId="urn:microsoft.com/office/officeart/2005/8/layout/lProcess3"/>
    <dgm:cxn modelId="{D6D66AD3-0B3D-485D-AD33-C23F32AF5A14}" type="presParOf" srcId="{FB9E73E2-2EA4-41F7-95F5-E7E72F78C676}" destId="{AE03090D-EC9E-47B7-B38E-C89935BC573D}" srcOrd="0" destOrd="0" presId="urn:microsoft.com/office/officeart/2005/8/layout/lProcess3"/>
    <dgm:cxn modelId="{564CF597-1919-4C2C-83CB-9A7591CE6620}" type="presParOf" srcId="{FB9E73E2-2EA4-41F7-95F5-E7E72F78C676}" destId="{5C856BA8-C1D8-4921-9246-3271762D4A82}" srcOrd="1" destOrd="0" presId="urn:microsoft.com/office/officeart/2005/8/layout/lProcess3"/>
    <dgm:cxn modelId="{EEFE699A-78F6-47CA-87ED-DA72DCAA8F4B}" type="presParOf" srcId="{FB9E73E2-2EA4-41F7-95F5-E7E72F78C676}" destId="{96A96FE8-D1A7-4047-AA03-EF361C9A40DD}" srcOrd="2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 xmlns:r="http://schemas.openxmlformats.org/officeDocument/2006/relationships">
  <dgm:ptLst>
    <dgm:pt modelId="{D2C5CFB1-2EFD-4AAB-8198-3A2080D1FB61}" type="doc">
      <dgm:prSet loTypeId="urn:microsoft.com/office/officeart/2005/8/layout/lProcess3" loCatId="process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4DE4425-337B-43F1-866E-D448B72A297B}">
      <dgm:prSet phldrT="[Текст]" custT="1"/>
      <dgm:spPr/>
      <dgm:t>
        <a:bodyPr/>
        <a:lstStyle/>
        <a:p>
          <a:r>
            <a:rPr lang="ru-RU" sz="1400"/>
            <a:t>Учет поступлений денежных средств для пенсионных выплат</a:t>
          </a:r>
        </a:p>
      </dgm:t>
    </dgm:pt>
    <dgm:pt modelId="{59185AB7-D483-42C8-9CBB-436A8FBDF9AA}" type="parTrans" cxnId="{B950D5F1-67EE-419D-8A41-EA2B6972FF10}">
      <dgm:prSet/>
      <dgm:spPr/>
      <dgm:t>
        <a:bodyPr/>
        <a:lstStyle/>
        <a:p>
          <a:endParaRPr lang="ru-RU"/>
        </a:p>
      </dgm:t>
    </dgm:pt>
    <dgm:pt modelId="{A5C04FD1-9739-42F9-A6FC-AD029EDDBCB2}" type="sibTrans" cxnId="{B950D5F1-67EE-419D-8A41-EA2B6972FF10}">
      <dgm:prSet/>
      <dgm:spPr/>
      <dgm:t>
        <a:bodyPr/>
        <a:lstStyle/>
        <a:p>
          <a:endParaRPr lang="ru-RU"/>
        </a:p>
      </dgm:t>
    </dgm:pt>
    <dgm:pt modelId="{8C808BE9-4459-4069-80FD-FD1A31AF60AF}">
      <dgm:prSet phldrT="[Текст]" custT="1"/>
      <dgm:spPr/>
      <dgm:t>
        <a:bodyPr/>
        <a:lstStyle/>
        <a:p>
          <a:r>
            <a:rPr lang="ru-RU" sz="1400"/>
            <a:t>Лицевой счет администратора источников внутреннего финансирования дефицита бюджета  </a:t>
          </a:r>
        </a:p>
      </dgm:t>
    </dgm:pt>
    <dgm:pt modelId="{63B8A1C0-E33A-4281-A3EA-9485C3D13E69}" type="sibTrans" cxnId="{F30C8C9E-04EA-4715-8A82-0CBEC438D248}">
      <dgm:prSet/>
      <dgm:spPr/>
      <dgm:t>
        <a:bodyPr/>
        <a:lstStyle/>
        <a:p>
          <a:endParaRPr lang="ru-RU"/>
        </a:p>
      </dgm:t>
    </dgm:pt>
    <dgm:pt modelId="{42665608-178B-425A-9A7D-8ED8BE3C6367}" type="parTrans" cxnId="{F30C8C9E-04EA-4715-8A82-0CBEC438D248}">
      <dgm:prSet/>
      <dgm:spPr/>
      <dgm:t>
        <a:bodyPr/>
        <a:lstStyle/>
        <a:p>
          <a:endParaRPr lang="ru-RU"/>
        </a:p>
      </dgm:t>
    </dgm:pt>
    <dgm:pt modelId="{40495C3B-EBBF-48F3-94CB-3BC72A8F4166}" type="pres">
      <dgm:prSet presAssocID="{D2C5CFB1-2EFD-4AAB-8198-3A2080D1FB61}" presName="Name0" presStyleCnt="0">
        <dgm:presLayoutVars>
          <dgm:chPref val="3"/>
          <dgm:dir val="norm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B9E73E2-2EA4-41F7-95F5-E7E72F78C676}" type="pres">
      <dgm:prSet presAssocID="{8C808BE9-4459-4069-80FD-FD1A31AF60AF}" presName="horFlow" presStyleCnt="0"/>
      <dgm:spPr/>
    </dgm:pt>
    <dgm:pt modelId="{AE03090D-EC9E-47B7-B38E-C89935BC573D}" type="pres">
      <dgm:prSet custScaleX="180714" custScaleY="142163" presAssocID="{8C808BE9-4459-4069-80FD-FD1A31AF60AF}" presName="bigChev" presStyleLbl="node1" presStyleIdx="0" presStyleCnt="1"/>
      <dgm:spPr/>
      <dgm:t>
        <a:bodyPr/>
        <a:lstStyle/>
        <a:p>
          <a:endParaRPr lang="ru-RU"/>
        </a:p>
      </dgm:t>
    </dgm:pt>
    <dgm:pt modelId="{5C856BA8-C1D8-4921-9246-3271762D4A82}" type="pres">
      <dgm:prSet presAssocID="{59185AB7-D483-42C8-9CBB-436A8FBDF9AA}" presName="parTrans" presStyleCnt="0"/>
      <dgm:spPr/>
    </dgm:pt>
    <dgm:pt modelId="{96A96FE8-D1A7-4047-AA03-EF361C9A40DD}" type="pres">
      <dgm:prSet custLinFactNeighborX="1159" custLinFactNeighborY="-80" custScaleX="221536" custScaleY="171121" presAssocID="{C4DE4425-337B-43F1-866E-D448B72A297B}" presName="node" presStyleLbl="alignAccFollowNode1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950D5F1-67EE-419D-8A41-EA2B6972FF10}" srcId="{8C808BE9-4459-4069-80FD-FD1A31AF60AF}" destId="{C4DE4425-337B-43F1-866E-D448B72A297B}" srcOrd="0" destOrd="0" parTransId="{59185AB7-D483-42C8-9CBB-436A8FBDF9AA}" sibTransId="{A5C04FD1-9739-42F9-A6FC-AD029EDDBCB2}"/>
    <dgm:cxn modelId="{F30C8C9E-04EA-4715-8A82-0CBEC438D248}" srcId="{D2C5CFB1-2EFD-4AAB-8198-3A2080D1FB61}" destId="{8C808BE9-4459-4069-80FD-FD1A31AF60AF}" srcOrd="0" destOrd="0" parTransId="{42665608-178B-425A-9A7D-8ED8BE3C6367}" sibTransId="{63B8A1C0-E33A-4281-A3EA-9485C3D13E69}"/>
    <dgm:cxn modelId="{08C34175-3E0B-499B-89E2-2CF98E3EB1D6}" type="presOf" srcId="{D2C5CFB1-2EFD-4AAB-8198-3A2080D1FB61}" destId="{40495C3B-EBBF-48F3-94CB-3BC72A8F4166}" srcOrd="0" destOrd="0" presId="urn:microsoft.com/office/officeart/2005/8/layout/lProcess3"/>
    <dgm:cxn modelId="{07751E47-EA9C-44A4-8A9C-81786426688E}" type="presOf" srcId="{C4DE4425-337B-43F1-866E-D448B72A297B}" destId="{96A96FE8-D1A7-4047-AA03-EF361C9A40DD}" srcOrd="0" destOrd="0" presId="urn:microsoft.com/office/officeart/2005/8/layout/lProcess3"/>
    <dgm:cxn modelId="{69448071-C69C-45A3-8E74-413C34BFE9D8}" type="presOf" srcId="{8C808BE9-4459-4069-80FD-FD1A31AF60AF}" destId="{AE03090D-EC9E-47B7-B38E-C89935BC573D}" srcOrd="0" destOrd="0" presId="urn:microsoft.com/office/officeart/2005/8/layout/lProcess3"/>
    <dgm:cxn modelId="{63AB383C-2838-4086-8836-4125B0094C20}" type="presParOf" srcId="{40495C3B-EBBF-48F3-94CB-3BC72A8F4166}" destId="{FB9E73E2-2EA4-41F7-95F5-E7E72F78C676}" srcOrd="0" destOrd="0" presId="urn:microsoft.com/office/officeart/2005/8/layout/lProcess3"/>
    <dgm:cxn modelId="{9D8F3EAC-2DD1-481F-A509-8843C816B276}" type="presParOf" srcId="{FB9E73E2-2EA4-41F7-95F5-E7E72F78C676}" destId="{AE03090D-EC9E-47B7-B38E-C89935BC573D}" srcOrd="0" destOrd="0" presId="urn:microsoft.com/office/officeart/2005/8/layout/lProcess3"/>
    <dgm:cxn modelId="{B222F283-A209-49ED-88D3-BDFDB29BA774}" type="presParOf" srcId="{FB9E73E2-2EA4-41F7-95F5-E7E72F78C676}" destId="{5C856BA8-C1D8-4921-9246-3271762D4A82}" srcOrd="1" destOrd="0" presId="urn:microsoft.com/office/officeart/2005/8/layout/lProcess3"/>
    <dgm:cxn modelId="{0E090B19-933A-47B1-BBC9-35A9D7F05AD0}" type="presParOf" srcId="{FB9E73E2-2EA4-41F7-95F5-E7E72F78C676}" destId="{96A96FE8-D1A7-4047-AA03-EF361C9A40DD}" srcOrd="2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1" minVer="http://schemas.openxmlformats.org/drawingml/2006/diagram"/>
    </a:ext>
  </dgm:extLst>
</dgm:dataModel>
</file>

<file path=word/diagrams/drawing1.xml><?xml version="1.0" encoding="utf-8"?>
<dsp:drawing xmlns:dsp="http://schemas.microsoft.com/office/drawing/2008/diagram" xmlns:dgm="http://schemas.openxmlformats.org/drawingml/2006/diagram" xmlns:a="http://schemas.openxmlformats.org/drawingml/2006/main" xmlns:r="http://schemas.openxmlformats.org/officeDocument/2006/relationships">
  <dsp:spTree>
    <dsp:nvGrpSpPr>
      <dsp:cNvPr id="0" name=""/>
      <dsp:cNvGrpSpPr/>
    </dsp:nvGrpSpPr>
    <dsp:grpSpPr/>
    <dsp:sp modelId="{AE03090D-EC9E-47B7-B38E-C89935BC573D}">
      <dsp:nvSpPr>
        <dsp:cNvPr id="0" name=""/>
        <dsp:cNvSpPr/>
      </dsp:nvSpPr>
      <dsp:spPr>
        <a:xfrm>
          <a:off x="2541" y="0"/>
          <a:ext cx="3050719" cy="902943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rgbClr val="000000"/>
        </a:lnRef>
        <a:fillRef idx="3">
          <a:srgbClr val="000000"/>
        </a:fillRef>
        <a:effectRef idx="2">
          <a:srgbClr val="000000"/>
        </a:effectRef>
        <a:fontRef idx="minor">
          <a:schemeClr val="lt1"/>
        </a:fontRef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Лицевой счет администратора доходов</a:t>
          </a:r>
        </a:p>
      </dsp:txBody>
      <dsp:txXfrm>
        <a:off x="454013" y="0"/>
        <a:ext cx="2147776" cy="902943"/>
      </dsp:txXfrm>
    </dsp:sp>
    <dsp:sp modelId="{96A96FE8-D1A7-4047-AA03-EF361C9A40DD}">
      <dsp:nvSpPr>
        <dsp:cNvPr id="0" name=""/>
        <dsp:cNvSpPr/>
      </dsp:nvSpPr>
      <dsp:spPr>
        <a:xfrm>
          <a:off x="2836344" y="0"/>
          <a:ext cx="3104080" cy="902046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rgbClr val="000000"/>
        </a:lnRef>
        <a:fillRef idx="1">
          <a:srgbClr val="000000"/>
        </a:fillRef>
        <a:effectRef idx="0">
          <a:srgbClr val="000000"/>
        </a:effectRef>
        <a:fontRef idx="minor"/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Операции по учету доходов бюджета фонда</a:t>
          </a:r>
        </a:p>
      </dsp:txBody>
      <dsp:txXfrm>
        <a:off x="3287367" y="0"/>
        <a:ext cx="2202034" cy="902046"/>
      </dsp:txXfrm>
    </dsp:sp>
  </dsp:spTree>
</dsp:drawing>
</file>

<file path=word/diagrams/drawing2.xml><?xml version="1.0" encoding="utf-8"?>
<dsp:drawing xmlns:dsp="http://schemas.microsoft.com/office/drawing/2008/diagram" xmlns:dgm="http://schemas.openxmlformats.org/drawingml/2006/diagram" xmlns:a="http://schemas.openxmlformats.org/drawingml/2006/main" xmlns:r="http://schemas.openxmlformats.org/officeDocument/2006/relationships">
  <dsp:spTree>
    <dsp:nvGrpSpPr>
      <dsp:cNvPr id="0" name=""/>
      <dsp:cNvGrpSpPr/>
    </dsp:nvGrpSpPr>
    <dsp:grpSpPr/>
    <dsp:sp modelId="{AE03090D-EC9E-47B7-B38E-C89935BC573D}">
      <dsp:nvSpPr>
        <dsp:cNvPr id="0" name=""/>
        <dsp:cNvSpPr/>
      </dsp:nvSpPr>
      <dsp:spPr>
        <a:xfrm>
          <a:off x="2541" y="0"/>
          <a:ext cx="3050719" cy="902943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rgbClr val="000000"/>
        </a:lnRef>
        <a:fillRef idx="3">
          <a:srgbClr val="000000"/>
        </a:fillRef>
        <a:effectRef idx="2">
          <a:srgbClr val="000000"/>
        </a:effectRef>
        <a:fontRef idx="minor">
          <a:schemeClr val="lt1"/>
        </a:fontRef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Лицевой счет получателя средств </a:t>
          </a:r>
        </a:p>
      </dsp:txBody>
      <dsp:txXfrm>
        <a:off x="454013" y="0"/>
        <a:ext cx="2147776" cy="902943"/>
      </dsp:txXfrm>
    </dsp:sp>
    <dsp:sp modelId="{96A96FE8-D1A7-4047-AA03-EF361C9A40DD}">
      <dsp:nvSpPr>
        <dsp:cNvPr id="0" name=""/>
        <dsp:cNvSpPr/>
      </dsp:nvSpPr>
      <dsp:spPr>
        <a:xfrm>
          <a:off x="2836344" y="0"/>
          <a:ext cx="3104080" cy="902943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rgbClr val="000000"/>
        </a:lnRef>
        <a:fillRef idx="1">
          <a:srgbClr val="000000"/>
        </a:fillRef>
        <a:effectRef idx="0">
          <a:srgbClr val="000000"/>
        </a:effectRef>
        <a:fontRef idx="minor"/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  Учет операций по обеспечению расходных обязательств в установленной сфере деятельности</a:t>
          </a:r>
        </a:p>
      </dsp:txBody>
      <dsp:txXfrm>
        <a:off x="3287816" y="0"/>
        <a:ext cx="2201137" cy="902943"/>
      </dsp:txXfrm>
    </dsp:sp>
  </dsp:spTree>
</dsp:drawing>
</file>

<file path=word/diagrams/drawing3.xml><?xml version="1.0" encoding="utf-8"?>
<dsp:drawing xmlns:dsp="http://schemas.microsoft.com/office/drawing/2008/diagram" xmlns:dgm="http://schemas.openxmlformats.org/drawingml/2006/diagram" xmlns:a="http://schemas.openxmlformats.org/drawingml/2006/main" xmlns:r="http://schemas.openxmlformats.org/officeDocument/2006/relationships">
  <dsp:spTree>
    <dsp:nvGrpSpPr>
      <dsp:cNvPr id="0" name=""/>
      <dsp:cNvGrpSpPr/>
    </dsp:nvGrpSpPr>
    <dsp:grpSpPr/>
    <dsp:sp modelId="{AE03090D-EC9E-47B7-B38E-C89935BC573D}">
      <dsp:nvSpPr>
        <dsp:cNvPr id="0" name=""/>
        <dsp:cNvSpPr/>
      </dsp:nvSpPr>
      <dsp:spPr>
        <a:xfrm>
          <a:off x="2541" y="0"/>
          <a:ext cx="3050719" cy="902943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rgbClr val="000000"/>
        </a:lnRef>
        <a:fillRef idx="3">
          <a:srgbClr val="000000"/>
        </a:fillRef>
        <a:effectRef idx="2">
          <a:srgbClr val="000000"/>
        </a:effectRef>
        <a:fontRef idx="minor">
          <a:schemeClr val="lt1"/>
        </a:fontRef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Лицевой счет для учета   операций со средствами, поступающими во временное распоряжение   </a:t>
          </a:r>
        </a:p>
      </dsp:txBody>
      <dsp:txXfrm>
        <a:off x="454013" y="0"/>
        <a:ext cx="2147776" cy="902943"/>
      </dsp:txXfrm>
    </dsp:sp>
    <dsp:sp modelId="{96A96FE8-D1A7-4047-AA03-EF361C9A40DD}">
      <dsp:nvSpPr>
        <dsp:cNvPr id="0" name=""/>
        <dsp:cNvSpPr/>
      </dsp:nvSpPr>
      <dsp:spPr>
        <a:xfrm>
          <a:off x="2836344" y="0"/>
          <a:ext cx="3104080" cy="902943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rgbClr val="000000"/>
        </a:lnRef>
        <a:fillRef idx="1">
          <a:srgbClr val="000000"/>
        </a:fillRef>
        <a:effectRef idx="0">
          <a:srgbClr val="000000"/>
        </a:effectRef>
        <a:fontRef idx="minor"/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Учет денежных средств, поступающих в качестве  обеспечения исполнения контрактов</a:t>
          </a:r>
        </a:p>
      </dsp:txBody>
      <dsp:txXfrm>
        <a:off x="3287816" y="0"/>
        <a:ext cx="2201137" cy="902943"/>
      </dsp:txXfrm>
    </dsp:sp>
  </dsp:spTree>
</dsp:drawing>
</file>

<file path=word/diagrams/drawing4.xml><?xml version="1.0" encoding="utf-8"?>
<dsp:drawing xmlns:dsp="http://schemas.microsoft.com/office/drawing/2008/diagram" xmlns:dgm="http://schemas.openxmlformats.org/drawingml/2006/diagram" xmlns:a="http://schemas.openxmlformats.org/drawingml/2006/main" xmlns:r="http://schemas.openxmlformats.org/officeDocument/2006/relationships">
  <dsp:spTree>
    <dsp:nvGrpSpPr>
      <dsp:cNvPr id="0" name=""/>
      <dsp:cNvGrpSpPr/>
    </dsp:nvGrpSpPr>
    <dsp:grpSpPr/>
    <dsp:sp modelId="{AE03090D-EC9E-47B7-B38E-C89935BC573D}">
      <dsp:nvSpPr>
        <dsp:cNvPr id="0" name=""/>
        <dsp:cNvSpPr/>
      </dsp:nvSpPr>
      <dsp:spPr>
        <a:xfrm>
          <a:off x="2547" y="104776"/>
          <a:ext cx="3057242" cy="962021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rgbClr val="000000"/>
        </a:lnRef>
        <a:fillRef idx="3">
          <a:srgbClr val="000000"/>
        </a:fillRef>
        <a:effectRef idx="2">
          <a:srgbClr val="000000"/>
        </a:effectRef>
        <a:fontRef idx="minor">
          <a:schemeClr val="lt1"/>
        </a:fontRef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Лицевой счет администратора источников внутреннего финансирования дефицита бюджета  </a:t>
          </a:r>
        </a:p>
      </dsp:txBody>
      <dsp:txXfrm>
        <a:off x="483558" y="104776"/>
        <a:ext cx="2095221" cy="962021"/>
      </dsp:txXfrm>
    </dsp:sp>
    <dsp:sp modelId="{96A96FE8-D1A7-4047-AA03-EF361C9A40DD}">
      <dsp:nvSpPr>
        <dsp:cNvPr id="0" name=""/>
        <dsp:cNvSpPr/>
      </dsp:nvSpPr>
      <dsp:spPr>
        <a:xfrm>
          <a:off x="2842408" y="104776"/>
          <a:ext cx="3110716" cy="961124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rgbClr val="000000"/>
        </a:lnRef>
        <a:fillRef idx="1">
          <a:srgbClr val="000000"/>
        </a:fillRef>
        <a:effectRef idx="0">
          <a:srgbClr val="000000"/>
        </a:effectRef>
        <a:fontRef idx="minor"/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Учет поступлений денежных средств для пенсионных выплат</a:t>
          </a:r>
        </a:p>
      </dsp:txBody>
      <dsp:txXfrm>
        <a:off x="3322970" y="104776"/>
        <a:ext cx="2149592" cy="9611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xmlns:r="http://schemas.openxmlformats.org/officeDocument/2006/relationships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 val="norm"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r:blip="">
      <dgm:adjLst/>
    </dgm:shape>
    <dgm:presOf/>
    <dgm:constrLst>
      <dgm:constr type="w" for="des" forName="bigChev" refType="w"/>
      <dgm:constr type="h" for="des" forName="bigChev" refType="w" refFor="des" refForName="bigChev" op="equ" fact="0.400000"/>
      <dgm:constr type="w" for="des" forName="node" refType="w" refFor="des" refForName="bigChev" fact="0.830000"/>
      <dgm:constr type="h" for="des" forName="node" refType="w" refFor="des" refForName="node" op="equ" fact="0.400000"/>
      <dgm:constr type="w" for="des" forName="parTrans" refType="w" refFor="des" refForName="bigChev" op="equ" fact="-0.130000"/>
      <dgm:constr type="w" for="des" forName="sibTrans" refType="w" refFor="des" refForName="node" op="equ" fact="-0.140000"/>
      <dgm:constr type="h" for="ch" forName="vSp" refType="h" refFor="des" refForName="bigChev" op="equ" fact="0.140000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00000"/>
                <dgm:constr type="tMarg" refType="primFontSz" fact="0.050000"/>
                <dgm:constr type="bMarg" refType="primFontSz" fact="0.050000"/>
              </dgm:constrLst>
            </dgm:if>
            <dgm:else name="Name10">
              <dgm:shape rot="180.00000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00000"/>
                <dgm:constr type="tMarg" refType="primFontSz" fact="0.050000"/>
                <dgm:constr type="bMarg" refType="primFontSz" fact="0.050000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00000"/>
                  <dgm:constr type="tMarg" refType="primFontSz" fact="0.050000"/>
                  <dgm:constr type="bMarg" refType="primFontSz" fact="0.050000"/>
                </dgm:constrLst>
              </dgm:if>
              <dgm:else name="Name14">
                <dgm:shape rot="180.00000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00000"/>
                  <dgm:constr type="tMarg" refType="primFontSz" fact="0.050000"/>
                  <dgm:constr type="bMarg" refType="primFontSz" fact="0.050000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xmlns:r="http://schemas.openxmlformats.org/officeDocument/2006/relationships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 val="norm"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r:blip="">
      <dgm:adjLst/>
    </dgm:shape>
    <dgm:presOf/>
    <dgm:constrLst>
      <dgm:constr type="w" for="des" forName="bigChev" refType="w"/>
      <dgm:constr type="h" for="des" forName="bigChev" refType="w" refFor="des" refForName="bigChev" op="equ" fact="0.400000"/>
      <dgm:constr type="w" for="des" forName="node" refType="w" refFor="des" refForName="bigChev" fact="0.830000"/>
      <dgm:constr type="h" for="des" forName="node" refType="w" refFor="des" refForName="node" op="equ" fact="0.400000"/>
      <dgm:constr type="w" for="des" forName="parTrans" refType="w" refFor="des" refForName="bigChev" op="equ" fact="-0.130000"/>
      <dgm:constr type="w" for="des" forName="sibTrans" refType="w" refFor="des" refForName="node" op="equ" fact="-0.140000"/>
      <dgm:constr type="h" for="ch" forName="vSp" refType="h" refFor="des" refForName="bigChev" op="equ" fact="0.140000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00000"/>
                <dgm:constr type="tMarg" refType="primFontSz" fact="0.050000"/>
                <dgm:constr type="bMarg" refType="primFontSz" fact="0.050000"/>
              </dgm:constrLst>
            </dgm:if>
            <dgm:else name="Name10">
              <dgm:shape rot="180.00000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00000"/>
                <dgm:constr type="tMarg" refType="primFontSz" fact="0.050000"/>
                <dgm:constr type="bMarg" refType="primFontSz" fact="0.050000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00000"/>
                  <dgm:constr type="tMarg" refType="primFontSz" fact="0.050000"/>
                  <dgm:constr type="bMarg" refType="primFontSz" fact="0.050000"/>
                </dgm:constrLst>
              </dgm:if>
              <dgm:else name="Name14">
                <dgm:shape rot="180.00000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00000"/>
                  <dgm:constr type="tMarg" refType="primFontSz" fact="0.050000"/>
                  <dgm:constr type="bMarg" refType="primFontSz" fact="0.050000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xmlns:r="http://schemas.openxmlformats.org/officeDocument/2006/relationships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 val="norm"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r:blip="">
      <dgm:adjLst/>
    </dgm:shape>
    <dgm:presOf/>
    <dgm:constrLst>
      <dgm:constr type="w" for="des" forName="bigChev" refType="w"/>
      <dgm:constr type="h" for="des" forName="bigChev" refType="w" refFor="des" refForName="bigChev" op="equ" fact="0.400000"/>
      <dgm:constr type="w" for="des" forName="node" refType="w" refFor="des" refForName="bigChev" fact="0.830000"/>
      <dgm:constr type="h" for="des" forName="node" refType="w" refFor="des" refForName="node" op="equ" fact="0.400000"/>
      <dgm:constr type="w" for="des" forName="parTrans" refType="w" refFor="des" refForName="bigChev" op="equ" fact="-0.130000"/>
      <dgm:constr type="w" for="des" forName="sibTrans" refType="w" refFor="des" refForName="node" op="equ" fact="-0.140000"/>
      <dgm:constr type="h" for="ch" forName="vSp" refType="h" refFor="des" refForName="bigChev" op="equ" fact="0.140000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00000"/>
                <dgm:constr type="tMarg" refType="primFontSz" fact="0.050000"/>
                <dgm:constr type="bMarg" refType="primFontSz" fact="0.050000"/>
              </dgm:constrLst>
            </dgm:if>
            <dgm:else name="Name10">
              <dgm:shape rot="180.00000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00000"/>
                <dgm:constr type="tMarg" refType="primFontSz" fact="0.050000"/>
                <dgm:constr type="bMarg" refType="primFontSz" fact="0.050000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00000"/>
                  <dgm:constr type="tMarg" refType="primFontSz" fact="0.050000"/>
                  <dgm:constr type="bMarg" refType="primFontSz" fact="0.050000"/>
                </dgm:constrLst>
              </dgm:if>
              <dgm:else name="Name14">
                <dgm:shape rot="180.00000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00000"/>
                  <dgm:constr type="tMarg" refType="primFontSz" fact="0.050000"/>
                  <dgm:constr type="bMarg" refType="primFontSz" fact="0.050000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xmlns:r="http://schemas.openxmlformats.org/officeDocument/2006/relationships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 val="norm"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r:blip="">
      <dgm:adjLst/>
    </dgm:shape>
    <dgm:presOf/>
    <dgm:constrLst>
      <dgm:constr type="w" for="des" forName="bigChev" refType="w"/>
      <dgm:constr type="h" for="des" forName="bigChev" refType="w" refFor="des" refForName="bigChev" op="equ" fact="0.400000"/>
      <dgm:constr type="w" for="des" forName="node" refType="w" refFor="des" refForName="bigChev" fact="0.830000"/>
      <dgm:constr type="h" for="des" forName="node" refType="w" refFor="des" refForName="node" op="equ" fact="0.400000"/>
      <dgm:constr type="w" for="des" forName="parTrans" refType="w" refFor="des" refForName="bigChev" op="equ" fact="-0.130000"/>
      <dgm:constr type="w" for="des" forName="sibTrans" refType="w" refFor="des" refForName="node" op="equ" fact="-0.140000"/>
      <dgm:constr type="h" for="ch" forName="vSp" refType="h" refFor="des" refForName="bigChev" op="equ" fact="0.140000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00000"/>
                <dgm:constr type="tMarg" refType="primFontSz" fact="0.050000"/>
                <dgm:constr type="bMarg" refType="primFontSz" fact="0.050000"/>
              </dgm:constrLst>
            </dgm:if>
            <dgm:else name="Name10">
              <dgm:shape rot="180.00000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00000"/>
                <dgm:constr type="tMarg" refType="primFontSz" fact="0.050000"/>
                <dgm:constr type="bMarg" refType="primFontSz" fact="0.050000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00000"/>
                  <dgm:constr type="tMarg" refType="primFontSz" fact="0.050000"/>
                  <dgm:constr type="bMarg" refType="primFontSz" fact="0.050000"/>
                </dgm:constrLst>
              </dgm:if>
              <dgm:else name="Name14">
                <dgm:shape rot="180.00000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00000"/>
                  <dgm:constr type="tMarg" refType="primFontSz" fact="0.050000"/>
                  <dgm:constr type="bMarg" refType="primFontSz" fact="0.050000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0">
        <a:srgbClr val="00000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bgImgPlace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sibTrans2D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callout">
    <dgm:scene3d>
      <a:camera prst="orthographicFront"/>
      <a:lightRig rig="threePt" dir="t"/>
    </dgm:scene3d>
    <dgm:sp3d/>
    <dgm:txPr>
      <a:bodyPr/>
    </dgm:txPr>
    <dgm:style>
      <a:lnRef idx="2">
        <a:srgbClr val="000000"/>
      </a:lnRef>
      <a:fillRef idx="1">
        <a:srgbClr val="000000"/>
      </a:fillRef>
      <a:effectRef idx="1">
        <a:srgbClr val="000000"/>
      </a:effectRef>
      <a:fontRef idx="minor"/>
    </dgm:style>
  </dgm:styleLbl>
  <dgm:styleLbl name="asst0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fg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conFg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trAlign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Fg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Bg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0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2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3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4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Shp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dkBgShp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trBgShp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Shp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/>
    </dgm:style>
  </dgm:styleLbl>
  <dgm:styleLbl name="revTx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0">
        <a:srgbClr val="00000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bgImgPlace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sibTrans2D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callout">
    <dgm:scene3d>
      <a:camera prst="orthographicFront"/>
      <a:lightRig rig="threePt" dir="t"/>
    </dgm:scene3d>
    <dgm:sp3d/>
    <dgm:txPr>
      <a:bodyPr/>
    </dgm:txPr>
    <dgm:style>
      <a:lnRef idx="2">
        <a:srgbClr val="000000"/>
      </a:lnRef>
      <a:fillRef idx="1">
        <a:srgbClr val="000000"/>
      </a:fillRef>
      <a:effectRef idx="1">
        <a:srgbClr val="000000"/>
      </a:effectRef>
      <a:fontRef idx="minor"/>
    </dgm:style>
  </dgm:styleLbl>
  <dgm:styleLbl name="asst0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fg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conFg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trAlign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Fg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Bg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0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2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3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4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Shp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dkBgShp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trBgShp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Shp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/>
    </dgm:style>
  </dgm:styleLbl>
  <dgm:styleLbl name="revTx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0">
        <a:srgbClr val="00000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bgImgPlace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sibTrans2D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callout">
    <dgm:scene3d>
      <a:camera prst="orthographicFront"/>
      <a:lightRig rig="threePt" dir="t"/>
    </dgm:scene3d>
    <dgm:sp3d/>
    <dgm:txPr>
      <a:bodyPr/>
    </dgm:txPr>
    <dgm:style>
      <a:lnRef idx="2">
        <a:srgbClr val="000000"/>
      </a:lnRef>
      <a:fillRef idx="1">
        <a:srgbClr val="000000"/>
      </a:fillRef>
      <a:effectRef idx="1">
        <a:srgbClr val="000000"/>
      </a:effectRef>
      <a:fontRef idx="minor"/>
    </dgm:style>
  </dgm:styleLbl>
  <dgm:styleLbl name="asst0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fg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conFg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trAlign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Fg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Bg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0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2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3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4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Shp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dkBgShp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trBgShp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Shp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/>
    </dgm:style>
  </dgm:styleLbl>
  <dgm:styleLbl name="revTx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0">
        <a:srgbClr val="00000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bgImgPlace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sibTrans2D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callout">
    <dgm:scene3d>
      <a:camera prst="orthographicFront"/>
      <a:lightRig rig="threePt" dir="t"/>
    </dgm:scene3d>
    <dgm:sp3d/>
    <dgm:txPr>
      <a:bodyPr/>
    </dgm:txPr>
    <dgm:style>
      <a:lnRef idx="2">
        <a:srgbClr val="000000"/>
      </a:lnRef>
      <a:fillRef idx="1">
        <a:srgbClr val="000000"/>
      </a:fillRef>
      <a:effectRef idx="1">
        <a:srgbClr val="000000"/>
      </a:effectRef>
      <a:fontRef idx="minor"/>
    </dgm:style>
  </dgm:styleLbl>
  <dgm:styleLbl name="asst0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fg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conFg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trAlign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Fg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BgAcc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0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2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3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4">
    <dgm:scene3d>
      <a:camera prst="orthographicFront"/>
      <a:lightRig rig="threePt" dir="t"/>
    </dgm:scene3d>
    <dgm:sp3d/>
    <dgm:txPr>
      <a:bodyPr/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Shp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dkBgShp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trBgShp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Shp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/>
    </dgm:style>
  </dgm:styleLbl>
  <dgm:styleLbl name="revTx">
    <dgm:scene3d>
      <a:camera prst="orthographicFront"/>
      <a:lightRig rig="threePt" dir="t"/>
    </dgm:scene3d>
    <dgm:sp3d/>
    <dgm:txPr>
      <a:bodyPr/>
    </dgm:txPr>
    <dgm:style>
      <a:lnRef idx="0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</dgm:styleDef>
</file>

<file path=word/embeddings/_rels/Microsoft_Excel_Worksheet1.xlsx.rels><?xml version="1.0" encoding="UTF-8" standalone="yes"?><Relationships xmlns="http://schemas.openxmlformats.org/package/2006/relationships"></Relationships>
</file>

<file path=word/embeddings/_rels/Microsoft_Excel_Worksheet2.xlsx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 xmlns:r="http://schemas.openxmlformats.org/officeDocument/2006/relationships" xmlns:p="http://schemas.openxmlformats.org/presentation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Arial"/>
      <a:cs typeface="Arial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Arial"/>
      <a:cs typeface="Arial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DE69B-12D4-4BF8-AEFE-A5B2A1DEB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12066</Characters>
  <CharactersWithSpaces>14154</CharactersWithSpaces>
  <Company/>
  <DocSecurity>0</DocSecurity>
  <HyperlinksChanged>false</HyperlinksChanged>
  <Lines>100</Lines>
  <LinksUpToDate>false</LinksUpToDate>
  <Pages>8</Pages>
  <Paragraphs>28</Paragraphs>
  <ScaleCrop>false</ScaleCrop>
  <SharedDoc>false</SharedDoc>
  <Template>Normal</Template>
  <TotalTime>30</TotalTime>
  <Words>2116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Марина Валентиновна</dc:creator>
  <cp:lastModifiedBy>Кононова Марина Валентиновна</cp:lastModifiedBy>
  <cp:revision>5</cp:revision>
  <cp:lastPrinted>2023-11-03T08:29:00Z</cp:lastPrinted>
  <dcterms:created xsi:type="dcterms:W3CDTF">2023-11-03T08:13:00Z</dcterms:created>
  <dcterms:modified xsi:type="dcterms:W3CDTF">2023-11-03T08:38:00Z</dcterms:modified>
</cp:coreProperties>
</file>