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drawings/drawing4.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drawings/drawing5.xml" ContentType="application/vnd.openxmlformats-officedocument.drawingml.chartshapes+xml"/>
  <Override PartName="/word/charts/chart30.xml" ContentType="application/vnd.openxmlformats-officedocument.drawingml.chart+xml"/>
  <Override PartName="/word/drawings/drawing6.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header2.xml" ContentType="application/vnd.openxmlformats-officedocument.wordprocessingml.header+xml"/>
  <Override PartName="/word/charts/chart35.xml" ContentType="application/vnd.openxmlformats-officedocument.drawingml.chart+xml"/>
  <Override PartName="/word/drawings/drawing7.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drawings/drawing8.xml" ContentType="application/vnd.openxmlformats-officedocument.drawingml.chartshapes+xml"/>
  <Override PartName="/word/charts/chart39.xml" ContentType="application/vnd.openxmlformats-officedocument.drawingml.chart+xml"/>
  <Override PartName="/word/theme/themeOverride23.xml" ContentType="application/vnd.openxmlformats-officedocument.themeOverride+xml"/>
  <Override PartName="/word/charts/chart40.xml" ContentType="application/vnd.openxmlformats-officedocument.drawingml.chart+xml"/>
  <Override PartName="/word/theme/themeOverride24.xml" ContentType="application/vnd.openxmlformats-officedocument.themeOverride+xml"/>
  <Override PartName="/word/charts/chart41.xml" ContentType="application/vnd.openxmlformats-officedocument.drawingml.chart+xml"/>
  <Override PartName="/word/theme/themeOverride25.xml" ContentType="application/vnd.openxmlformats-officedocument.themeOverride+xml"/>
  <Override PartName="/word/charts/chart42.xml" ContentType="application/vnd.openxmlformats-officedocument.drawingml.chart+xml"/>
  <Override PartName="/word/theme/themeOverride26.xml" ContentType="application/vnd.openxmlformats-officedocument.themeOverrid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theme/themeOverride27.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theme/themeOverride28.xml" ContentType="application/vnd.openxmlformats-officedocument.themeOverride+xml"/>
  <Override PartName="/word/charts/chart51.xml" ContentType="application/vnd.openxmlformats-officedocument.drawingml.chart+xml"/>
  <Override PartName="/word/theme/themeOverride29.xml" ContentType="application/vnd.openxmlformats-officedocument.themeOverride+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theme/themeOverride3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21"/>
        <w:tabs>
          <w:tab w:val="left" w:pos="284"/>
          <w:tab w:val="left" w:pos="993"/>
          <w:tab w:val="left" w:pos="1276"/>
        </w:tabs>
        <w:spacing w:after="0" w:line="240" w:lineRule="atLeast"/>
        <w:ind w:left="5103"/>
        <w:jc w:val="center"/>
        <w:rPr>
          <w:color w:val="000000" w:themeColor="text1"/>
          <w:sz w:val="28"/>
          <w:szCs w:val="28"/>
        </w:rPr>
      </w:pPr>
      <w:bookmarkStart w:id="0" w:name="_GoBack"/>
      <w:bookmarkEnd w:id="0"/>
      <w:r>
        <w:rPr>
          <w:color w:val="000000" w:themeColor="text1"/>
          <w:sz w:val="28"/>
          <w:szCs w:val="28"/>
        </w:rPr>
        <w:t>Одобрен</w:t>
      </w:r>
    </w:p>
    <w:p>
      <w:pPr>
        <w:pStyle w:val="21"/>
        <w:tabs>
          <w:tab w:val="left" w:pos="284"/>
          <w:tab w:val="left" w:pos="993"/>
          <w:tab w:val="left" w:pos="1276"/>
        </w:tabs>
        <w:spacing w:after="0" w:line="240" w:lineRule="atLeast"/>
        <w:ind w:left="5103"/>
        <w:jc w:val="center"/>
        <w:rPr>
          <w:color w:val="000000" w:themeColor="text1"/>
          <w:sz w:val="28"/>
          <w:szCs w:val="28"/>
        </w:rPr>
      </w:pPr>
      <w:r>
        <w:rPr>
          <w:color w:val="000000" w:themeColor="text1"/>
          <w:sz w:val="28"/>
          <w:szCs w:val="28"/>
        </w:rPr>
        <w:t>протоколом расширенного заседания Коллегии</w:t>
      </w:r>
    </w:p>
    <w:p>
      <w:pPr>
        <w:pStyle w:val="21"/>
        <w:tabs>
          <w:tab w:val="left" w:pos="284"/>
          <w:tab w:val="left" w:pos="993"/>
          <w:tab w:val="left" w:pos="1276"/>
        </w:tabs>
        <w:spacing w:after="0" w:line="240" w:lineRule="atLeast"/>
        <w:ind w:left="5103"/>
        <w:jc w:val="center"/>
        <w:rPr>
          <w:color w:val="000000" w:themeColor="text1"/>
          <w:sz w:val="28"/>
          <w:szCs w:val="28"/>
        </w:rPr>
      </w:pPr>
      <w:r>
        <w:rPr>
          <w:color w:val="000000" w:themeColor="text1"/>
          <w:sz w:val="28"/>
          <w:szCs w:val="28"/>
        </w:rPr>
        <w:t>Федерального казначейства</w:t>
      </w:r>
    </w:p>
    <w:p>
      <w:pPr>
        <w:pStyle w:val="21"/>
        <w:tabs>
          <w:tab w:val="left" w:pos="284"/>
          <w:tab w:val="left" w:pos="993"/>
          <w:tab w:val="left" w:pos="1276"/>
        </w:tabs>
        <w:spacing w:line="240" w:lineRule="atLeast"/>
        <w:ind w:left="5103"/>
        <w:jc w:val="center"/>
        <w:rPr>
          <w:color w:val="000000" w:themeColor="text1"/>
          <w:sz w:val="28"/>
          <w:szCs w:val="28"/>
        </w:rPr>
      </w:pPr>
      <w:r>
        <w:rPr>
          <w:color w:val="000000" w:themeColor="text1"/>
          <w:sz w:val="28"/>
          <w:szCs w:val="28"/>
        </w:rPr>
        <w:t>от «14» марта 2017 г. № 1</w:t>
      </w:r>
    </w:p>
    <w:p>
      <w:pPr>
        <w:spacing w:before="2280" w:after="360"/>
        <w:jc w:val="center"/>
        <w:rPr>
          <w:rFonts w:ascii="Times New Roman" w:hAnsi="Times New Roman"/>
          <w:b/>
          <w:color w:val="000000" w:themeColor="text1"/>
          <w:sz w:val="28"/>
          <w:szCs w:val="28"/>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54656" behindDoc="0" locked="0" layoutInCell="1" allowOverlap="1">
                <wp:simplePos x="0" y="0"/>
                <wp:positionH relativeFrom="page">
                  <wp:posOffset>976630</wp:posOffset>
                </wp:positionH>
                <wp:positionV relativeFrom="paragraph">
                  <wp:posOffset>139065</wp:posOffset>
                </wp:positionV>
                <wp:extent cx="5777865" cy="0"/>
                <wp:effectExtent l="5080" t="5715" r="8255" b="13335"/>
                <wp:wrapTopAndBottom/>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7865" cy="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6.9pt,10.95pt" to="531.8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39EwIAACg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KAdRop0&#10;INGzUBxNQmd64woIqNTWhtroSb2aZ02/O6R01RK155Hh29lAWhYykncpYeMM4O/6L5pBDDl4Hdt0&#10;amwXIKEB6BTVON/U4CePKBxO5/P5YjbFiA6+hBRDorHOf+a6Q8EosQTOEZgcn50PREgxhIR7lN4I&#10;KaPYUqG+xA+LLI0JTkvBgjOEObvfVdKiIwnjEr9YFXjuw6w+KBbBWk7Y+mp7IuTFhsulCnhQCtC5&#10;Wpd5+PGYPq4X60U+yiez9ShP63r0aVPlo9kmm0/rh7qq6uxnoJblRSsY4yqwG2Yzy/9O++sruUzV&#10;bTpvbUjeo8d+AdnhH0lHLYN8l0HYaXbe2kFjGMcYfH06Yd7v92DfP/DVLwAAAP//AwBQSwMEFAAG&#10;AAgAAAAhAIEZ37nfAAAACgEAAA8AAABkcnMvZG93bnJldi54bWxMj8FOwzAQRO9I/IO1SNyo0wZS&#10;msapKhAcuJEiqt628ZJEjddR7Cbh73HFAY6zM5p5m20m04qBetdYVjCfRSCIS6sbrhR87F7uHkE4&#10;j6yxtUwKvsnBJr++yjDVduR3GgpfiVDCLkUFtfddKqUrazLoZrYjDt6X7Q36IPtK6h7HUG5auYii&#10;RBpsOCzU2NFTTeWpOBsFh9My2b4N4/i8ey3s/t7p+HO/Uur2ZtquQXia/F8YLvgBHfLAdLRn1k60&#10;QT/EAd0rWMxXIC6BKImXII6/F5ln8v8L+Q8AAAD//wMAUEsBAi0AFAAGAAgAAAAhALaDOJL+AAAA&#10;4QEAABMAAAAAAAAAAAAAAAAAAAAAAFtDb250ZW50X1R5cGVzXS54bWxQSwECLQAUAAYACAAAACEA&#10;OP0h/9YAAACUAQAACwAAAAAAAAAAAAAAAAAvAQAAX3JlbHMvLnJlbHNQSwECLQAUAAYACAAAACEA&#10;YgJt/RMCAAAoBAAADgAAAAAAAAAAAAAAAAAuAgAAZHJzL2Uyb0RvYy54bWxQSwECLQAUAAYACAAA&#10;ACEAgRnfud8AAAAKAQAADwAAAAAAAAAAAAAAAABtBAAAZHJzL2Rvd25yZXYueG1sUEsFBgAAAAAE&#10;AAQA8wAAAHkFAAAAAA==&#10;" strokeweight=".3pt">
                <w10:wrap type="topAndBottom" anchorx="page"/>
              </v:line>
            </w:pict>
          </mc:Fallback>
        </mc:AlternateContent>
      </w:r>
      <w:r>
        <w:rPr>
          <w:rFonts w:ascii="Times New Roman" w:hAnsi="Times New Roman"/>
          <w:b/>
          <w:color w:val="000000" w:themeColor="text1"/>
          <w:sz w:val="28"/>
          <w:szCs w:val="28"/>
        </w:rPr>
        <w:t>ФЕДЕРАЛЬНОЕ КАЗНАЧЕЙСТВО</w:t>
      </w:r>
    </w:p>
    <w:p>
      <w:pPr>
        <w:ind w:left="1080" w:firstLine="720"/>
        <w:rPr>
          <w:rFonts w:ascii="Times New Roman" w:hAnsi="Times New Roman"/>
          <w:color w:val="000000" w:themeColor="text1"/>
          <w:sz w:val="28"/>
          <w:szCs w:val="28"/>
        </w:rPr>
      </w:pPr>
    </w:p>
    <w:p>
      <w:pPr>
        <w:ind w:left="1080" w:firstLine="720"/>
        <w:rPr>
          <w:rFonts w:ascii="Times New Roman" w:hAnsi="Times New Roman"/>
          <w:color w:val="000000" w:themeColor="text1"/>
          <w:sz w:val="28"/>
          <w:szCs w:val="28"/>
        </w:rPr>
      </w:pPr>
    </w:p>
    <w:p>
      <w:pPr>
        <w:ind w:left="1080" w:firstLine="720"/>
        <w:rPr>
          <w:rFonts w:ascii="Times New Roman" w:hAnsi="Times New Roman"/>
          <w:color w:val="000000" w:themeColor="text1"/>
          <w:sz w:val="28"/>
          <w:szCs w:val="28"/>
        </w:rPr>
      </w:pPr>
    </w:p>
    <w:p>
      <w:pPr>
        <w:pStyle w:val="21"/>
        <w:spacing w:before="120" w:after="0" w:line="240" w:lineRule="atLeast"/>
        <w:jc w:val="center"/>
        <w:rPr>
          <w:b/>
          <w:color w:val="000000" w:themeColor="text1"/>
          <w:sz w:val="28"/>
          <w:szCs w:val="28"/>
        </w:rPr>
      </w:pPr>
      <w:r>
        <w:rPr>
          <w:b/>
          <w:color w:val="000000" w:themeColor="text1"/>
          <w:sz w:val="28"/>
          <w:szCs w:val="28"/>
        </w:rPr>
        <w:t>ИТОГОВЫЙ ДОКЛАД О РЕЗУЛЬТАТАХ ДЕЯТЕЛЬНОСТИ ФЕДЕРАЛЬНОГО КАЗНАЧЕЙСТВА ЗА 2016 ГОД И ОСНОВНЫХ НАПРАВЛЕНИЯХ ДЕЯТЕЛЬНОСТИ НА СРЕДНЕСРОЧНУЮ ПЕРСПЕКТИВУ</w:t>
      </w:r>
    </w:p>
    <w:p>
      <w:pPr>
        <w:rPr>
          <w:rFonts w:ascii="Times New Roman" w:hAnsi="Times New Roman"/>
          <w:b/>
          <w:color w:val="000000" w:themeColor="text1"/>
          <w:sz w:val="28"/>
          <w:szCs w:val="28"/>
        </w:rPr>
      </w:pPr>
      <w:r>
        <w:rPr>
          <w:rFonts w:ascii="Times New Roman" w:hAnsi="Times New Roman"/>
          <w:b/>
          <w:color w:val="000000" w:themeColor="text1"/>
          <w:sz w:val="28"/>
          <w:szCs w:val="28"/>
        </w:rPr>
        <w:br w:type="page"/>
      </w:r>
    </w:p>
    <w:p>
      <w:pPr>
        <w:spacing w:after="0" w:line="360" w:lineRule="atLeast"/>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Огла</w:t>
      </w:r>
      <w:r>
        <w:rPr>
          <w:rFonts w:ascii="Times New Roman" w:hAnsi="Times New Roman"/>
          <w:b/>
          <w:color w:val="000000" w:themeColor="text1"/>
          <w:sz w:val="28"/>
          <w:szCs w:val="28"/>
          <w:lang w:eastAsia="ru-RU"/>
        </w:rPr>
        <w:t>в</w:t>
      </w:r>
      <w:r>
        <w:rPr>
          <w:rFonts w:ascii="Times New Roman" w:hAnsi="Times New Roman"/>
          <w:b/>
          <w:color w:val="000000" w:themeColor="text1"/>
          <w:sz w:val="28"/>
          <w:szCs w:val="28"/>
        </w:rPr>
        <w:t>ление</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lang w:val="en-US"/>
        </w:rPr>
        <w:t>I</w:t>
      </w:r>
      <w:r>
        <w:rPr>
          <w:rFonts w:ascii="Times New Roman" w:hAnsi="Times New Roman"/>
          <w:b/>
          <w:color w:val="000000" w:themeColor="text1"/>
          <w:sz w:val="28"/>
          <w:szCs w:val="28"/>
        </w:rPr>
        <w:t>.</w:t>
      </w:r>
      <w:r>
        <w:rPr>
          <w:rFonts w:ascii="Times New Roman" w:hAnsi="Times New Roman"/>
          <w:b/>
          <w:color w:val="000000" w:themeColor="text1"/>
          <w:sz w:val="28"/>
          <w:szCs w:val="28"/>
          <w:lang w:val="en-US"/>
        </w:rPr>
        <w:t> </w:t>
      </w:r>
      <w:r>
        <w:rPr>
          <w:rFonts w:ascii="Times New Roman" w:hAnsi="Times New Roman"/>
          <w:b/>
          <w:color w:val="000000" w:themeColor="text1"/>
          <w:sz w:val="28"/>
          <w:szCs w:val="28"/>
        </w:rPr>
        <w:t>Общая информация о Федеральном казначействе, его деятельности и руководстве…………………………………………………..7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Общие положения…………….…………………………………………..7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Основные функции и полномочия, возложенные на Федеральное казначейство…………………………………………………………………...…7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Структура и характеристика органов Федерального казначейства...........................................................................................................7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Основные параметры и показатели деятельности Федерального казначейства в 2016 году………………………………………………………12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Краткая информация о государственных программах Российской Федерации, в реализации которых принимает участие Федеральное казначейство………………………………………………………………….…23</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lang w:val="en-US"/>
        </w:rPr>
        <w:t>II</w:t>
      </w:r>
      <w:r>
        <w:rPr>
          <w:rFonts w:ascii="Times New Roman" w:hAnsi="Times New Roman"/>
          <w:b/>
          <w:color w:val="000000" w:themeColor="text1"/>
          <w:sz w:val="28"/>
          <w:szCs w:val="28"/>
        </w:rPr>
        <w:t>.</w:t>
      </w:r>
      <w:r>
        <w:rPr>
          <w:rFonts w:ascii="Times New Roman" w:hAnsi="Times New Roman"/>
          <w:b/>
          <w:color w:val="000000" w:themeColor="text1"/>
          <w:sz w:val="28"/>
          <w:szCs w:val="28"/>
          <w:lang w:val="en-US"/>
        </w:rPr>
        <w:t> </w:t>
      </w:r>
      <w:r>
        <w:rPr>
          <w:rFonts w:ascii="Times New Roman" w:hAnsi="Times New Roman"/>
          <w:b/>
          <w:color w:val="000000" w:themeColor="text1"/>
          <w:sz w:val="28"/>
          <w:szCs w:val="28"/>
        </w:rPr>
        <w:t>Основные результаты деятельности Федерального казначейства за 2016 год……………………….….………………..………..23</w:t>
      </w:r>
    </w:p>
    <w:p>
      <w:pPr>
        <w:spacing w:after="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Общие положения…………….………………………………………23</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 Исполнение платежных функций, управление ликвидностью…………………………………………………………………27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1.1. Кассовое обслуживание исполнения бюджетов бюджетной системы Российской Федерации и учет операций со средствами неучастников бюджетного процесса…………………………………………27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1.2. Казначейское сопровождение средств, предоставляемых </w:t>
      </w:r>
      <w:r>
        <w:rPr>
          <w:rFonts w:ascii="Times New Roman" w:hAnsi="Times New Roman"/>
          <w:color w:val="000000" w:themeColor="text1"/>
          <w:sz w:val="28"/>
          <w:szCs w:val="28"/>
        </w:rPr>
        <w:br/>
        <w:t>из бюджета……………………………………………………………………...82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1.3. Повышение эффективности процессов управления финансовыми ресурсами Российской Федерации……………………………………………87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1.4. Обеспечение функционирования системы казначейских платежей………………………………………………………………………...98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1.5.</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Создание платежных сервисов и развитие Государственной информационной системы о государственных и муниципальных платежах (ГИС ГМП)…………………………………………………………………….101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1.6.</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Обеспечение организации исполнения судебных актов, решений налоговых органов и обеспечение опытного внедрения организации исполнения электронного исполнительного документа……………………107</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 Исполнение учетных функций………………………………...…117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2.1. Обеспечение прозрачности и доступности информации </w:t>
      </w:r>
      <w:r>
        <w:rPr>
          <w:rFonts w:ascii="Times New Roman" w:hAnsi="Times New Roman"/>
          <w:color w:val="000000" w:themeColor="text1"/>
          <w:sz w:val="28"/>
          <w:szCs w:val="28"/>
        </w:rPr>
        <w:br/>
        <w:t>о государственном секторе и общественных финансах……………………117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2.2. Создание условий по обеспечению централизации ведения учета </w:t>
      </w:r>
      <w:r>
        <w:rPr>
          <w:rFonts w:ascii="Times New Roman" w:hAnsi="Times New Roman"/>
          <w:color w:val="000000" w:themeColor="text1"/>
          <w:sz w:val="28"/>
          <w:szCs w:val="28"/>
        </w:rPr>
        <w:br/>
        <w:t>по исполнению бюджетов публично-правовых образований в органах Федерального казначейства…………………………………………………..174</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 Исполнение контрольных функций……………………………..175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3.1. Осуществление и совершенствование функций по контролю </w:t>
      </w:r>
      <w:r>
        <w:rPr>
          <w:rFonts w:ascii="Times New Roman" w:hAnsi="Times New Roman"/>
          <w:color w:val="000000" w:themeColor="text1"/>
          <w:sz w:val="28"/>
          <w:szCs w:val="28"/>
        </w:rPr>
        <w:br/>
        <w:t>в финансово-бюджетной сфере………………………………………………175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3.2. Осуществление и совершенствование функций по внешнему контролю качества работы аудиторских организаций……………………..213</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 Информационные системы……………..………………………...224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4.1. Создание и развитие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казначейство…………………………………………………...224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4.2. Создание и развитие второй очереди программно-аппаратного комплекса государственной интегрированной информационной системы управления общественными финансами «Электронный бюджет»………..247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4.3. Обеспечение функционирования и развитие единого портала бюджетной системы Российской Федерации (</w:t>
      </w:r>
      <w:r>
        <w:rPr>
          <w:rFonts w:ascii="Times New Roman" w:hAnsi="Times New Roman"/>
          <w:color w:val="000000" w:themeColor="text1"/>
          <w:sz w:val="28"/>
          <w:szCs w:val="28"/>
          <w:lang w:val="en-US"/>
        </w:rPr>
        <w:t>www</w:t>
      </w:r>
      <w:r>
        <w:rPr>
          <w:rFonts w:ascii="Times New Roman" w:hAnsi="Times New Roman"/>
          <w:color w:val="000000" w:themeColor="text1"/>
          <w:sz w:val="28"/>
          <w:szCs w:val="28"/>
        </w:rPr>
        <w:t>.</w:t>
      </w:r>
      <w:r>
        <w:rPr>
          <w:rFonts w:ascii="Times New Roman" w:hAnsi="Times New Roman"/>
          <w:color w:val="000000" w:themeColor="text1"/>
          <w:sz w:val="28"/>
          <w:szCs w:val="28"/>
          <w:lang w:val="en-US"/>
        </w:rPr>
        <w:t>budget</w:t>
      </w:r>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gov</w:t>
      </w:r>
      <w:proofErr w:type="spellEnd"/>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ru</w:t>
      </w:r>
      <w:proofErr w:type="spellEnd"/>
      <w:r>
        <w:rPr>
          <w:rFonts w:ascii="Times New Roman" w:hAnsi="Times New Roman"/>
          <w:color w:val="000000" w:themeColor="text1"/>
          <w:sz w:val="28"/>
          <w:szCs w:val="28"/>
        </w:rPr>
        <w:t>)..............248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4.4. Участие Федерального казначейства в контрактной системе…………………………………………………………………………250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4.5. Развитие государственной автоматизированной информационной системы «Управление» (ГАС «Управление»)…………………...………….272</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 Иная деятельность Федерального казначейства………………278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5.1. Создание (развитие) правовых, технологических </w:t>
      </w:r>
      <w:r>
        <w:rPr>
          <w:rFonts w:ascii="Times New Roman" w:hAnsi="Times New Roman"/>
          <w:color w:val="000000" w:themeColor="text1"/>
          <w:sz w:val="28"/>
          <w:szCs w:val="28"/>
        </w:rPr>
        <w:br/>
        <w:t>и организационных основ систематизации и кодирования технико-экономической и социальной информации в социально-экономической области…………………………………………………………………………278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5.2. Повышение информационной открытости деятельности Федерального казначейства…………………………………………………..279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5.3. Формирование комплексной системы государственного менеджмента в Федеральном казначействе…………………………………280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5.4. Обеспечение функционирования и развитие информационных систем и технологий Федерального казначейства…………………….……300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5.5. Совершенствование деятельности Федерального казначейства………………………………………………………………...…340</w:t>
      </w:r>
    </w:p>
    <w:p>
      <w:pPr>
        <w:spacing w:after="0" w:line="360" w:lineRule="atLeast"/>
        <w:ind w:firstLine="709"/>
        <w:jc w:val="both"/>
        <w:rPr>
          <w:rFonts w:ascii="Times New Roman" w:hAnsi="Times New Roman"/>
          <w:color w:val="000000" w:themeColor="text1"/>
          <w:sz w:val="28"/>
          <w:szCs w:val="28"/>
        </w:rPr>
      </w:pP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lang w:val="en-US"/>
        </w:rPr>
        <w:lastRenderedPageBreak/>
        <w:t>III</w:t>
      </w:r>
      <w:r>
        <w:rPr>
          <w:rFonts w:ascii="Times New Roman" w:hAnsi="Times New Roman"/>
          <w:b/>
          <w:color w:val="000000" w:themeColor="text1"/>
          <w:sz w:val="28"/>
          <w:szCs w:val="28"/>
        </w:rPr>
        <w:t>.</w:t>
      </w:r>
      <w:r>
        <w:rPr>
          <w:rFonts w:ascii="Times New Roman" w:hAnsi="Times New Roman"/>
          <w:b/>
          <w:color w:val="000000" w:themeColor="text1"/>
          <w:sz w:val="28"/>
          <w:szCs w:val="28"/>
          <w:lang w:val="en-US"/>
        </w:rPr>
        <w:t> </w:t>
      </w:r>
      <w:r>
        <w:rPr>
          <w:rFonts w:ascii="Times New Roman" w:hAnsi="Times New Roman"/>
          <w:b/>
          <w:color w:val="000000" w:themeColor="text1"/>
          <w:sz w:val="28"/>
          <w:szCs w:val="28"/>
        </w:rPr>
        <w:t>Основные направления деятельности Федерального казначейства на среднесрочную перспективу…………………………...362</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 Исполнение платежных функций, управление ликвидностью………………………………………………………………...362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1.1.</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Кассовое обслуживание исполнения бюджетов бюджетной системы Российской Федерации, учет операций со средствами </w:t>
      </w:r>
      <w:proofErr w:type="spellStart"/>
      <w:r>
        <w:rPr>
          <w:rFonts w:ascii="Times New Roman" w:hAnsi="Times New Roman"/>
          <w:color w:val="000000" w:themeColor="text1"/>
          <w:sz w:val="28"/>
          <w:szCs w:val="28"/>
        </w:rPr>
        <w:t>неучастников</w:t>
      </w:r>
      <w:proofErr w:type="spellEnd"/>
      <w:r>
        <w:rPr>
          <w:rFonts w:ascii="Times New Roman" w:hAnsi="Times New Roman"/>
          <w:color w:val="000000" w:themeColor="text1"/>
          <w:sz w:val="28"/>
          <w:szCs w:val="28"/>
        </w:rPr>
        <w:t xml:space="preserve"> бюджетного процесса…………………………………………………………362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1.2. Казначейское сопровождение средств, предоставляемых </w:t>
      </w:r>
      <w:r>
        <w:rPr>
          <w:rFonts w:ascii="Times New Roman" w:hAnsi="Times New Roman"/>
          <w:color w:val="000000" w:themeColor="text1"/>
          <w:sz w:val="28"/>
          <w:szCs w:val="28"/>
        </w:rPr>
        <w:br/>
        <w:t>из бюджета…………………………………………………………………….365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1.3. Повышение эффективности процессов управления финансовыми ресурсами Российской Федерации…………………………………………..367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1.4.</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Обеспечение функционирования системы казначейских платежей………………………………………………………………………368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1.5. Создание платежных сервисов и развитие Государственной информационной системы о государственных и муниципальных платежах (ГИС ГМП)…………………………………………………………………….369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1.6. Обеспечение организации исполнения судебных актов, решений налоговых органов и обеспечение внедрения организации исполнения электронного исполнительного документа………………………………….372</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 Исполнение учетных функций…………………………………...374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2.1.</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Обеспечение прозрачности и доступности информации </w:t>
      </w:r>
      <w:r>
        <w:rPr>
          <w:rFonts w:ascii="Times New Roman" w:hAnsi="Times New Roman"/>
          <w:color w:val="000000" w:themeColor="text1"/>
          <w:sz w:val="28"/>
          <w:szCs w:val="28"/>
        </w:rPr>
        <w:br/>
        <w:t>о государственном секторе и общественных финансах……………………374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2.2.</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Создание условий по обеспечению централизации ведения учета </w:t>
      </w:r>
      <w:r>
        <w:rPr>
          <w:rFonts w:ascii="Times New Roman" w:hAnsi="Times New Roman"/>
          <w:color w:val="000000" w:themeColor="text1"/>
          <w:sz w:val="28"/>
          <w:szCs w:val="28"/>
        </w:rPr>
        <w:br/>
        <w:t>по исполнению бюджетов публично-правовых образований в органах Федерального казначейства…………………………………………………..377</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 Исполнение контрольных функций……………………………..378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3.1. Осуществление и совершенствование функций по контролю </w:t>
      </w:r>
      <w:r>
        <w:rPr>
          <w:rFonts w:ascii="Times New Roman" w:hAnsi="Times New Roman"/>
          <w:color w:val="000000" w:themeColor="text1"/>
          <w:sz w:val="28"/>
          <w:szCs w:val="28"/>
        </w:rPr>
        <w:br/>
        <w:t>в финансово-бюджетной сфере………………………………………………378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3.2. Организация и проведение анализа осуществления главными администраторами средств федерального бюджета внутреннего финансового контроля и внутреннего финансового аудита……………….383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3.3. Организация и проведение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администраций)…….384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3.4. Осуществление и совершенствование функций по внешнему контролю качества работы аудиторских организаций…………………….384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3.5. Осуществление досудебного рассмотрения жалоб……………..387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3.6. Производство по делам об административных правонарушениях……………………………………………………………..388</w:t>
      </w:r>
    </w:p>
    <w:p>
      <w:pPr>
        <w:spacing w:before="120" w:after="120" w:line="360" w:lineRule="atLeast"/>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4. Информационные системы……………..………………………...389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4.1. Создание и развитие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казначейство…………………………………………………...389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4.2. Создание и развитие программно-аппаратного комплекса государственной интегрированной информационной системы управления общественными финансами «Электронный бюджет»……………………...392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4.3. Обеспечение функционирования и развитие единого портала бюджетной системы Российской Федерации (</w:t>
      </w:r>
      <w:r>
        <w:rPr>
          <w:rFonts w:ascii="Times New Roman" w:hAnsi="Times New Roman"/>
          <w:color w:val="000000" w:themeColor="text1"/>
          <w:sz w:val="28"/>
          <w:szCs w:val="28"/>
          <w:lang w:val="en-US"/>
        </w:rPr>
        <w:t>www</w:t>
      </w:r>
      <w:r>
        <w:rPr>
          <w:rFonts w:ascii="Times New Roman" w:hAnsi="Times New Roman"/>
          <w:color w:val="000000" w:themeColor="text1"/>
          <w:sz w:val="28"/>
          <w:szCs w:val="28"/>
        </w:rPr>
        <w:t>.</w:t>
      </w:r>
      <w:r>
        <w:rPr>
          <w:rFonts w:ascii="Times New Roman" w:hAnsi="Times New Roman"/>
          <w:color w:val="000000" w:themeColor="text1"/>
          <w:sz w:val="28"/>
          <w:szCs w:val="28"/>
          <w:lang w:val="en-US"/>
        </w:rPr>
        <w:t>budget</w:t>
      </w:r>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gov</w:t>
      </w:r>
      <w:proofErr w:type="spellEnd"/>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ru</w:t>
      </w:r>
      <w:proofErr w:type="spellEnd"/>
      <w:r>
        <w:rPr>
          <w:rFonts w:ascii="Times New Roman" w:hAnsi="Times New Roman"/>
          <w:color w:val="000000" w:themeColor="text1"/>
          <w:sz w:val="28"/>
          <w:szCs w:val="28"/>
        </w:rPr>
        <w:t>)..............393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4.4. Участие Федерального казначейства в контрактной системе…………………………………………………………………………393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4.5. Развитие государственной автоматизированной информационной системы «Управление» (ГАС «Управление»)…………………...………….397</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 Иная деятельность Федерального казначейства………………399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5.1.</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Повышение информационной открытости деятельности Федерального казначейства…………………………………………………..399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5.2. Формирование комплексной системы государственного менеджмента в Федеральном казначействе…………………………………400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5.3.</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Обеспечение функционирования и развитие информационных систем и технологий Федерального казначейства………………………….405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5.4.</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Совершенствование деятельности Федерального казначейства…………………………………………………………………...410</w:t>
      </w:r>
    </w:p>
    <w:p>
      <w:pPr>
        <w:spacing w:before="24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lang w:val="en-US"/>
        </w:rPr>
        <w:t>IV</w:t>
      </w:r>
      <w:r>
        <w:rPr>
          <w:rFonts w:ascii="Times New Roman" w:hAnsi="Times New Roman"/>
          <w:b/>
          <w:color w:val="000000" w:themeColor="text1"/>
          <w:sz w:val="28"/>
          <w:szCs w:val="28"/>
        </w:rPr>
        <w:t>.</w:t>
      </w:r>
      <w:r>
        <w:rPr>
          <w:rFonts w:ascii="Times New Roman" w:hAnsi="Times New Roman"/>
          <w:b/>
          <w:color w:val="000000" w:themeColor="text1"/>
          <w:sz w:val="28"/>
          <w:szCs w:val="28"/>
          <w:lang w:val="en-US"/>
        </w:rPr>
        <w:t> </w:t>
      </w:r>
      <w:r>
        <w:rPr>
          <w:rFonts w:ascii="Times New Roman" w:hAnsi="Times New Roman"/>
          <w:b/>
          <w:color w:val="000000" w:themeColor="text1"/>
          <w:sz w:val="28"/>
          <w:szCs w:val="28"/>
        </w:rPr>
        <w:t>Приложения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Приложение 1. Информация о выполнении Основных мероприятий на 2016 год по реализации Стратегической карты Казначейства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Приложение 2. Отчет о деятельности Общественного совета </w:t>
      </w:r>
      <w:r>
        <w:rPr>
          <w:rFonts w:ascii="Times New Roman" w:hAnsi="Times New Roman"/>
          <w:color w:val="000000" w:themeColor="text1"/>
          <w:sz w:val="28"/>
          <w:szCs w:val="28"/>
        </w:rPr>
        <w:br/>
        <w:t>при Федеральном казначействе.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Приложение 3. Отчет о проведенных Федеральным казначейством государственных закупках за отчетный период.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Приложение 4. Информация о ходе реализации и оценке эффективности государственной программы Российской Федерации «Управление государственными финансами и регулирование финансовых рынков».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5.</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Приложение 5. Оценка результатов реализации мер правового регулирования государственной программы Российской Федерации «Управление государственными финансами и регулирование финансовых рынков».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6.</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Приложение 6. Отчет об использовании бюджетных ассигнований федерального бюджета на реализацию государственной программы Российской Федерации «Управление государственными финансами </w:t>
      </w:r>
      <w:r>
        <w:rPr>
          <w:rFonts w:ascii="Times New Roman" w:hAnsi="Times New Roman"/>
          <w:color w:val="000000" w:themeColor="text1"/>
          <w:sz w:val="28"/>
          <w:szCs w:val="28"/>
        </w:rPr>
        <w:br/>
        <w:t>и регулирование финансовых рынков».</w:t>
      </w:r>
    </w:p>
    <w:p>
      <w:pPr>
        <w:pStyle w:val="21"/>
        <w:pageBreakBefore/>
        <w:tabs>
          <w:tab w:val="left" w:pos="284"/>
          <w:tab w:val="left" w:pos="993"/>
          <w:tab w:val="left" w:pos="1276"/>
        </w:tabs>
        <w:spacing w:before="240" w:line="240" w:lineRule="auto"/>
        <w:ind w:firstLine="709"/>
        <w:jc w:val="both"/>
        <w:rPr>
          <w:b/>
          <w:color w:val="000000" w:themeColor="text1"/>
          <w:sz w:val="28"/>
          <w:szCs w:val="28"/>
        </w:rPr>
      </w:pPr>
      <w:r>
        <w:rPr>
          <w:b/>
          <w:color w:val="000000" w:themeColor="text1"/>
          <w:sz w:val="28"/>
          <w:szCs w:val="28"/>
          <w:lang w:val="en-US"/>
        </w:rPr>
        <w:lastRenderedPageBreak/>
        <w:t>I</w:t>
      </w:r>
      <w:r>
        <w:rPr>
          <w:b/>
          <w:color w:val="000000" w:themeColor="text1"/>
          <w:sz w:val="28"/>
          <w:szCs w:val="28"/>
        </w:rPr>
        <w:t xml:space="preserve">. Общая информация о Федеральном казначействе, </w:t>
      </w:r>
      <w:r>
        <w:rPr>
          <w:b/>
          <w:color w:val="000000" w:themeColor="text1"/>
          <w:sz w:val="28"/>
          <w:szCs w:val="28"/>
        </w:rPr>
        <w:br/>
        <w:t>его деятельности и руководстве</w:t>
      </w:r>
    </w:p>
    <w:p>
      <w:pPr>
        <w:pStyle w:val="21"/>
        <w:tabs>
          <w:tab w:val="left" w:pos="284"/>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Общие положения</w:t>
      </w:r>
    </w:p>
    <w:p>
      <w:pPr>
        <w:pStyle w:val="21"/>
        <w:tabs>
          <w:tab w:val="left" w:pos="284"/>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Основные функции и полномочия, возложенные на Федеральное казначейство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Федеральное казначейство (Казначейство России) находится </w:t>
      </w:r>
      <w:r>
        <w:rPr>
          <w:rFonts w:ascii="Times New Roman" w:hAnsi="Times New Roman"/>
          <w:color w:val="000000" w:themeColor="text1"/>
          <w:sz w:val="28"/>
          <w:szCs w:val="28"/>
        </w:rPr>
        <w:br/>
        <w:t>в ведении Министерства финансов Российской Федерации и в соответствии с постановлением Правительства Российской Федерации от 1 декабря 2004</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г. № 703 «О Федеральном казначействе» является федеральным органом исполнительной власти (федеральной службой), осуществляющим в соответствии с законодательством Российской Федерации правоприменительные функции по обеспечению исполнения федерального бюджета, кассовому обслуживанию исполнения бюджетов бюджетной системы Российской Федерации, предварительному и текущему контролю за ведением операций со средствами федерального бюджета главными распорядителями, распорядителями и получателями средств федерального бюджета, контролю и надзору в финансово-бюджетной сфере.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продолжена работа по унификации и систематизации функций и полномочий, возложенных на Федеральное казначейство, </w:t>
      </w:r>
      <w:r>
        <w:rPr>
          <w:rFonts w:ascii="Times New Roman" w:hAnsi="Times New Roman"/>
          <w:color w:val="000000" w:themeColor="text1"/>
          <w:sz w:val="28"/>
          <w:szCs w:val="28"/>
        </w:rPr>
        <w:br/>
        <w:t>в соответствии с изменяющимися реалиями деятельности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Итогами проделанной работы стало обновление 24 августа 2016 года Перечня функций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Актуальная версия Перечня функций Федерального казначейства размещена на официальном сайте Федерального казначейства</w:t>
      </w:r>
      <w:r>
        <w:rPr>
          <w:rFonts w:ascii="Times New Roman" w:hAnsi="Times New Roman"/>
          <w:color w:val="000000" w:themeColor="text1"/>
          <w:sz w:val="28"/>
          <w:szCs w:val="28"/>
        </w:rPr>
        <w:br/>
        <w:t>в информационно-телекоммуникационной сети «Интернет» (www.roskazna.ru) (далее – Официальный сайт www.roskazna.ru).</w:t>
      </w:r>
    </w:p>
    <w:p>
      <w:pPr>
        <w:pStyle w:val="21"/>
        <w:tabs>
          <w:tab w:val="left" w:pos="284"/>
          <w:tab w:val="left" w:pos="993"/>
          <w:tab w:val="left" w:pos="1276"/>
        </w:tabs>
        <w:spacing w:before="240" w:line="240" w:lineRule="auto"/>
        <w:ind w:firstLine="709"/>
        <w:jc w:val="both"/>
        <w:rPr>
          <w:b/>
          <w:color w:val="000000" w:themeColor="text1"/>
          <w:sz w:val="28"/>
          <w:szCs w:val="28"/>
        </w:rPr>
      </w:pPr>
      <w:r>
        <w:rPr>
          <w:b/>
          <w:color w:val="000000" w:themeColor="text1"/>
          <w:sz w:val="28"/>
          <w:szCs w:val="28"/>
        </w:rPr>
        <w:t>Структура и характеристика органов Федерального казначейства</w:t>
      </w:r>
    </w:p>
    <w:p>
      <w:pPr>
        <w:pStyle w:val="21"/>
        <w:tabs>
          <w:tab w:val="left" w:pos="284"/>
          <w:tab w:val="left" w:pos="993"/>
          <w:tab w:val="left" w:pos="1276"/>
        </w:tabs>
        <w:spacing w:after="0" w:line="360" w:lineRule="atLeast"/>
        <w:ind w:firstLine="709"/>
        <w:jc w:val="both"/>
        <w:rPr>
          <w:color w:val="000000" w:themeColor="text1"/>
          <w:sz w:val="28"/>
          <w:szCs w:val="28"/>
        </w:rPr>
      </w:pPr>
      <w:r>
        <w:rPr>
          <w:color w:val="000000" w:themeColor="text1"/>
          <w:sz w:val="28"/>
          <w:szCs w:val="28"/>
        </w:rPr>
        <w:t xml:space="preserve">Структура органов Федерального казначейства представлена центральным аппаратом Федерального казначейства (далее – ЦАФК), </w:t>
      </w:r>
      <w:r>
        <w:rPr>
          <w:color w:val="000000" w:themeColor="text1"/>
          <w:sz w:val="28"/>
          <w:szCs w:val="28"/>
        </w:rPr>
        <w:br/>
        <w:t>в составе которого 21 управление по основным направлениям деятельности, и 85 территориальными органами: Межрегиональное операционное управление Федерального казначейства (далее – МОУ ФК) и 84 управления Федерального казначейства (далее – УФК) по субъектам Российской Федерации (схема 1).</w:t>
      </w:r>
    </w:p>
    <w:p>
      <w:pPr>
        <w:pStyle w:val="21"/>
        <w:tabs>
          <w:tab w:val="left" w:pos="284"/>
          <w:tab w:val="left" w:pos="993"/>
          <w:tab w:val="left" w:pos="1276"/>
        </w:tabs>
        <w:spacing w:after="0" w:line="360" w:lineRule="atLeast"/>
        <w:jc w:val="both"/>
        <w:rPr>
          <w:color w:val="000000" w:themeColor="text1"/>
          <w:sz w:val="28"/>
          <w:szCs w:val="28"/>
        </w:rPr>
        <w:sectPr>
          <w:headerReference w:type="default" r:id="rId9"/>
          <w:pgSz w:w="11906" w:h="16838" w:code="9"/>
          <w:pgMar w:top="1418" w:right="992" w:bottom="992" w:left="1701" w:header="709" w:footer="709" w:gutter="0"/>
          <w:cols w:space="708"/>
          <w:titlePg/>
          <w:docGrid w:linePitch="360"/>
        </w:sectPr>
      </w:pPr>
    </w:p>
    <w:p>
      <w:pPr>
        <w:ind w:left="142"/>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Схема 1</w:t>
      </w:r>
    </w:p>
    <w:p>
      <w:pPr>
        <w:autoSpaceDE w:val="0"/>
        <w:autoSpaceDN w:val="0"/>
        <w:adjustRightInd w:val="0"/>
        <w:ind w:left="426"/>
        <w:jc w:val="center"/>
        <w:rPr>
          <w:rFonts w:ascii="Times New Roman" w:hAnsi="Times New Roman"/>
          <w:b/>
          <w:bCs/>
          <w:color w:val="000000" w:themeColor="text1"/>
          <w:sz w:val="32"/>
          <w:szCs w:val="32"/>
        </w:rPr>
      </w:pPr>
      <w:r>
        <w:rPr>
          <w:rFonts w:ascii="Times New Roman" w:hAnsi="Times New Roman"/>
          <w:b/>
          <w:bCs/>
          <w:color w:val="000000" w:themeColor="text1"/>
          <w:sz w:val="32"/>
          <w:szCs w:val="32"/>
        </w:rPr>
        <w:t>Структура органов Федерального казначейства</w:t>
      </w:r>
    </w:p>
    <w:p>
      <w:pPr>
        <w:ind w:left="567"/>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7186516</wp:posOffset>
                </wp:positionH>
                <wp:positionV relativeFrom="paragraph">
                  <wp:posOffset>203835</wp:posOffset>
                </wp:positionV>
                <wp:extent cx="2096250" cy="1364615"/>
                <wp:effectExtent l="895350" t="0" r="18415" b="45085"/>
                <wp:wrapNone/>
                <wp:docPr id="6" name="Скругленная прямоугольная выноска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250" cy="1364615"/>
                        </a:xfrm>
                        <a:prstGeom prst="wedgeRoundRectCallout">
                          <a:avLst>
                            <a:gd name="adj1" fmla="val -90680"/>
                            <a:gd name="adj2" fmla="val 49021"/>
                            <a:gd name="adj3" fmla="val 16667"/>
                          </a:avLst>
                        </a:prstGeom>
                        <a:solidFill>
                          <a:srgbClr val="FFFF99"/>
                        </a:solidFill>
                        <a:ln w="9525">
                          <a:solidFill>
                            <a:srgbClr val="000000"/>
                          </a:solidFill>
                          <a:miter lim="800000"/>
                          <a:headEnd/>
                          <a:tailEnd/>
                        </a:ln>
                      </wps:spPr>
                      <wps:txbx>
                        <w:txbxContent>
                          <w:p>
                            <w:pPr>
                              <w:autoSpaceDE w:val="0"/>
                              <w:autoSpaceDN w:val="0"/>
                              <w:adjustRightInd w:val="0"/>
                              <w:spacing w:after="0" w:line="240" w:lineRule="auto"/>
                              <w:jc w:val="center"/>
                              <w:rPr>
                                <w:rFonts w:ascii="Times New Roman" w:hAnsi="Times New Roman"/>
                                <w:b/>
                                <w:color w:val="000000"/>
                                <w:sz w:val="24"/>
                                <w:szCs w:val="24"/>
                              </w:rPr>
                            </w:pPr>
                            <w:r>
                              <w:rPr>
                                <w:rFonts w:ascii="Times New Roman" w:hAnsi="Times New Roman"/>
                                <w:b/>
                                <w:color w:val="000000"/>
                                <w:sz w:val="24"/>
                                <w:szCs w:val="24"/>
                                <w:u w:val="single"/>
                              </w:rPr>
                              <w:t>Бюджетно-правовой статус</w:t>
                            </w:r>
                            <w:r>
                              <w:rPr>
                                <w:rFonts w:ascii="Times New Roman" w:hAnsi="Times New Roman"/>
                                <w:b/>
                                <w:color w:val="000000"/>
                                <w:sz w:val="24"/>
                                <w:szCs w:val="24"/>
                              </w:rPr>
                              <w:t>:</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 xml:space="preserve">главный распорядитель </w:t>
                            </w:r>
                            <w:r>
                              <w:rPr>
                                <w:rFonts w:ascii="Times New Roman" w:hAnsi="Times New Roman"/>
                                <w:b/>
                                <w:color w:val="000000"/>
                                <w:sz w:val="24"/>
                                <w:szCs w:val="24"/>
                              </w:rPr>
                              <w:br/>
                              <w:t>и получатель бюджетных средств</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6" o:spid="_x0000_s1026" type="#_x0000_t62" style="position:absolute;left:0;text-align:left;margin-left:565.85pt;margin-top:16.05pt;width:165.05pt;height:107.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SkgogIAAAYFAAAOAAAAZHJzL2Uyb0RvYy54bWysVM1u1DAQviPxDpbvbX66m3ajZqtqSxFS&#10;gaqFB/DGzsbg2MH2brY9gTiC1GfgDSoQlxbKK2TfiImTXVLghEikaMYz/uabv+wfLAuBFkwbrmSC&#10;g20fIyZTRbmcJfjli+OtPYyMJZISoSRL8AUz+GD88MF+VcYsVLkSlGkEINLEVZng3Noy9jyT5qwg&#10;ZluVTIIxU7ogFlQ986gmFaAXwgt9P/IqpWmpVcqMgdOj1ojHDj/LWGqfZ5lhFokEAzfrvtp9p83X&#10;G++TeKZJmfO0o0H+gUVBuISgG6gjYgmaa/4HVMFTrYzK7HaqCk9lGU+ZywGyCfzfsjnPSclcLlAc&#10;U27KZP4fbPpscaoRpwmOMJKkgBbVn+qb1dvV+/pLfVt/rb/De726QvUPOLyqv9V3znRX364+rk2f&#10;Vx9AvFu9q2/qaxQ1Va1KEwP4eXmqm7qY8kSlrw2SapITOWOHWqsqZ4RCLkHj79270CgGrqJp9VRR&#10;IEXmVrkCLzNdNIBQOrR0fbzY9JEtLUrhMPRHUTiEdqdgC3aiQRQMXQwSr6+X2tjHTBWoERJcMTpj&#10;Z2ou6RmMzIQIoebWxSOLE2NdZ2lXH0JfBRhlhYBBWRCBtkZ+tLeepJ5T2HcajPzQ5Qkj0vPZ6fsE&#10;URTtdjy7sB6J10xdFZXg9JgL4RQ9m06ERsAhwcfwjEbdZdN3ExJVCR4Nw6HL557N9CF89/wNouAW&#10;llTwIsF7GycSN+17JKlbIUu4aGWgLGTXz6aF7SjY5XTZTcVU0QvorFbtMsLPA4Rc6UuMKljEBJs3&#10;c6IZRuKJhOkYDiAkbK5TBsPdEBTdt0z7FiJTgEqwxagVJ7bd9nmp+SyHSIErg1SHMFEZt+vRa1l1&#10;vGHZQLq3zX3def36fY1/AgAA//8DAFBLAwQUAAYACAAAACEA+UWRj+AAAAAMAQAADwAAAGRycy9k&#10;b3ducmV2LnhtbEyPQU7DMBBF90jcwRokdtR2WjVVGqdClUBIwILAAZzYTULjcRQ7Tbg90xUsv+bp&#10;z/v5YXE9u9gxdB4VyJUAZrH2psNGwdfn08MOWIgaje49WgU/NsChuL3JdWb8jB/2UsaGUQmGTCto&#10;YxwyzkPdWqfDyg8W6Xbyo9OR4thwM+qZyl3PEyG23OkO6UOrB3tsbX0uJ6egTJ/nd3w1bTdXb98v&#10;/Hie/E4odX+3PO6BRbvEPxiu+qQOBTlVfkITWE9ZrmVKrIJ1IoFdic1W0ppKQbJJBfAi5/9HFL8A&#10;AAD//wMAUEsBAi0AFAAGAAgAAAAhALaDOJL+AAAA4QEAABMAAAAAAAAAAAAAAAAAAAAAAFtDb250&#10;ZW50X1R5cGVzXS54bWxQSwECLQAUAAYACAAAACEAOP0h/9YAAACUAQAACwAAAAAAAAAAAAAAAAAv&#10;AQAAX3JlbHMvLnJlbHNQSwECLQAUAAYACAAAACEAl+kpIKICAAAGBQAADgAAAAAAAAAAAAAAAAAu&#10;AgAAZHJzL2Uyb0RvYy54bWxQSwECLQAUAAYACAAAACEA+UWRj+AAAAAMAQAADwAAAAAAAAAAAAAA&#10;AAD8BAAAZHJzL2Rvd25yZXYueG1sUEsFBgAAAAAEAAQA8wAAAAkGAAAAAA==&#10;" adj="-8787,21389" fillcolor="#ff9">
                <v:textbox inset="1.5mm,,1.5mm">
                  <w:txbxContent>
                    <w:p>
                      <w:pPr>
                        <w:autoSpaceDE w:val="0"/>
                        <w:autoSpaceDN w:val="0"/>
                        <w:adjustRightInd w:val="0"/>
                        <w:spacing w:after="0" w:line="240" w:lineRule="auto"/>
                        <w:jc w:val="center"/>
                        <w:rPr>
                          <w:rFonts w:ascii="Times New Roman" w:hAnsi="Times New Roman"/>
                          <w:b/>
                          <w:color w:val="000000"/>
                          <w:sz w:val="24"/>
                          <w:szCs w:val="24"/>
                        </w:rPr>
                      </w:pPr>
                      <w:r>
                        <w:rPr>
                          <w:rFonts w:ascii="Times New Roman" w:hAnsi="Times New Roman"/>
                          <w:b/>
                          <w:color w:val="000000"/>
                          <w:sz w:val="24"/>
                          <w:szCs w:val="24"/>
                          <w:u w:val="single"/>
                        </w:rPr>
                        <w:t>Бюджетно-правовой статус</w:t>
                      </w:r>
                      <w:r>
                        <w:rPr>
                          <w:rFonts w:ascii="Times New Roman" w:hAnsi="Times New Roman"/>
                          <w:b/>
                          <w:color w:val="000000"/>
                          <w:sz w:val="24"/>
                          <w:szCs w:val="24"/>
                        </w:rPr>
                        <w:t>:</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 xml:space="preserve">главный распорядитель </w:t>
                      </w:r>
                      <w:r>
                        <w:rPr>
                          <w:rFonts w:ascii="Times New Roman" w:hAnsi="Times New Roman"/>
                          <w:b/>
                          <w:color w:val="000000"/>
                          <w:sz w:val="24"/>
                          <w:szCs w:val="24"/>
                        </w:rPr>
                        <w:br/>
                        <w:t>и получатель бюджетных средств</w:t>
                      </w:r>
                    </w:p>
                  </w:txbxContent>
                </v:textbox>
              </v:shape>
            </w:pict>
          </mc:Fallback>
        </mc:AlternateContent>
      </w:r>
      <w:r>
        <w:rPr>
          <w:rFonts w:ascii="Times New Roman" w:hAnsi="Times New Roman"/>
          <w:noProof/>
          <w:color w:val="000000" w:themeColor="text1"/>
          <w:sz w:val="28"/>
          <w:szCs w:val="28"/>
        </w:rPr>
        <w:pict>
          <v:group id="_x0000_s1083" editas="orgchart" style="position:absolute;margin-left:33.05pt;margin-top:21.85pt;width:597.35pt;height:392.05pt;z-index:251665408;mso-position-horizontal-relative:char;mso-position-vertical-relative:line" coordorigin="4005,2855" coordsize="6240,2462">
            <o:lock v:ext="edit" aspectratio="t"/>
            <o:diagram v:ext="edit" dgmstyle="0" dgmscalex="167340" dgmscaley="285745" dgmfontsize="30" constrainbounds="0,0,0,0">
              <o:relationtable v:ext="edit">
                <o:rel v:ext="edit" idsrc="#_s1087" iddest="#_s1087"/>
                <o:rel v:ext="edit" idsrc="#_s1088" iddest="#_s1087" idcntr="#_s1086"/>
                <o:rel v:ext="edit" idsrc="#_s1093" iddest="#_s1087" idcntr="#_s1085"/>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4" type="#_x0000_t75" style="position:absolute;left:4005;top:2855;width:6240;height:2462"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85" o:spid="_x0000_s1085" type="#_x0000_t34" style="position:absolute;left:7719;top:3246;width:492;height:1680;rotation:270;flip:x" o:connectortype="elbow" adj="2481,53966,-157293" strokeweight="2.25pt"/>
            <v:shape id="_s1086" o:spid="_x0000_s1086" type="#_x0000_t34" style="position:absolute;left:6039;top:3246;width:492;height:1680;rotation:270" o:connectortype="elbow" adj="2481,-53950,-68618" strokeweight="2.25pt"/>
            <v:roundrect id="_s1087" o:spid="_x0000_s1087" style="position:absolute;left:5685;top:2855;width:2880;height:985" arcsize="10923f" o:dgmlayout="0" o:dgmnodekind="1" fillcolor="#bbe0e3">
              <v:textbox style="mso-next-textbox:#_s1087" inset="0,0,0,0">
                <w:txbxContent>
                  <w:p>
                    <w:pPr>
                      <w:autoSpaceDE w:val="0"/>
                      <w:autoSpaceDN w:val="0"/>
                      <w:adjustRightInd w:val="0"/>
                      <w:jc w:val="center"/>
                      <w:rPr>
                        <w:rFonts w:ascii="Arial" w:hAnsi="Arial" w:cs="Arial"/>
                        <w:b/>
                        <w:bCs/>
                        <w:color w:val="000000"/>
                        <w:sz w:val="24"/>
                        <w:szCs w:val="24"/>
                      </w:rPr>
                    </w:pPr>
                  </w:p>
                  <w:p>
                    <w:pPr>
                      <w:autoSpaceDE w:val="0"/>
                      <w:autoSpaceDN w:val="0"/>
                      <w:adjustRightInd w:val="0"/>
                      <w:spacing w:after="0" w:line="240" w:lineRule="auto"/>
                      <w:jc w:val="center"/>
                      <w:rPr>
                        <w:rFonts w:ascii="Times New Roman" w:hAnsi="Times New Roman"/>
                        <w:b/>
                        <w:bCs/>
                        <w:color w:val="000000"/>
                        <w:sz w:val="33"/>
                        <w:szCs w:val="32"/>
                      </w:rPr>
                    </w:pPr>
                    <w:r>
                      <w:rPr>
                        <w:rFonts w:ascii="Times New Roman" w:hAnsi="Times New Roman"/>
                        <w:b/>
                        <w:bCs/>
                        <w:color w:val="000000"/>
                        <w:sz w:val="33"/>
                        <w:szCs w:val="32"/>
                      </w:rPr>
                      <w:t>Центральный аппарат Федерального казначейства</w:t>
                    </w:r>
                  </w:p>
                </w:txbxContent>
              </v:textbox>
            </v:roundrect>
            <v:roundrect id="_s1088" o:spid="_x0000_s1088" style="position:absolute;left:4005;top:4332;width:2880;height:985;v-text-anchor:top-center" arcsize="10923f" o:dgmlayout="0" o:dgmnodekind="0" fillcolor="#bbe0e3">
              <v:textbox style="mso-next-textbox:#_s1088" inset="0,0,0,0">
                <w:txbxContent>
                  <w:p>
                    <w:pPr>
                      <w:autoSpaceDE w:val="0"/>
                      <w:autoSpaceDN w:val="0"/>
                      <w:adjustRightInd w:val="0"/>
                      <w:jc w:val="center"/>
                      <w:rPr>
                        <w:rFonts w:ascii="Arial" w:hAnsi="Arial" w:cs="Arial"/>
                        <w:b/>
                        <w:bCs/>
                        <w:color w:val="000000"/>
                      </w:rPr>
                    </w:pP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Управления Федерального казначейства по субъектам</w:t>
                    </w:r>
                  </w:p>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Российской Федерации (84)</w:t>
                    </w:r>
                  </w:p>
                </w:txbxContent>
              </v:textbox>
            </v:roundrect>
            <v:roundrect id="_x0000_s1089" style="position:absolute;left:6299;top:3392;width:1620;height:384" arcsize="10923f">
              <v:textbox style="mso-next-textbox:#_x0000_s1089">
                <w:txbxContent>
                  <w:p>
                    <w:pPr>
                      <w:autoSpaceDE w:val="0"/>
                      <w:autoSpaceDN w:val="0"/>
                      <w:adjustRightInd w:val="0"/>
                      <w:jc w:val="center"/>
                      <w:rPr>
                        <w:rFonts w:ascii="Arial" w:hAnsi="Arial" w:cs="Arial"/>
                        <w:color w:val="000000"/>
                        <w:sz w:val="24"/>
                        <w:szCs w:val="24"/>
                      </w:rPr>
                    </w:pPr>
                    <w:r>
                      <w:rPr>
                        <w:rFonts w:ascii="Times New Roman" w:hAnsi="Times New Roman"/>
                        <w:b/>
                        <w:bCs/>
                        <w:color w:val="000000"/>
                        <w:sz w:val="24"/>
                        <w:szCs w:val="24"/>
                      </w:rPr>
                      <w:t>Управления</w:t>
                    </w:r>
                  </w:p>
                </w:txbxContent>
              </v:textbox>
            </v:roundrect>
            <v:roundrect id="_x0000_s1090" style="position:absolute;left:6625;top:3579;width:910;height:197" arcsize="10923f">
              <v:textbox style="mso-next-textbox:#_x0000_s1090">
                <w:txbxContent>
                  <w:p>
                    <w:pPr>
                      <w:autoSpaceDE w:val="0"/>
                      <w:autoSpaceDN w:val="0"/>
                      <w:adjustRightInd w:val="0"/>
                      <w:jc w:val="center"/>
                      <w:rPr>
                        <w:rFonts w:ascii="Times New Roman" w:hAnsi="Times New Roman"/>
                        <w:b/>
                        <w:bCs/>
                        <w:color w:val="000000"/>
                        <w:sz w:val="24"/>
                        <w:szCs w:val="24"/>
                      </w:rPr>
                    </w:pPr>
                    <w:r>
                      <w:rPr>
                        <w:rFonts w:ascii="Times New Roman" w:hAnsi="Times New Roman"/>
                        <w:b/>
                        <w:bCs/>
                        <w:color w:val="000000"/>
                        <w:sz w:val="24"/>
                        <w:szCs w:val="24"/>
                      </w:rPr>
                      <w:t>Отделы</w:t>
                    </w:r>
                  </w:p>
                </w:txbxContent>
              </v:textbox>
            </v:roundrect>
            <v:roundrect id="_x0000_s1091" style="position:absolute;left:4766;top:4958;width:1370;height:151" arcsize="10923f">
              <v:textbox style="mso-next-textbox:#_x0000_s1091">
                <w:txbxContent>
                  <w:p>
                    <w:pPr>
                      <w:autoSpaceDE w:val="0"/>
                      <w:autoSpaceDN w:val="0"/>
                      <w:adjustRightInd w:val="0"/>
                      <w:jc w:val="center"/>
                      <w:rPr>
                        <w:rFonts w:ascii="Times New Roman" w:hAnsi="Times New Roman"/>
                        <w:color w:val="000000"/>
                        <w:sz w:val="24"/>
                        <w:szCs w:val="24"/>
                      </w:rPr>
                    </w:pPr>
                    <w:r>
                      <w:rPr>
                        <w:rFonts w:ascii="Times New Roman" w:hAnsi="Times New Roman"/>
                        <w:b/>
                        <w:bCs/>
                        <w:color w:val="000000"/>
                        <w:sz w:val="24"/>
                        <w:szCs w:val="24"/>
                      </w:rPr>
                      <w:t>Отделы</w:t>
                    </w:r>
                  </w:p>
                </w:txbxContent>
              </v:textbox>
            </v:roundrect>
            <v:roundrect id="_x0000_s1092" style="position:absolute;left:4874;top:4015;width:4729;height:164" arcsize="10923f" fillcolor="silver">
              <v:textbox style="mso-next-textbox:#_x0000_s1092">
                <w:txbxContent>
                  <w:p>
                    <w:pPr>
                      <w:autoSpaceDE w:val="0"/>
                      <w:autoSpaceDN w:val="0"/>
                      <w:adjustRightInd w:val="0"/>
                      <w:jc w:val="center"/>
                      <w:rPr>
                        <w:rFonts w:ascii="Times New Roman" w:hAnsi="Times New Roman"/>
                        <w:color w:val="000000"/>
                        <w:sz w:val="24"/>
                        <w:szCs w:val="24"/>
                      </w:rPr>
                    </w:pPr>
                    <w:r>
                      <w:rPr>
                        <w:rFonts w:ascii="Times New Roman" w:hAnsi="Times New Roman"/>
                        <w:b/>
                        <w:bCs/>
                        <w:color w:val="000000"/>
                        <w:sz w:val="24"/>
                        <w:szCs w:val="24"/>
                      </w:rPr>
                      <w:t>Территориальные органы Федерального казначейства</w:t>
                    </w:r>
                  </w:p>
                </w:txbxContent>
              </v:textbox>
            </v:roundrect>
            <v:roundrect id="_s1093" o:spid="_x0000_s1093" style="position:absolute;left:7365;top:4332;width:2880;height:985;v-text-anchor:middle" arcsize="10923f" o:dgmlayout="0" o:dgmnodekind="0" fillcolor="#bbe0e3">
              <v:textbox style="mso-next-textbox:#_s1093" inset="0,0,0,0">
                <w:txbxContent>
                  <w:p>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Межрегиональное операционное управление Федерального казначейства</w:t>
                    </w:r>
                  </w:p>
                  <w:p>
                    <w:pPr>
                      <w:autoSpaceDE w:val="0"/>
                      <w:autoSpaceDN w:val="0"/>
                      <w:adjustRightInd w:val="0"/>
                      <w:jc w:val="center"/>
                      <w:rPr>
                        <w:rFonts w:ascii="Times New Roman" w:hAnsi="Times New Roman"/>
                        <w:b/>
                        <w:bCs/>
                        <w:color w:val="000000"/>
                        <w:sz w:val="29"/>
                        <w:szCs w:val="28"/>
                      </w:rPr>
                    </w:pPr>
                  </w:p>
                  <w:p/>
                </w:txbxContent>
              </v:textbox>
            </v:roundrect>
            <v:roundrect id="_x0000_s1094" style="position:absolute;left:8266;top:4958;width:1252;height:131" arcsize="10923f">
              <v:textbox style="mso-next-textbox:#_x0000_s1094">
                <w:txbxContent>
                  <w:p>
                    <w:pPr>
                      <w:autoSpaceDE w:val="0"/>
                      <w:autoSpaceDN w:val="0"/>
                      <w:adjustRightInd w:val="0"/>
                      <w:jc w:val="center"/>
                      <w:rPr>
                        <w:rFonts w:ascii="Times New Roman" w:hAnsi="Times New Roman"/>
                        <w:color w:val="000000"/>
                        <w:sz w:val="24"/>
                        <w:szCs w:val="24"/>
                      </w:rPr>
                    </w:pPr>
                    <w:r>
                      <w:rPr>
                        <w:rFonts w:ascii="Times New Roman" w:hAnsi="Times New Roman"/>
                        <w:b/>
                        <w:bCs/>
                        <w:color w:val="000000"/>
                        <w:sz w:val="24"/>
                        <w:szCs w:val="24"/>
                      </w:rPr>
                      <w:t>Отделы</w:t>
                    </w:r>
                  </w:p>
                </w:txbxContent>
              </v:textbox>
            </v:roundrect>
          </v:group>
        </w:pict>
      </w:r>
    </w:p>
    <w:p>
      <w:pPr>
        <w:ind w:left="567"/>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-240941</wp:posOffset>
                </wp:positionH>
                <wp:positionV relativeFrom="paragraph">
                  <wp:posOffset>74930</wp:posOffset>
                </wp:positionV>
                <wp:extent cx="1946496" cy="962108"/>
                <wp:effectExtent l="0" t="0" r="1216025" b="28575"/>
                <wp:wrapNone/>
                <wp:docPr id="3" name="Скругленная прямоугольная выноска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6496" cy="962108"/>
                        </a:xfrm>
                        <a:prstGeom prst="wedgeRoundRectCallout">
                          <a:avLst>
                            <a:gd name="adj1" fmla="val 109343"/>
                            <a:gd name="adj2" fmla="val -3333"/>
                            <a:gd name="adj3" fmla="val 16667"/>
                          </a:avLst>
                        </a:prstGeom>
                        <a:solidFill>
                          <a:srgbClr val="CC99FF"/>
                        </a:solidFill>
                        <a:ln w="9525">
                          <a:solidFill>
                            <a:srgbClr val="000000"/>
                          </a:solidFill>
                          <a:miter lim="800000"/>
                          <a:headEnd/>
                          <a:tailEnd/>
                        </a:ln>
                      </wps:spPr>
                      <wps:txbx>
                        <w:txbxContent>
                          <w:p>
                            <w:pPr>
                              <w:autoSpaceDE w:val="0"/>
                              <w:autoSpaceDN w:val="0"/>
                              <w:adjustRightInd w:val="0"/>
                              <w:spacing w:after="0" w:line="240" w:lineRule="auto"/>
                              <w:jc w:val="center"/>
                              <w:rPr>
                                <w:rFonts w:ascii="Times New Roman" w:hAnsi="Times New Roman"/>
                                <w:b/>
                                <w:color w:val="000000"/>
                                <w:sz w:val="24"/>
                                <w:szCs w:val="24"/>
                                <w:u w:val="single"/>
                              </w:rPr>
                            </w:pPr>
                            <w:r>
                              <w:rPr>
                                <w:rFonts w:ascii="Times New Roman" w:hAnsi="Times New Roman"/>
                                <w:b/>
                                <w:color w:val="000000"/>
                                <w:sz w:val="24"/>
                                <w:szCs w:val="24"/>
                                <w:u w:val="single"/>
                              </w:rPr>
                              <w:t>Гражданско-правовой статус:</w:t>
                            </w:r>
                          </w:p>
                          <w:p>
                            <w:pPr>
                              <w:autoSpaceDE w:val="0"/>
                              <w:autoSpaceDN w:val="0"/>
                              <w:adjustRightInd w:val="0"/>
                              <w:spacing w:before="120" w:after="0" w:line="240" w:lineRule="auto"/>
                              <w:jc w:val="center"/>
                              <w:rPr>
                                <w:rFonts w:ascii="Arial" w:hAnsi="Arial" w:cs="Arial"/>
                                <w:color w:val="000000"/>
                              </w:rPr>
                            </w:pPr>
                            <w:r>
                              <w:rPr>
                                <w:rFonts w:ascii="Times New Roman" w:hAnsi="Times New Roman"/>
                                <w:b/>
                                <w:color w:val="000000"/>
                                <w:sz w:val="24"/>
                                <w:szCs w:val="24"/>
                              </w:rPr>
                              <w:t>юридическое лицо</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3" o:spid="_x0000_s1027" type="#_x0000_t62" style="position:absolute;left:0;text-align:left;margin-left:-18.95pt;margin-top:5.9pt;width:153.25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rSSqAIAAAwFAAAOAAAAZHJzL2Uyb0RvYy54bWysVM1u1DAQviPxDpbvbZL9axM1W1VbFiEV&#10;qFp4AG/sbAyOHWzvZtsTiCNIfQbeoAJxaaG8QvaNmDjZJQVOiESKZjzjb2a+mcnB4SoXaMm04UrG&#10;ONj1MWIyUZTLeYxfvpju7GNkLJGUCCVZjC+YwYfjhw8OyiJiPZUpQZlGACJNVBYxzqwtIs8zScZy&#10;YnZVwSQYU6VzYkHVc49qUgJ6Lrye74+8UmlaaJUwY+D0uDHiscNPU5bY52lqmEUixpCbdV/tvrP6&#10;640PSDTXpMh40qZB/iGLnHAJQbdQx8QStND8D6icJ1oZldrdROWeSlOeMFcDVBP4v1VznpGCuVqA&#10;HFNsaTL/DzZ5tjzViNMY9zGSJIcWVZ+qm/Xb9fvqS3Vbfa2+w3u9vkLVDzi8qr5Vd850V92uP25M&#10;n9cfQLxbv6tuqmvUr1ktCxMB+HlxqmteTHGiktcGSTXJiJyzI61VmTFCoZag9vfuXagVA1fRrHyq&#10;KCRFFlY5glepzmtAoA6tXB8vtn1kK4sSOAzCwWgQjjBKwBaOeoG/70KQaHO70MY+ZipHtRDjktE5&#10;O1MLSc9gYiZECLWwLhxZnhjrGktbegh9FWCU5gLmZEkECvywP3AlQ/c7Tr2u004fnnbYOj7AeQdo&#10;NBrttXm2YT0SbTJ1JCrB6ZQL4RQ9n02ERpBDjCeTMJxO28um6yYkKoGEYW/o6rlnM10I3z1/g8i5&#10;hR0VPI/x/taJRHX3HknqNsgSLhoZUhaybWfdwWYS7Gq2clMW1gHq7s4UvYD+atWsJPxCQMiUvsSo&#10;hHWMsXmzIJphJJ5ImJHhACLD/jplMNzrgaK7llnXQmQCUDG2GDXixDY7vyg0n2cQKXBsSHUEc5Vy&#10;uxnAJqs2fVg5kO7tdFd3Xr9+YuOfAAAA//8DAFBLAwQUAAYACAAAACEAdAjqZ98AAAAKAQAADwAA&#10;AGRycy9kb3ducmV2LnhtbEyPzU7DMBCE70i8g7VI3FqnjQghjVNVICQkuDT0AZx4SVL8E8V2Gt6e&#10;5USPO/NpdqbcL0azGSc/OCtgs06AoW2dGmwn4PT5usqB+SCtktpZFPCDHvbV7U0pC+Uu9ohzHTpG&#10;IdYXUkAfwlhw7tsejfRrN6Il78tNRgY6p46rSV4o3Gi+TZKMGzlY+tDLEZ97bL/raAS8xzlGdzyd&#10;Dx91m+aZdg8vzZsQ93fLYQcs4BL+YfirT9Whok6Ni1Z5pgWs0scnQsnY0AQCtlmeAWtIyNIUeFXy&#10;6wnVLwAAAP//AwBQSwECLQAUAAYACAAAACEAtoM4kv4AAADhAQAAEwAAAAAAAAAAAAAAAAAAAAAA&#10;W0NvbnRlbnRfVHlwZXNdLnhtbFBLAQItABQABgAIAAAAIQA4/SH/1gAAAJQBAAALAAAAAAAAAAAA&#10;AAAAAC8BAABfcmVscy8ucmVsc1BLAQItABQABgAIAAAAIQAVjrSSqAIAAAwFAAAOAAAAAAAAAAAA&#10;AAAAAC4CAABkcnMvZTJvRG9jLnhtbFBLAQItABQABgAIAAAAIQB0COpn3wAAAAoBAAAPAAAAAAAA&#10;AAAAAAAAAAIFAABkcnMvZG93bnJldi54bWxQSwUGAAAAAAQABADzAAAADgYAAAAA&#10;" adj="34418,10080" fillcolor="#c9f">
                <v:textbox inset="1.5mm,,1.5mm">
                  <w:txbxContent>
                    <w:p>
                      <w:pPr>
                        <w:autoSpaceDE w:val="0"/>
                        <w:autoSpaceDN w:val="0"/>
                        <w:adjustRightInd w:val="0"/>
                        <w:spacing w:after="0" w:line="240" w:lineRule="auto"/>
                        <w:jc w:val="center"/>
                        <w:rPr>
                          <w:rFonts w:ascii="Times New Roman" w:hAnsi="Times New Roman"/>
                          <w:b/>
                          <w:color w:val="000000"/>
                          <w:sz w:val="24"/>
                          <w:szCs w:val="24"/>
                          <w:u w:val="single"/>
                        </w:rPr>
                      </w:pPr>
                      <w:r>
                        <w:rPr>
                          <w:rFonts w:ascii="Times New Roman" w:hAnsi="Times New Roman"/>
                          <w:b/>
                          <w:color w:val="000000"/>
                          <w:sz w:val="24"/>
                          <w:szCs w:val="24"/>
                          <w:u w:val="single"/>
                        </w:rPr>
                        <w:t>Гражданско-правовой статус:</w:t>
                      </w:r>
                    </w:p>
                    <w:p>
                      <w:pPr>
                        <w:autoSpaceDE w:val="0"/>
                        <w:autoSpaceDN w:val="0"/>
                        <w:adjustRightInd w:val="0"/>
                        <w:spacing w:before="120" w:after="0" w:line="240" w:lineRule="auto"/>
                        <w:jc w:val="center"/>
                        <w:rPr>
                          <w:rFonts w:ascii="Arial" w:hAnsi="Arial" w:cs="Arial"/>
                          <w:color w:val="000000"/>
                        </w:rPr>
                      </w:pPr>
                      <w:r>
                        <w:rPr>
                          <w:rFonts w:ascii="Times New Roman" w:hAnsi="Times New Roman"/>
                          <w:b/>
                          <w:color w:val="000000"/>
                          <w:sz w:val="24"/>
                          <w:szCs w:val="24"/>
                        </w:rPr>
                        <w:t>юридическое лицо</w:t>
                      </w:r>
                    </w:p>
                  </w:txbxContent>
                </v:textbox>
              </v:shape>
            </w:pict>
          </mc:Fallback>
        </mc:AlternateContent>
      </w:r>
    </w:p>
    <w:p>
      <w:pPr>
        <w:spacing w:line="360" w:lineRule="atLeast"/>
        <w:ind w:left="567"/>
        <w:jc w:val="center"/>
        <w:rPr>
          <w:rFonts w:ascii="Times New Roman" w:hAnsi="Times New Roman"/>
          <w:color w:val="000000" w:themeColor="text1"/>
          <w:sz w:val="28"/>
          <w:szCs w:val="28"/>
        </w:rPr>
      </w:pPr>
    </w:p>
    <w:p>
      <w:pPr>
        <w:ind w:left="567"/>
        <w:rPr>
          <w:rFonts w:ascii="Times New Roman" w:hAnsi="Times New Roman"/>
          <w:color w:val="000000" w:themeColor="text1"/>
          <w:sz w:val="28"/>
          <w:szCs w:val="28"/>
        </w:rPr>
      </w:pPr>
    </w:p>
    <w:p>
      <w:pPr>
        <w:ind w:left="567"/>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7938770</wp:posOffset>
                </wp:positionH>
                <wp:positionV relativeFrom="paragraph">
                  <wp:posOffset>254635</wp:posOffset>
                </wp:positionV>
                <wp:extent cx="1551305" cy="1364615"/>
                <wp:effectExtent l="381000" t="0" r="10795" b="26035"/>
                <wp:wrapNone/>
                <wp:docPr id="2" name="Скругленная прямоугольная выноск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1305" cy="1364615"/>
                        </a:xfrm>
                        <a:prstGeom prst="wedgeRoundRectCallout">
                          <a:avLst>
                            <a:gd name="adj1" fmla="val -72944"/>
                            <a:gd name="adj2" fmla="val 26870"/>
                            <a:gd name="adj3" fmla="val 16667"/>
                          </a:avLst>
                        </a:prstGeom>
                        <a:solidFill>
                          <a:srgbClr val="FFFF99"/>
                        </a:solidFill>
                        <a:ln w="9525">
                          <a:solidFill>
                            <a:srgbClr val="000000"/>
                          </a:solidFill>
                          <a:miter lim="800000"/>
                          <a:headEnd/>
                          <a:tailEnd/>
                        </a:ln>
                      </wps:spPr>
                      <wps:txbx>
                        <w:txbxContent>
                          <w:p>
                            <w:pPr>
                              <w:autoSpaceDE w:val="0"/>
                              <w:autoSpaceDN w:val="0"/>
                              <w:adjustRightInd w:val="0"/>
                              <w:spacing w:after="0" w:line="240" w:lineRule="auto"/>
                              <w:ind w:right="159"/>
                              <w:jc w:val="center"/>
                              <w:rPr>
                                <w:rFonts w:ascii="Times New Roman" w:hAnsi="Times New Roman"/>
                                <w:b/>
                                <w:color w:val="000000"/>
                                <w:sz w:val="24"/>
                                <w:szCs w:val="24"/>
                                <w:u w:val="single"/>
                              </w:rPr>
                            </w:pPr>
                            <w:r>
                              <w:rPr>
                                <w:rFonts w:ascii="Times New Roman" w:hAnsi="Times New Roman"/>
                                <w:b/>
                                <w:color w:val="000000"/>
                                <w:sz w:val="24"/>
                                <w:szCs w:val="24"/>
                                <w:u w:val="single"/>
                              </w:rPr>
                              <w:t>Бюджетно-правовой статус:</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получатель бюджетных средств</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2" o:spid="_x0000_s1028" type="#_x0000_t62" style="position:absolute;left:0;text-align:left;margin-left:625.1pt;margin-top:20.05pt;width:122.15pt;height:107.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w2qQIAAA4FAAAOAAAAZHJzL2Uyb0RvYy54bWysVM1u1DAQviPxDpbvbTbpZn+iZqtqSxFS&#10;gaqFB/DGzsbg2MH2bracQBxB6jPwBhWISwvlFbJvxMTJblPghEikaMYz/mbmm5nsH6xygZZMG65k&#10;jP3dHkZMJopyOY/xyxfHOyOMjCWSEqEki/EFM/hg8vDBfllELFCZEpRpBCDSRGUR48zaIvI8k2Qs&#10;J2ZXFUyCMVU6JxZUPfeoJiWg58ILer2BVypNC60SZgycHjVGPHH4acoS+zxNDbNIxBhys+6r3XdW&#10;f73JPonmmhQZT9o0yD9kkRMuIegW6ohYghaa/wGV80Qro1K7m6jcU2nKE+ZqgGr83m/VnGekYK4W&#10;IMcUW5rM/4NNni1PNeI0xgFGkuTQoupzdb1+t/5Qfa1uqm/VD3iv1peo+gmHl9X36taZbqub9aeN&#10;6cv6I4i36/fVdXWFgprVsjARgJ8Xp7rmxRQnKnltkFTTjMg5O9RalRkjFGrxa3/v3oVaMXAVzcqn&#10;ikJSZGGVI3iV6rwGBOrQyvXxYttHtrIogUM/DP29XohRAjZ/b9Af+KGLQaLN9UIb+5ipHNVCjEtG&#10;5+xMLSQ9g5GZEiHUwrp4ZHlirOssbfkh9JWPUZoLGJQlEWhnGIz7/XaSOk5A6J1TMBgNN9PW8dnr&#10;+viDwWDY5tmG9Ui0ydSxqASnx1wIp+j5bCo0ghxifAzPeNxeNl03IVEZ43EYhK6eezbThei5528Q&#10;ObewpILnMR5tnUhUt++RpG6FLOGikSFlIdt+1i1sRsGuZis3Zr5joe7vTNEL6LBWzVLCTwSETOm3&#10;GJWwkDE2bxZEM4zEEwlTEvYhNGywU/rhMABFdy2zroXIBKBibDFqxKlttn5RaD7PIJLv6JDqECYr&#10;5XYzgk1Wbf6wdCDd2+qu7rzufmOTXwAAAP//AwBQSwMEFAAGAAgAAAAhANgmgCvgAAAADAEAAA8A&#10;AABkcnMvZG93bnJldi54bWxMj8tOwzAQRfdI/IM1SOyo3ShGJcSpeAixQUKUIrZuPMRR7XEUu034&#10;e9wVXV7N0b1n6vXsHTviGPtACpYLAQypDaanTsH28+VmBSwmTUa7QKjgFyOsm8uLWlcmTPSBx03q&#10;WC6hWGkFNqWh4jy2Fr2OizAg5dtPGL1OOY4dN6Oecrl3vBDilnvdU16wesAni+1+c/AKuJ2e99tJ&#10;0lv3+v44fJdfq9k5pa6v5od7YAnn9A/DST+rQ5OdduFAJjKXcyFFkVkFpVgCOxHlXSmB7RQUUgrg&#10;Tc3Pn2j+AAAA//8DAFBLAQItABQABgAIAAAAIQC2gziS/gAAAOEBAAATAAAAAAAAAAAAAAAAAAAA&#10;AABbQ29udGVudF9UeXBlc10ueG1sUEsBAi0AFAAGAAgAAAAhADj9If/WAAAAlAEAAAsAAAAAAAAA&#10;AAAAAAAALwEAAF9yZWxzLy5yZWxzUEsBAi0AFAAGAAgAAAAhAP61rDapAgAADgUAAA4AAAAAAAAA&#10;AAAAAAAALgIAAGRycy9lMm9Eb2MueG1sUEsBAi0AFAAGAAgAAAAhANgmgCvgAAAADAEAAA8AAAAA&#10;AAAAAAAAAAAAAwUAAGRycy9kb3ducmV2LnhtbFBLBQYAAAAABAAEAPMAAAAQBgAAAAA=&#10;" adj="-4956,16604" fillcolor="#ff9">
                <v:textbox inset="1.5mm,,1.5mm">
                  <w:txbxContent>
                    <w:p>
                      <w:pPr>
                        <w:autoSpaceDE w:val="0"/>
                        <w:autoSpaceDN w:val="0"/>
                        <w:adjustRightInd w:val="0"/>
                        <w:spacing w:after="0" w:line="240" w:lineRule="auto"/>
                        <w:ind w:right="159"/>
                        <w:jc w:val="center"/>
                        <w:rPr>
                          <w:rFonts w:ascii="Times New Roman" w:hAnsi="Times New Roman"/>
                          <w:b/>
                          <w:color w:val="000000"/>
                          <w:sz w:val="24"/>
                          <w:szCs w:val="24"/>
                          <w:u w:val="single"/>
                        </w:rPr>
                      </w:pPr>
                      <w:r>
                        <w:rPr>
                          <w:rFonts w:ascii="Times New Roman" w:hAnsi="Times New Roman"/>
                          <w:b/>
                          <w:color w:val="000000"/>
                          <w:sz w:val="24"/>
                          <w:szCs w:val="24"/>
                          <w:u w:val="single"/>
                        </w:rPr>
                        <w:t>Бюджетно-правовой статус:</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получатель бюджетных средств</w:t>
                      </w:r>
                    </w:p>
                  </w:txbxContent>
                </v:textbox>
              </v:shape>
            </w:pict>
          </mc:Fallback>
        </mc:AlternateContent>
      </w:r>
    </w:p>
    <w:p>
      <w:pPr>
        <w:ind w:left="567"/>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-185282</wp:posOffset>
                </wp:positionH>
                <wp:positionV relativeFrom="paragraph">
                  <wp:posOffset>200025</wp:posOffset>
                </wp:positionV>
                <wp:extent cx="1601525" cy="945515"/>
                <wp:effectExtent l="0" t="0" r="494030" b="26035"/>
                <wp:wrapNone/>
                <wp:docPr id="5" name="Скругленная прямоугольная выноска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525" cy="945515"/>
                        </a:xfrm>
                        <a:prstGeom prst="wedgeRoundRectCallout">
                          <a:avLst>
                            <a:gd name="adj1" fmla="val 77500"/>
                            <a:gd name="adj2" fmla="val 33014"/>
                            <a:gd name="adj3" fmla="val 16667"/>
                          </a:avLst>
                        </a:prstGeom>
                        <a:solidFill>
                          <a:srgbClr val="CC99FF"/>
                        </a:solidFill>
                        <a:ln w="9525">
                          <a:solidFill>
                            <a:srgbClr val="000000"/>
                          </a:solidFill>
                          <a:miter lim="800000"/>
                          <a:headEnd/>
                          <a:tailEnd/>
                        </a:ln>
                      </wps:spPr>
                      <wps:txbx>
                        <w:txbxContent>
                          <w:p>
                            <w:pPr>
                              <w:autoSpaceDE w:val="0"/>
                              <w:autoSpaceDN w:val="0"/>
                              <w:adjustRightInd w:val="0"/>
                              <w:spacing w:after="0" w:line="240" w:lineRule="auto"/>
                              <w:jc w:val="center"/>
                              <w:rPr>
                                <w:rFonts w:ascii="Times New Roman" w:hAnsi="Times New Roman"/>
                                <w:b/>
                                <w:color w:val="000000"/>
                                <w:sz w:val="24"/>
                                <w:szCs w:val="24"/>
                              </w:rPr>
                            </w:pPr>
                            <w:r>
                              <w:rPr>
                                <w:rFonts w:ascii="Times New Roman" w:hAnsi="Times New Roman"/>
                                <w:b/>
                                <w:color w:val="000000"/>
                                <w:sz w:val="24"/>
                                <w:szCs w:val="24"/>
                                <w:u w:val="single"/>
                              </w:rPr>
                              <w:t>Гражданско-правовой статус</w:t>
                            </w:r>
                            <w:r>
                              <w:rPr>
                                <w:rFonts w:ascii="Times New Roman" w:hAnsi="Times New Roman"/>
                                <w:b/>
                                <w:color w:val="000000"/>
                                <w:sz w:val="24"/>
                                <w:szCs w:val="24"/>
                              </w:rPr>
                              <w:t>:</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юридическое лицо</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5" o:spid="_x0000_s1029" type="#_x0000_t62" style="position:absolute;left:0;text-align:left;margin-left:-14.6pt;margin-top:15.75pt;width:126.1pt;height:7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MaowIAAAwFAAAOAAAAZHJzL2Uyb0RvYy54bWysVF9v0zAQf0fiO1h+Z0m6pt2ipdPUUYTE&#10;n2mDD+DGTmJw7GC7TccTiEeQ9hn4BhOIlw3GV0i/ERcnLRkgHhCtZN35zr+7+91dDg5XhUBLpg1X&#10;MsbBjo8Rk4miXGYxfv5sdm8PI2OJpEQoyWJ8zgw+nNy9c1CVERuoXAnKNAIQaaKqjHFubRl5nkly&#10;VhCzo0omwZgqXRALqs48qkkF6IXwBr4/8iqlaalVwoyB2+PWiCcOP01ZYp+mqWEWiRhDbtad2p3z&#10;5vQmByTKNClznnRpkH/IoiBcQtAt1DGxBC00/w2q4IlWRqV2J1GFp9KUJ8zVANUE/i/VnOWkZK4W&#10;IMeUW5rM/4NNnixPNOI0xiFGkhTQovpjfbV+s35Xf66v6y/1N/hfri9Q/R0uL+qv9Y0z3dTX6w8b&#10;06f1exBv1m/rq/oShQ2rVWkiAD8rT3TDiykfqeSlQVJNcyIzdqS1qnJGKNQSNP7erQeNYuApmleP&#10;FYWkyMIqR/Aq1UUDCNShlevj+baPbGVRApfByA/CARSUgG1/GIaBS8kj0eZ1qY19wFSBGiHGFaMZ&#10;O1ULSU9hYqZECLWwLhxZPjLWNZZ29BD6IsAoLQTMyZIINB6H/maOej6Dvs/urh8Mu1nr+ez2fYLR&#10;aDR2TJCoiwoJbxJ1HCrB6YwL4RSdzadCI0ghxtPp/v5s1j02fTchUQUcNGz8HcJ3vz9BFNzCigpe&#10;xHhv60Sipnn3JXULZAkXrQwpC9l1s2lgOwh2NV+5IQtcr5vuzhU9h/5q1a4kfEJAyJV+jVEF6xhj&#10;82pBNMNIPJQwI+EQQsP+OmUYjgeg6L5l3rcQmQBUjC1GrTi17c4vSs2zHCIFjg6pjmCuUm43A9hm&#10;1eUPKwfSrZ3u687r50ds8gMAAP//AwBQSwMEFAAGAAgAAAAhAJqjwXDdAAAACgEAAA8AAABkcnMv&#10;ZG93bnJldi54bWxMj8FOwzAQRO9I/IO1SNxauy6gksapIBJXUAMXbm7sJlHtdbDdNPw9ywmOq32a&#10;eVPuZu/YZGMaAipYLQUwi20wA3YKPt5fFhtgKWs02gW0Cr5tgl11fVXqwoQL7u3U5I5RCKZCK+hz&#10;HgvOU9tbr9MyjBbpdwzR60xn7LiJ+kLh3nEpxAP3ekBq6PVo6962p+bsFXy9iTq4wTVpX8vXFp+P&#10;8XOelLq9mZ+2wLKd8x8Mv/qkDhU5HcIZTWJOwUI+SkIVrFf3wAiQck3jDkRuxB3wquT/J1Q/AAAA&#10;//8DAFBLAQItABQABgAIAAAAIQC2gziS/gAAAOEBAAATAAAAAAAAAAAAAAAAAAAAAABbQ29udGVu&#10;dF9UeXBlc10ueG1sUEsBAi0AFAAGAAgAAAAhADj9If/WAAAAlAEAAAsAAAAAAAAAAAAAAAAALwEA&#10;AF9yZWxzLy5yZWxzUEsBAi0AFAAGAAgAAAAhAM1FUxqjAgAADAUAAA4AAAAAAAAAAAAAAAAALgIA&#10;AGRycy9lMm9Eb2MueG1sUEsBAi0AFAAGAAgAAAAhAJqjwXDdAAAACgEAAA8AAAAAAAAAAAAAAAAA&#10;/QQAAGRycy9kb3ducmV2LnhtbFBLBQYAAAAABAAEAPMAAAAHBgAAAAA=&#10;" adj="27540,17931" fillcolor="#c9f">
                <v:textbox inset="1.5mm,,1.5mm">
                  <w:txbxContent>
                    <w:p>
                      <w:pPr>
                        <w:autoSpaceDE w:val="0"/>
                        <w:autoSpaceDN w:val="0"/>
                        <w:adjustRightInd w:val="0"/>
                        <w:spacing w:after="0" w:line="240" w:lineRule="auto"/>
                        <w:jc w:val="center"/>
                        <w:rPr>
                          <w:rFonts w:ascii="Times New Roman" w:hAnsi="Times New Roman"/>
                          <w:b/>
                          <w:color w:val="000000"/>
                          <w:sz w:val="24"/>
                          <w:szCs w:val="24"/>
                        </w:rPr>
                      </w:pPr>
                      <w:r>
                        <w:rPr>
                          <w:rFonts w:ascii="Times New Roman" w:hAnsi="Times New Roman"/>
                          <w:b/>
                          <w:color w:val="000000"/>
                          <w:sz w:val="24"/>
                          <w:szCs w:val="24"/>
                          <w:u w:val="single"/>
                        </w:rPr>
                        <w:t>Гражданско-правовой статус</w:t>
                      </w:r>
                      <w:r>
                        <w:rPr>
                          <w:rFonts w:ascii="Times New Roman" w:hAnsi="Times New Roman"/>
                          <w:b/>
                          <w:color w:val="000000"/>
                          <w:sz w:val="24"/>
                          <w:szCs w:val="24"/>
                        </w:rPr>
                        <w:t>:</w:t>
                      </w:r>
                    </w:p>
                    <w:p>
                      <w:pPr>
                        <w:autoSpaceDE w:val="0"/>
                        <w:autoSpaceDN w:val="0"/>
                        <w:adjustRightInd w:val="0"/>
                        <w:spacing w:before="120" w:after="0" w:line="240" w:lineRule="auto"/>
                        <w:jc w:val="center"/>
                        <w:rPr>
                          <w:rFonts w:ascii="Times New Roman" w:hAnsi="Times New Roman"/>
                          <w:b/>
                          <w:color w:val="000000"/>
                          <w:sz w:val="24"/>
                          <w:szCs w:val="24"/>
                        </w:rPr>
                      </w:pPr>
                      <w:r>
                        <w:rPr>
                          <w:rFonts w:ascii="Times New Roman" w:hAnsi="Times New Roman"/>
                          <w:b/>
                          <w:color w:val="000000"/>
                          <w:sz w:val="24"/>
                          <w:szCs w:val="24"/>
                        </w:rPr>
                        <w:t>юридическое лицо</w:t>
                      </w:r>
                    </w:p>
                  </w:txbxContent>
                </v:textbox>
              </v:shape>
            </w:pict>
          </mc:Fallback>
        </mc:AlternateContent>
      </w:r>
    </w:p>
    <w:p>
      <w:pPr>
        <w:ind w:left="142"/>
        <w:rPr>
          <w:rFonts w:ascii="Times New Roman" w:hAnsi="Times New Roman"/>
          <w:color w:val="000000" w:themeColor="text1"/>
          <w:sz w:val="28"/>
          <w:szCs w:val="28"/>
        </w:rPr>
      </w:pPr>
    </w:p>
    <w:p>
      <w:pPr>
        <w:ind w:left="142"/>
        <w:rPr>
          <w:rFonts w:ascii="Times New Roman" w:hAnsi="Times New Roman"/>
          <w:color w:val="000000" w:themeColor="text1"/>
          <w:sz w:val="28"/>
          <w:szCs w:val="28"/>
        </w:rPr>
      </w:pPr>
    </w:p>
    <w:p>
      <w:pPr>
        <w:ind w:left="142"/>
        <w:rPr>
          <w:rFonts w:ascii="Times New Roman" w:hAnsi="Times New Roman"/>
          <w:color w:val="000000" w:themeColor="text1"/>
          <w:sz w:val="28"/>
          <w:szCs w:val="28"/>
        </w:rPr>
      </w:pPr>
    </w:p>
    <w:p>
      <w:pPr>
        <w:ind w:left="142"/>
        <w:rPr>
          <w:rFonts w:ascii="Times New Roman" w:hAnsi="Times New Roman"/>
          <w:color w:val="000000" w:themeColor="text1"/>
          <w:sz w:val="28"/>
          <w:szCs w:val="28"/>
        </w:rPr>
      </w:pPr>
    </w:p>
    <w:p>
      <w:pPr>
        <w:rPr>
          <w:rFonts w:ascii="Times New Roman" w:hAnsi="Times New Roman"/>
          <w:color w:val="000000" w:themeColor="text1"/>
          <w:sz w:val="28"/>
          <w:szCs w:val="28"/>
        </w:rPr>
      </w:pPr>
    </w:p>
    <w:p>
      <w:pPr>
        <w:rPr>
          <w:rFonts w:ascii="Times New Roman" w:hAnsi="Times New Roman"/>
          <w:color w:val="000000" w:themeColor="text1"/>
          <w:sz w:val="28"/>
          <w:szCs w:val="28"/>
        </w:rPr>
      </w:pPr>
    </w:p>
    <w:p>
      <w:pPr>
        <w:pStyle w:val="21"/>
        <w:tabs>
          <w:tab w:val="left" w:pos="284"/>
          <w:tab w:val="left" w:pos="993"/>
          <w:tab w:val="left" w:pos="1276"/>
        </w:tabs>
        <w:spacing w:after="0" w:line="360" w:lineRule="atLeast"/>
        <w:ind w:firstLine="709"/>
        <w:jc w:val="both"/>
        <w:rPr>
          <w:rFonts w:eastAsia="Calibri"/>
          <w:color w:val="000000" w:themeColor="text1"/>
          <w:sz w:val="2"/>
          <w:szCs w:val="2"/>
          <w:lang w:eastAsia="en-US"/>
        </w:rPr>
      </w:pPr>
    </w:p>
    <w:p>
      <w:pPr>
        <w:pStyle w:val="21"/>
        <w:tabs>
          <w:tab w:val="left" w:pos="284"/>
          <w:tab w:val="left" w:pos="993"/>
          <w:tab w:val="left" w:pos="1276"/>
        </w:tabs>
        <w:spacing w:after="0" w:line="360" w:lineRule="atLeast"/>
        <w:ind w:firstLine="709"/>
        <w:jc w:val="both"/>
        <w:rPr>
          <w:color w:val="000000" w:themeColor="text1"/>
          <w:sz w:val="28"/>
          <w:szCs w:val="28"/>
        </w:rPr>
      </w:pPr>
    </w:p>
    <w:p>
      <w:pPr>
        <w:autoSpaceDE w:val="0"/>
        <w:autoSpaceDN w:val="0"/>
        <w:adjustRightInd w:val="0"/>
        <w:spacing w:after="0" w:line="360" w:lineRule="atLeast"/>
        <w:ind w:firstLine="709"/>
        <w:jc w:val="both"/>
        <w:rPr>
          <w:rFonts w:ascii="Times New Roman" w:hAnsi="Times New Roman"/>
          <w:color w:val="000000" w:themeColor="text1"/>
          <w:sz w:val="28"/>
          <w:szCs w:val="28"/>
        </w:rPr>
      </w:pPr>
    </w:p>
    <w:p>
      <w:pPr>
        <w:autoSpaceDE w:val="0"/>
        <w:autoSpaceDN w:val="0"/>
        <w:adjustRightInd w:val="0"/>
        <w:spacing w:after="0" w:line="360" w:lineRule="atLeast"/>
        <w:ind w:firstLine="709"/>
        <w:jc w:val="both"/>
        <w:rPr>
          <w:rFonts w:ascii="Times New Roman" w:hAnsi="Times New Roman"/>
          <w:color w:val="000000" w:themeColor="text1"/>
          <w:sz w:val="28"/>
          <w:szCs w:val="28"/>
        </w:rPr>
        <w:sectPr>
          <w:pgSz w:w="16838" w:h="11906" w:orient="landscape" w:code="9"/>
          <w:pgMar w:top="1701" w:right="1418" w:bottom="992" w:left="993" w:header="709" w:footer="709" w:gutter="0"/>
          <w:cols w:space="708"/>
          <w:docGrid w:linePitch="360"/>
        </w:sectPr>
      </w:pP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Федеральное казначейство осуществляет свою деятельность непосредственно и через свои территориальные органы, подведомственное федеральное казенное учреждение «Центр по обеспечению деятельности Казначейства России» (далее – ФКУ «ЦОКР») во взаимодействии с другими федеральными органами исполнительной власти (далее – ФОИВ), органами исполнительной власти субъектов Российской Федерации, органами местного самоуправления, Центральным банком Российской Федерации, общественными объединениями и иными организациями.</w:t>
      </w:r>
    </w:p>
    <w:p>
      <w:pPr>
        <w:pStyle w:val="21"/>
        <w:tabs>
          <w:tab w:val="left" w:pos="284"/>
          <w:tab w:val="left" w:pos="993"/>
          <w:tab w:val="left" w:pos="1276"/>
        </w:tabs>
        <w:spacing w:after="0" w:line="360" w:lineRule="atLeast"/>
        <w:ind w:firstLine="709"/>
        <w:jc w:val="both"/>
        <w:rPr>
          <w:rFonts w:eastAsia="Calibri"/>
          <w:color w:val="000000" w:themeColor="text1"/>
          <w:sz w:val="28"/>
          <w:szCs w:val="28"/>
          <w:lang w:eastAsia="en-US"/>
        </w:rPr>
      </w:pPr>
      <w:r>
        <w:rPr>
          <w:rFonts w:eastAsia="Calibri"/>
          <w:color w:val="000000" w:themeColor="text1"/>
          <w:sz w:val="28"/>
          <w:szCs w:val="28"/>
          <w:lang w:eastAsia="en-US"/>
        </w:rPr>
        <w:t xml:space="preserve">УФК по субъектам Российской Федерации осуществляют свою деятельность непосредственно и через отделы, созданные </w:t>
      </w:r>
      <w:r>
        <w:rPr>
          <w:rFonts w:eastAsia="Calibri"/>
          <w:color w:val="000000" w:themeColor="text1"/>
          <w:sz w:val="28"/>
          <w:szCs w:val="28"/>
          <w:lang w:eastAsia="en-US"/>
        </w:rPr>
        <w:br/>
        <w:t>для осуществления функций УФК по субъекту Российской Федерации (субъектам Российской Федерации, находящимся в границах федерального округа) на соответствующей территории.</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Организационно-штатная структура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Центральный аппарат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руководство (руководитель Федерального казначейства, заместители руководителя, советник руководителя, помощник руководителя);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развития бюджетных платежей;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бюджетного учета и отчетности;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обеспечения исполнения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финансово-бюджетных операций;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совершенствования функциональной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внутреннего контроля (аудита) и оценки эффективности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Административное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Финансовое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Юридическое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информационных систем;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режима секретности и безопасности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финансовых технологий;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интегрированных информационных систем государственных финансов;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Управление систематизации и классификации информации </w:t>
      </w:r>
      <w:r>
        <w:rPr>
          <w:rFonts w:ascii="Times New Roman" w:hAnsi="Times New Roman"/>
          <w:color w:val="000000" w:themeColor="text1"/>
          <w:sz w:val="28"/>
          <w:szCs w:val="28"/>
        </w:rPr>
        <w:br/>
        <w:t>в социально-экономической области;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ведомственных проектов;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Контрольно-ревизионное управление в сфере национальной безопасности, правоохранительной деятельности, судебной системе </w:t>
      </w:r>
      <w:r>
        <w:rPr>
          <w:rFonts w:ascii="Times New Roman" w:hAnsi="Times New Roman"/>
          <w:color w:val="000000" w:themeColor="text1"/>
          <w:sz w:val="28"/>
          <w:szCs w:val="28"/>
        </w:rPr>
        <w:br/>
        <w:t>и оборонном комплексе;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Контрольно-ревизионное управление в социальной сфере, сфере межбюджетных отношений и социального страхования;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Контрольно-ревизионное управление в сфере развития экономики;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по надзору за аудиторской деятельностью;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по контролю в сфере контрактных отношений;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Управление планирования и отчетности контрольно-надзорной деятельности.</w:t>
      </w:r>
    </w:p>
    <w:p>
      <w:pPr>
        <w:spacing w:before="120" w:after="120" w:line="360" w:lineRule="atLeast"/>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 xml:space="preserve">Организационно-штатная структура Межрегионального операционного управления Федерального казначейства, </w:t>
      </w:r>
      <w:r>
        <w:rPr>
          <w:rFonts w:ascii="Times New Roman" w:hAnsi="Times New Roman"/>
          <w:color w:val="000000" w:themeColor="text1"/>
          <w:sz w:val="28"/>
          <w:szCs w:val="28"/>
        </w:rPr>
        <w:t>утвержденная приказом Межрегионального операционного управления Федерального казначейства от 1 августа 2016 г. № 275: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руководитель;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заместители руководителя;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помощник руководителя;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доходов;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Операционный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расходов;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обслуживания силовых ведомств;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обслуживания Интернет-порталов;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ведения нормативно-справочной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бюджетного учета и отчетности по операциям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внутреннего контроля и аудита;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Административный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финансового обеспечения;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информационных систем;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технологического обеспечения;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автоматизированных казначейских систем управления;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кадров;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Юридический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мобилизационной подготовки и гражданской обороны;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учета показателей сводной бюджетной росписи;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доведения бюджетных данных;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зарубежных платежей;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отчетности об исполнении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консолидированной, бюджетной и бухгалтерской отчетности;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режима секретности и безопасности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кассового обслуживания исполнения бюджетов государственных внебюджетных фондов;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Отдел автоматизированного контроля в финансово-бюджетной сфере.</w:t>
      </w:r>
    </w:p>
    <w:p>
      <w:pPr>
        <w:spacing w:before="120" w:after="120" w:line="360" w:lineRule="atLeast"/>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Организационно-штатная структура управлений Федерального казначейства по субъектам Российской Федерации,</w:t>
      </w:r>
      <w:r>
        <w:rPr>
          <w:rFonts w:ascii="Times New Roman" w:hAnsi="Times New Roman"/>
          <w:color w:val="000000" w:themeColor="text1"/>
          <w:sz w:val="28"/>
          <w:szCs w:val="28"/>
        </w:rPr>
        <w:t xml:space="preserve"> утвержденная приказом Федерального казначейства от 18 апреля 2016 г. № 94: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руководитель;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заместители руководителя;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помощник руководителя;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доходов;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Операционный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расходов;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обслуживания силовых ведомств;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ведения федеральных реестров;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кассового обслуживания исполнения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кассового обслуживания исполнения бюджетов государственных внебюджетных фондов;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бюджетного учета и отчетности по операциям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внутреннего контроля и аудита;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Административный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финансового обеспечения;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информационных систем;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технологического обеспечения;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режима секретности и безопасности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кадров;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государственных закупок (контрактная служба);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Юридический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мобилизационной подготовки и гражданской обороны;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 Межрегиональный центр защиты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 Пилотный центр по защите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компенсационных выплат;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сфере национальной безопасности, правоохранительной деятельности и судебной системы;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оборонном комплексе;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социальной сфере, сфере межбюджетных отношений и социального страхования;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сфере развития экономики;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Организационно-аналитический отдел;</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по контролю в сфере контрактных отношений;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Отдел по надзору за аудиторской деятельностью;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сфере деятельности силовых ведомств и судебной системы;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социально-экономической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сфере транспорта, дорожного хозяйства, энергетики, природопользования и агропромышленного комплекса (создан в УФК по г. Москве согласно приказу Федерального казначейства от 17 июня 2016 г. № 202 «Об отдельных структурных подразделениях в Управлении Федерального казначейства по г. Москве» (далее – приказ Федерального казначейства № 202);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Контрольно-ревизионный отдел в сфере бюджетных инвестиций </w:t>
      </w:r>
      <w:r>
        <w:rPr>
          <w:rFonts w:ascii="Times New Roman" w:hAnsi="Times New Roman"/>
          <w:color w:val="000000" w:themeColor="text1"/>
          <w:sz w:val="28"/>
          <w:szCs w:val="28"/>
        </w:rPr>
        <w:br/>
        <w:t>и жилищно-коммунального хозяйства (создан в УФК по г. Москве согласно приказу Федерального казначейства № 202);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Контрольно-ревизионный отдел в сфере промышленности, связи </w:t>
      </w:r>
      <w:r>
        <w:rPr>
          <w:rFonts w:ascii="Times New Roman" w:hAnsi="Times New Roman"/>
          <w:color w:val="000000" w:themeColor="text1"/>
          <w:sz w:val="28"/>
          <w:szCs w:val="28"/>
        </w:rPr>
        <w:br/>
        <w:t>и государственных активов (создан в УФК по г. Москве согласно приказу Федерального казначейства № 202);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Контрольно-ревизионный отдел в сфере контрактных отношений (создан в УФК по г. Москве согласно приказу Федерального казначейства № 202);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Отделы, созданные для осуществления функций УФК по субъекту Российской Федерации (субъектам Российской Федерации, находящимся </w:t>
      </w:r>
      <w:r>
        <w:rPr>
          <w:rFonts w:ascii="Times New Roman" w:hAnsi="Times New Roman"/>
          <w:color w:val="000000" w:themeColor="text1"/>
          <w:sz w:val="28"/>
          <w:szCs w:val="28"/>
        </w:rPr>
        <w:br/>
        <w:t>в границах федерального округа) на соответствующей территории;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Контрольно-ревизионный отдел, созданный для осуществления функций УФК по субъекту Российской Федерации (субъектам Российской Федерации, находящимся в границах федерального округа) </w:t>
      </w:r>
      <w:r>
        <w:rPr>
          <w:rFonts w:ascii="Times New Roman" w:hAnsi="Times New Roman"/>
          <w:color w:val="000000" w:themeColor="text1"/>
          <w:sz w:val="28"/>
          <w:szCs w:val="28"/>
        </w:rPr>
        <w:br/>
        <w:t>на соответствующей территории;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Отдел казначейского сопровождения (создан в качестве «пилотного» проекта в УФК по г. Москве в ноябре 2015 года).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Основные параметры и показатели деятельности Федерального казначейства 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 Обеспечено кассовое обслуживание исполнения бюджетов 85</w:t>
      </w:r>
      <w:r>
        <w:rPr>
          <w:rFonts w:ascii="Times New Roman" w:hAnsi="Times New Roman"/>
          <w:color w:val="000000" w:themeColor="text1"/>
          <w:vertAlign w:val="superscript"/>
        </w:rPr>
        <w:footnoteReference w:customMarkFollows="1" w:id="1"/>
        <w:sym w:font="Symbol" w:char="F02A"/>
      </w:r>
      <w:r>
        <w:rPr>
          <w:rFonts w:ascii="Times New Roman" w:hAnsi="Times New Roman"/>
          <w:color w:val="000000" w:themeColor="text1"/>
          <w:sz w:val="28"/>
          <w:szCs w:val="28"/>
        </w:rPr>
        <w:t> субъектов Российской Федерации (в том числе по полному варианту кассового обслуживания с открытием лицевых счетов всем участникам бюджетного процесса (далее – УБП) либо по «смешанному» варианту кассового обслуживания с открытием лицевых счетов отдельным УБП – 67 (78,8 %), а также кассовое обслуживание исполнения бюджетов 22 556</w:t>
      </w:r>
      <w:r>
        <w:rPr>
          <w:rFonts w:ascii="Times New Roman" w:hAnsi="Times New Roman"/>
          <w:color w:val="000000" w:themeColor="text1"/>
          <w:vertAlign w:val="superscript"/>
        </w:rPr>
        <w:t>*</w:t>
      </w:r>
      <w:r>
        <w:rPr>
          <w:rFonts w:ascii="Times New Roman" w:hAnsi="Times New Roman"/>
          <w:color w:val="000000" w:themeColor="text1"/>
          <w:sz w:val="28"/>
          <w:szCs w:val="28"/>
        </w:rPr>
        <w:t xml:space="preserve">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муниципальных образований (в том числе по полному варианту кассового обслуживания с открытием лицевых счетов всем УБП либо </w:t>
      </w:r>
      <w:r>
        <w:rPr>
          <w:rFonts w:ascii="Times New Roman" w:hAnsi="Times New Roman"/>
          <w:color w:val="000000" w:themeColor="text1"/>
          <w:sz w:val="28"/>
          <w:szCs w:val="28"/>
        </w:rPr>
        <w:br/>
        <w:t>по «смешанному» варианту кассового обслуживания с открытием лицевых счетов отдельным УБП – 16 090 (71,3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Обеспечено кассовое обслуживание исполнения бюджетов государственных внебюджетных фондов Российской Федерации: (Пенсионного фонда Российской Федерации, Фонда социального страхования Российской Федерации, Федерального фонда обязательного медицинского страхования, бюджетов 85 территориальных фондов обязательного медицинского страхования)</w:t>
      </w:r>
      <w:r>
        <w:rPr>
          <w:rFonts w:ascii="Times New Roman" w:hAnsi="Times New Roman"/>
          <w:color w:val="000000" w:themeColor="text1"/>
          <w:vertAlign w:val="superscript"/>
        </w:rPr>
        <w:footnoteReference w:customMarkFollows="1" w:id="2"/>
        <w:sym w:font="Symbol" w:char="F02A"/>
      </w:r>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 По состоянию на 1 января 2017 года в органах Федерального казначейства ведется обслуживание 367 321 лицевого счета, из них </w:t>
      </w:r>
      <w:r>
        <w:rPr>
          <w:rFonts w:ascii="Times New Roman" w:hAnsi="Times New Roman"/>
          <w:color w:val="000000" w:themeColor="text1"/>
          <w:sz w:val="28"/>
          <w:szCs w:val="28"/>
        </w:rPr>
        <w:br/>
        <w:t>по уровням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42 366 лицевых счетов УБП федерального уровня;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35 286 лицевых счетов УБП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172 378 лицевых счетов УБП муниципальных образований;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4 766 лицевых счетов УБП государственных внебюджетных фондов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363 лицевых счета УБП территориальных государственных внебюджетных фондов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112 162 лицевых счета, предназначенных для отражения операций со средствами организаций, а также бюджетных (автономных) учреждений.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 По состоянию на 1 января 2017 года в органах Федерального казначейства бюджетным и автономным учреждениям всех уровней бюджетов открыто 102 254 лицевых счета,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федеральным бюджетным учреждениям – 10 610 лицевых счетов;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федеральным автономным учреждениям – 593 лицевых счета.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В течение 2016 года осуществлялось размещение средств федерального бюджета на банковских депозитах в кредитных организациях в соответствии с постановлением Правительства Российской Федерации </w:t>
      </w:r>
      <w:r>
        <w:rPr>
          <w:rFonts w:ascii="Times New Roman" w:hAnsi="Times New Roman"/>
          <w:color w:val="000000" w:themeColor="text1"/>
          <w:sz w:val="28"/>
          <w:szCs w:val="28"/>
        </w:rPr>
        <w:br/>
        <w:t>от 24 декабря 2011 г. № 1121 «О порядке размещения средств федерального бюджета на банковских депозитах».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протяжении 2016 года проведено 78 отборов заявок кредитных организаций на заключение договоров банковского депозита, </w:t>
      </w:r>
      <w:r>
        <w:rPr>
          <w:rFonts w:ascii="Times New Roman" w:hAnsi="Times New Roman"/>
          <w:color w:val="000000" w:themeColor="text1"/>
          <w:sz w:val="28"/>
          <w:szCs w:val="28"/>
        </w:rPr>
        <w:br/>
        <w:t xml:space="preserve">по результатам которых на банковских депозитах в кредитных организациях размещено 7 702 678,0 млн рублей. Сумма зачисленных в федеральный </w:t>
      </w:r>
      <w:r>
        <w:rPr>
          <w:rFonts w:ascii="Times New Roman" w:hAnsi="Times New Roman"/>
          <w:color w:val="000000" w:themeColor="text1"/>
          <w:sz w:val="28"/>
          <w:szCs w:val="28"/>
        </w:rPr>
        <w:lastRenderedPageBreak/>
        <w:t>бюджет процентов по заключенным договорам банковского депозита составила 46 908,9 млн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за 2016 год проведено 17 отборов заявок кредитных организаций на заключение договоров банковского депозита в долларах США, по результатам которых на банковских депозитах в кредитных организациях размещено 5 300,0 млн долларов США, уплачено процентов </w:t>
      </w:r>
      <w:r>
        <w:rPr>
          <w:rFonts w:ascii="Times New Roman" w:hAnsi="Times New Roman"/>
          <w:color w:val="000000" w:themeColor="text1"/>
          <w:sz w:val="28"/>
          <w:szCs w:val="28"/>
        </w:rPr>
        <w:br/>
        <w:t>на сумму 2,0 млн долларов США.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постановления Правительства Российской Федерации </w:t>
      </w:r>
      <w:r>
        <w:rPr>
          <w:rFonts w:ascii="Times New Roman" w:hAnsi="Times New Roman"/>
          <w:color w:val="000000" w:themeColor="text1"/>
          <w:sz w:val="28"/>
          <w:szCs w:val="28"/>
        </w:rPr>
        <w:br/>
        <w:t xml:space="preserve">от 4 сентября 2013 г. № 777 «О порядке осуществления операций </w:t>
      </w:r>
      <w:r>
        <w:rPr>
          <w:rFonts w:ascii="Times New Roman" w:hAnsi="Times New Roman"/>
          <w:color w:val="000000" w:themeColor="text1"/>
          <w:sz w:val="28"/>
          <w:szCs w:val="28"/>
        </w:rPr>
        <w:br/>
        <w:t xml:space="preserve">по управлению остатками средств на едином счете федерального бюджета </w:t>
      </w:r>
      <w:r>
        <w:rPr>
          <w:rFonts w:ascii="Times New Roman" w:hAnsi="Times New Roman"/>
          <w:color w:val="000000" w:themeColor="text1"/>
          <w:sz w:val="28"/>
          <w:szCs w:val="28"/>
        </w:rPr>
        <w:br/>
        <w:t>в части покупки (продажи) ценных бумаг по договорам репо и открытия счетов для осуществления таких операций» в 2016 году продолжено осуществление операций покупки (продажи) ценных бумаг по договорам репо с привлечением Банка России и небанковской кредитной организации акционерное общество «Национальный расчетный депозитарий».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Всего в 2016 году проведено 303 отбора заявок, в которых приняли участие 25 кредитных организаций. По результатам проведенных отборов заключено 2 211 договоров репо и размещено средств федерального бюджета на сумму 37 414,6 млрд рублей. Сумма зачисленных </w:t>
      </w:r>
      <w:r>
        <w:rPr>
          <w:rFonts w:ascii="Times New Roman" w:hAnsi="Times New Roman"/>
          <w:color w:val="000000" w:themeColor="text1"/>
          <w:sz w:val="28"/>
          <w:szCs w:val="28"/>
        </w:rPr>
        <w:br/>
        <w:t>в федеральный бюджет процентов по заключенным договорам репо составила 27,9 млрд рублей, что в 4,3 раза больше 2015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В рамках исполнения постановления Правительства Российской Федерации от 20 августа 2013 г. № 721 «Об утверждении Правил предоставления бюджетных кредитов на пополнение остатков средств </w:t>
      </w:r>
      <w:r>
        <w:rPr>
          <w:rFonts w:ascii="Times New Roman" w:hAnsi="Times New Roman"/>
          <w:color w:val="000000" w:themeColor="text1"/>
          <w:sz w:val="28"/>
          <w:szCs w:val="28"/>
        </w:rPr>
        <w:br/>
        <w:t>на счетах бюджетов субъектов Российской Федерации (местных бюджетов)» в 2016 году продолжено предоставление бюджетных кредитов на пополнение остатков средств на счетах бюджетов субъектов Российской Федерации (местных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За 2016 год 64 субъекта Российской Федерации обратились </w:t>
      </w:r>
      <w:r>
        <w:rPr>
          <w:rFonts w:ascii="Times New Roman" w:hAnsi="Times New Roman"/>
          <w:color w:val="000000" w:themeColor="text1"/>
          <w:sz w:val="28"/>
          <w:szCs w:val="28"/>
        </w:rPr>
        <w:br/>
        <w:t>за получением бюджетного кредита и получили его, 58 субъектам Российской Федерации бюджетный кредит предоставлялся от 2 до 9 раз. Объем средств федерального бюджета, направленных на предоставление бюджетных кредитов субъектам Российской Федерации, составил 758,6 млрд рублей. Сумма процентов, поступивших в федеральный бюджет по предоставленным бюджетным кредитам субъектам Российской Федерации в 2016 году, составила 91,3 млн рублей.</w:t>
      </w:r>
    </w:p>
    <w:p>
      <w:pPr>
        <w:shd w:val="clear" w:color="auto" w:fill="FFFFFF"/>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2016 году 111 муниципальным образованиям были предоставлены бюджетные кредиты на общую сумму 89,6 млрд рублей. Доход от этих операций составил 11,6 млн рублей.</w:t>
      </w:r>
    </w:p>
    <w:p>
      <w:pPr>
        <w:shd w:val="clear" w:color="auto" w:fill="FFFFFF"/>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Общий объем средств федерального бюджета, направленных </w:t>
      </w:r>
      <w:r>
        <w:rPr>
          <w:rFonts w:ascii="Times New Roman" w:hAnsi="Times New Roman"/>
          <w:color w:val="000000" w:themeColor="text1"/>
          <w:sz w:val="28"/>
          <w:szCs w:val="28"/>
        </w:rPr>
        <w:br/>
        <w:t>на предоставление бюджетных кредитов субъектам Российской Федерации и муниципальным образованиям, составил 848,3 млрд рублей.</w:t>
      </w:r>
    </w:p>
    <w:p>
      <w:pPr>
        <w:shd w:val="clear" w:color="auto" w:fill="FFFFFF"/>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Всего выдан 661 кредит, объем уплаченных доходов – 103,0 млн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Обязательства по возврату средств федерального бюджета </w:t>
      </w:r>
      <w:r>
        <w:rPr>
          <w:rFonts w:ascii="Times New Roman" w:hAnsi="Times New Roman"/>
          <w:color w:val="000000" w:themeColor="text1"/>
          <w:sz w:val="28"/>
          <w:szCs w:val="28"/>
        </w:rPr>
        <w:br/>
        <w:t>по предоставленным бюджетным кредитам и уплате процентов выполнены субъектами Российской Федерации и муниципальными образованиями своевременно и в полном объеме.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6. В 2016 году внедрено казначейское сопровождение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 2016 года бюджетные средства предоставлялись юридическим лицам через счета, открытые им в Казначействе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части субсидий казначейское сопровождение обеспечивает предоставление бюджетных средств только под фактическую потребность.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2016 году в соответствии с отдельными решениями Правительства Российской Федерации осуществлялось казначейское сопровождение следующих проектов: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строительство космодрома «Восточный» (постановление Правительства Российской Федерации от 14 марта 2015 г. № 226);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строительство транспортного перехода через Керченский пролив (распоряжение Правительства Российской Федерации от 5 июля 2016 г. № 1416-р);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строительство (реставрация) стадионов для проведения чемпионата мира по футболу FIFA 2018 года (поручение Первого заместителя Председателя Правительства Российской Федерации И.И. Шувалова </w:t>
      </w:r>
      <w:r>
        <w:rPr>
          <w:rFonts w:ascii="Times New Roman" w:hAnsi="Times New Roman"/>
          <w:color w:val="000000" w:themeColor="text1"/>
          <w:sz w:val="28"/>
          <w:szCs w:val="28"/>
        </w:rPr>
        <w:br/>
        <w:t>от 11 августа 2016 г. № ИШ-П12-4802);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казначейское сопровождение финансово-хозяйственной деятельности АО «Особые экономические зоны» и его управляющих компаний (распоряжение Правительства Российской Федерации </w:t>
      </w:r>
      <w:r>
        <w:rPr>
          <w:rFonts w:ascii="Times New Roman" w:hAnsi="Times New Roman"/>
          <w:color w:val="000000" w:themeColor="text1"/>
          <w:sz w:val="28"/>
          <w:szCs w:val="28"/>
        </w:rPr>
        <w:br/>
        <w:t>от 5 сентября 2016 г. № 1862-р);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информационное обеспечение чемпионата мира по футболу FIFA 2018 года и Кубка конфедерации FIFA 2017 (протокол совещания у Первого заместителя Председателя Правительства Российской Федерации И.И. Шувалова от 8 июля 2016 г. № ИШ-П13-45пр).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7. В 2016 году с участием Государственной корпорации </w:t>
      </w:r>
      <w:r>
        <w:rPr>
          <w:rFonts w:ascii="Times New Roman" w:hAnsi="Times New Roman"/>
          <w:color w:val="000000" w:themeColor="text1"/>
          <w:sz w:val="28"/>
          <w:szCs w:val="28"/>
        </w:rPr>
        <w:br/>
        <w:t xml:space="preserve">по космической деятельности «Роскосмос», Государственной корпорации по атомной энергии «Росатом» и Минпромторга России проведен </w:t>
      </w:r>
      <w:r>
        <w:rPr>
          <w:rFonts w:ascii="Times New Roman" w:hAnsi="Times New Roman"/>
          <w:color w:val="000000" w:themeColor="text1"/>
          <w:sz w:val="28"/>
          <w:szCs w:val="28"/>
        </w:rPr>
        <w:lastRenderedPageBreak/>
        <w:t xml:space="preserve">эксперимент по применению казначейского аккредитива. По состоянию </w:t>
      </w:r>
      <w:r>
        <w:rPr>
          <w:rFonts w:ascii="Times New Roman" w:hAnsi="Times New Roman"/>
          <w:color w:val="000000" w:themeColor="text1"/>
          <w:sz w:val="28"/>
          <w:szCs w:val="28"/>
        </w:rPr>
        <w:br/>
        <w:t>на 1 января 2017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заключено 9 государственных контрактов на общую сумму </w:t>
      </w:r>
      <w:r>
        <w:rPr>
          <w:rFonts w:ascii="Times New Roman" w:hAnsi="Times New Roman"/>
          <w:color w:val="000000" w:themeColor="text1"/>
          <w:sz w:val="28"/>
          <w:szCs w:val="28"/>
        </w:rPr>
        <w:br/>
        <w:t xml:space="preserve">5 363,3 млн рублей, условиями которых предусмотрено их исполнение </w:t>
      </w:r>
      <w:r>
        <w:rPr>
          <w:rFonts w:ascii="Times New Roman" w:hAnsi="Times New Roman"/>
          <w:color w:val="000000" w:themeColor="text1"/>
          <w:sz w:val="28"/>
          <w:szCs w:val="28"/>
        </w:rPr>
        <w:br/>
        <w:t>с применением казначейского аккредитива;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органах Федерального казначейства открыто 9 лицевых счетов юридическим лицам – исполнителям указанных государственных контрактов;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 указанным государственным контрактам сформированы казначейские аккредитивы на общую сумму 1 480,1 млн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исполнение государственных контрактов с применением казначейского аккредитива составило 930,3 млн рублей (63 % от выданных аккредитивов).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8. В 2016 году выполнены следующие мероприятия по созданию </w:t>
      </w:r>
      <w:r>
        <w:rPr>
          <w:rFonts w:ascii="Times New Roman" w:hAnsi="Times New Roman"/>
          <w:color w:val="000000" w:themeColor="text1"/>
          <w:sz w:val="28"/>
          <w:szCs w:val="28"/>
        </w:rPr>
        <w:br/>
        <w:t>и развитию подсистем государственной интегрированной информационной системы управления общественными финансами «Электронный бюджет» (далее –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обеспечены формирование и ведение Реестра участников бюджетного процесса, а также юридических лиц, не являющихся участниками бюджетного процесса (далее – Реестр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обеспечены формирование и ведение базовых (отраслевых) перечней государственных (муниципальных) услуг (работ) </w:t>
      </w:r>
      <w:r>
        <w:rPr>
          <w:rFonts w:ascii="Times New Roman" w:hAnsi="Times New Roman"/>
          <w:color w:val="000000" w:themeColor="text1"/>
          <w:sz w:val="28"/>
          <w:szCs w:val="28"/>
        </w:rPr>
        <w:br/>
        <w:t>и ведомственных перечней государственных и муниципальных услуг (работ);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развитие подсистемы «Управление расходами» ГИИС «Электронный бюджет» в части ведения Реестра соглашений (договоров) о предоставлении из федерального бюджета субсидий юридическим лицам, индивидуальным предпринимателям, физическим лицам-производителям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 (далее – Реестр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обеспечена разработка компонентов подсистемы «Управление расходами» ГИИС «Электронный бюджет» по ведению бюджетных </w:t>
      </w:r>
      <w:r>
        <w:rPr>
          <w:rFonts w:ascii="Times New Roman" w:hAnsi="Times New Roman"/>
          <w:color w:val="000000" w:themeColor="text1"/>
          <w:sz w:val="28"/>
          <w:szCs w:val="28"/>
        </w:rPr>
        <w:br/>
        <w:t>и денежных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обеспечена возможность централизованного составления, представления, свода и консолидации отчетности об исполнении </w:t>
      </w:r>
      <w:r>
        <w:rPr>
          <w:rFonts w:ascii="Times New Roman" w:hAnsi="Times New Roman"/>
          <w:color w:val="000000" w:themeColor="text1"/>
          <w:sz w:val="28"/>
          <w:szCs w:val="28"/>
        </w:rPr>
        <w:lastRenderedPageBreak/>
        <w:t>федерального бюджета и бухгалтерской отчетности федеральных бюджетных и автономных учреждений в подсистеме «Учет и отчетность»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выполнение работ по проектированию подсистемы «Информационно-аналитического обеспечения»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развитие подсистемы «Управление закупками» ГИИС «Электронный бюджет» в части обеспечения функций по контролю, предусмотренному частью 5 статьи 99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(далее – Федеральный закон № 44-ФЗ).</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едином портале бюджетной системы Российской Федерации (budget.gov.ru) </w:t>
      </w:r>
      <w:r>
        <w:rPr>
          <w:rFonts w:ascii="Times New Roman" w:hAnsi="Times New Roman"/>
          <w:color w:val="000000" w:themeColor="text1"/>
          <w:sz w:val="28"/>
          <w:szCs w:val="28"/>
          <w:lang w:eastAsia="ru-RU"/>
        </w:rPr>
        <w:t xml:space="preserve">(далее – Единый портал) </w:t>
      </w:r>
      <w:r>
        <w:rPr>
          <w:rFonts w:ascii="Times New Roman" w:hAnsi="Times New Roman"/>
          <w:color w:val="000000" w:themeColor="text1"/>
          <w:sz w:val="28"/>
          <w:szCs w:val="28"/>
        </w:rPr>
        <w:t xml:space="preserve">обеспечено размещение Реестра соглашений. По состоянию на 1 января 2017 года 75 главными распорядителями средств федерального бюджета (далее – ГРБС) в Реестр соглашений включены информация и документы о приблизительно 37 727 соглашениях (договорах) о предоставлении из федерального бюджета </w:t>
      </w:r>
      <w:r>
        <w:rPr>
          <w:rFonts w:ascii="Times New Roman" w:hAnsi="Times New Roman"/>
          <w:color w:val="000000" w:themeColor="text1"/>
          <w:sz w:val="28"/>
          <w:szCs w:val="28"/>
        </w:rPr>
        <w:br/>
        <w:t xml:space="preserve">в установленном порядке субсидий, бюджетных инвестиций юридическим лицам, субсидий, субвенций, иных межбюджетных трансфертов, имеющих целевое назначение, бюджетам субъектов Российской Федерации, а также </w:t>
      </w:r>
      <w:r>
        <w:rPr>
          <w:rFonts w:ascii="Times New Roman" w:hAnsi="Times New Roman"/>
          <w:color w:val="000000" w:themeColor="text1"/>
          <w:sz w:val="28"/>
          <w:szCs w:val="28"/>
        </w:rPr>
        <w:br/>
        <w:t>о законодательных и иных нормативных правовых актах Российской Федерации (далее – НПА), определяющих правила (порядки) предоставления субсидий, бюджетных инвестиций, межбюджетных трансфертов.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9. По состоянию на 1 января 2017 года в ходе проведенной доработки прикладного программного обеспечения </w:t>
      </w:r>
      <w:r>
        <w:rPr>
          <w:rFonts w:ascii="Times New Roman" w:hAnsi="Times New Roman"/>
          <w:color w:val="000000" w:themeColor="text1"/>
          <w:sz w:val="28"/>
          <w:szCs w:val="28"/>
          <w:lang w:eastAsia="ar-SA"/>
        </w:rPr>
        <w:t>государственной автоматизированной информационной системы «Управление» (далее – ГАС «Управление»)</w:t>
      </w:r>
      <w:r>
        <w:rPr>
          <w:rFonts w:ascii="Times New Roman" w:hAnsi="Times New Roman"/>
          <w:color w:val="000000" w:themeColor="text1"/>
          <w:sz w:val="28"/>
          <w:szCs w:val="28"/>
        </w:rPr>
        <w:t xml:space="preserve"> были реализованы инструменты сбора показателей </w:t>
      </w:r>
      <w:r>
        <w:rPr>
          <w:rFonts w:ascii="Times New Roman" w:hAnsi="Times New Roman"/>
          <w:color w:val="000000" w:themeColor="text1"/>
          <w:sz w:val="28"/>
          <w:szCs w:val="28"/>
        </w:rPr>
        <w:br/>
        <w:t>и их представление в форме следующих тематических витрин (информационно-аналитических панелей):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«Прогноз социально-экономического развития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«Социально-экономическое развитие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«Оценка эффективности региональных органов исполнительной власти».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Информационная панель «Мониторинг моногородов» ГАС «Управление» в 2016 году дополнена отчетами, позволяющими </w:t>
      </w:r>
      <w:r>
        <w:rPr>
          <w:rFonts w:ascii="Times New Roman" w:hAnsi="Times New Roman"/>
          <w:color w:val="000000" w:themeColor="text1"/>
          <w:sz w:val="28"/>
          <w:szCs w:val="28"/>
        </w:rPr>
        <w:lastRenderedPageBreak/>
        <w:t xml:space="preserve">анализировать состояние доходов и расходов моногородов, в том числе </w:t>
      </w:r>
      <w:r>
        <w:rPr>
          <w:rFonts w:ascii="Times New Roman" w:hAnsi="Times New Roman"/>
          <w:color w:val="000000" w:themeColor="text1"/>
          <w:sz w:val="28"/>
          <w:szCs w:val="28"/>
        </w:rPr>
        <w:br/>
        <w:t>в динамике.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выполнения «Плана реализации мероприятий </w:t>
      </w:r>
      <w:r>
        <w:rPr>
          <w:rFonts w:ascii="Times New Roman" w:hAnsi="Times New Roman"/>
          <w:color w:val="000000" w:themeColor="text1"/>
          <w:sz w:val="28"/>
          <w:szCs w:val="28"/>
        </w:rPr>
        <w:br/>
        <w:t xml:space="preserve">по исполнению Федерального закона от 28 июня 2014 г. № 172-ФЗ </w:t>
      </w:r>
      <w:r>
        <w:rPr>
          <w:rFonts w:ascii="Times New Roman" w:hAnsi="Times New Roman"/>
          <w:color w:val="000000" w:themeColor="text1"/>
          <w:sz w:val="28"/>
          <w:szCs w:val="28"/>
        </w:rPr>
        <w:br/>
        <w:t xml:space="preserve">«О стратегическом планировании в Российской Федерации» в части информационного обеспечения стратегического планирования» </w:t>
      </w:r>
      <w:r>
        <w:rPr>
          <w:rFonts w:ascii="Times New Roman" w:hAnsi="Times New Roman"/>
          <w:color w:val="000000" w:themeColor="text1"/>
          <w:sz w:val="28"/>
          <w:szCs w:val="28"/>
        </w:rPr>
        <w:br/>
        <w:t xml:space="preserve">в ГАС «Управление» реализован полный бизнес-процесс государственной регистрации документа стратегического планирования, включая функции участника стратегического планирования по формированию уведомления </w:t>
      </w:r>
      <w:r>
        <w:rPr>
          <w:rFonts w:ascii="Times New Roman" w:hAnsi="Times New Roman"/>
          <w:color w:val="000000" w:themeColor="text1"/>
          <w:sz w:val="28"/>
          <w:szCs w:val="28"/>
        </w:rPr>
        <w:br/>
        <w:t xml:space="preserve">об утверждении (одобрении) документа стратегического планирования </w:t>
      </w:r>
      <w:r>
        <w:rPr>
          <w:rFonts w:ascii="Times New Roman" w:hAnsi="Times New Roman"/>
          <w:color w:val="000000" w:themeColor="text1"/>
          <w:sz w:val="28"/>
          <w:szCs w:val="28"/>
        </w:rPr>
        <w:br/>
        <w:t xml:space="preserve">и полномочия Минэкономразвития России по государственной регистрации документа стратегического планирования или направлению уведомления </w:t>
      </w:r>
      <w:r>
        <w:rPr>
          <w:rFonts w:ascii="Times New Roman" w:hAnsi="Times New Roman"/>
          <w:color w:val="000000" w:themeColor="text1"/>
          <w:sz w:val="28"/>
          <w:szCs w:val="28"/>
        </w:rPr>
        <w:br/>
        <w:t xml:space="preserve">об утверждении (одобрении) документа стратегического планирования </w:t>
      </w:r>
      <w:r>
        <w:rPr>
          <w:rFonts w:ascii="Times New Roman" w:hAnsi="Times New Roman"/>
          <w:color w:val="000000" w:themeColor="text1"/>
          <w:sz w:val="28"/>
          <w:szCs w:val="28"/>
        </w:rPr>
        <w:br/>
        <w:t xml:space="preserve">на доработку, и обеспечения ведения федерального государственного реестра документов стратегического планирования. По состоянию </w:t>
      </w:r>
      <w:r>
        <w:rPr>
          <w:rFonts w:ascii="Times New Roman" w:hAnsi="Times New Roman"/>
          <w:color w:val="000000" w:themeColor="text1"/>
          <w:sz w:val="28"/>
          <w:szCs w:val="28"/>
        </w:rPr>
        <w:br/>
        <w:t>на 1 января 2017 года в указанном реестре зарегистрировано 45 658 документов стратегического планирования. Доступ к данному реестру предоставлен в открытой части портала ГАС «Управление» (gasu.gov.ru).</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Реализован функционал автоматизированного сбора, свода, визуализации данных в ГАС «Управление» в рамках осуществления комбинированного сопровождения отдельных государственных контрактов (контрактов, договоров), учитывающего одновременное участие </w:t>
      </w:r>
      <w:r>
        <w:rPr>
          <w:rFonts w:ascii="Times New Roman" w:hAnsi="Times New Roman"/>
          <w:color w:val="000000" w:themeColor="text1"/>
          <w:sz w:val="28"/>
          <w:szCs w:val="28"/>
        </w:rPr>
        <w:br/>
        <w:t xml:space="preserve">в кооперации организаций, находящихся на казначейском сопровождении, </w:t>
      </w:r>
      <w:r>
        <w:rPr>
          <w:rFonts w:ascii="Times New Roman" w:hAnsi="Times New Roman"/>
          <w:color w:val="000000" w:themeColor="text1"/>
          <w:sz w:val="28"/>
          <w:szCs w:val="28"/>
        </w:rPr>
        <w:br/>
        <w:t xml:space="preserve">и организаций, находящихся на банковском сопровождении, </w:t>
      </w:r>
      <w:r>
        <w:rPr>
          <w:rFonts w:ascii="Times New Roman" w:hAnsi="Times New Roman"/>
          <w:color w:val="000000" w:themeColor="text1"/>
          <w:sz w:val="28"/>
          <w:szCs w:val="28"/>
        </w:rPr>
        <w:br/>
        <w:t xml:space="preserve">и формирования соответствующих отчетов на основании информации </w:t>
      </w:r>
      <w:r>
        <w:rPr>
          <w:rFonts w:ascii="Times New Roman" w:hAnsi="Times New Roman"/>
          <w:color w:val="000000" w:themeColor="text1"/>
          <w:sz w:val="28"/>
          <w:szCs w:val="28"/>
        </w:rPr>
        <w:br/>
        <w:t>по казначейскому сопровождению отдельных государственных контрактов (контрактов, договоров).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Счетной палатой Российской Федерации осуществлена интеграция ведомственной информационной системы «Информационно-аналитическая система удаленного проведения внешнего государственного аудита (контроля) Счетной палаты Российской Федерации» </w:t>
      </w:r>
      <w:r>
        <w:rPr>
          <w:rFonts w:ascii="Times New Roman" w:hAnsi="Times New Roman"/>
          <w:color w:val="000000" w:themeColor="text1"/>
          <w:sz w:val="28"/>
          <w:szCs w:val="28"/>
        </w:rPr>
        <w:br/>
        <w:t>с ГАС «Управление» с целью использования сведений ГАС «Управление» при проведении контрольных мероприятий.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1 января 2017 года число пользователей закрытой части портала ГАС «Управление» составило 36 257, что по сравнению </w:t>
      </w:r>
      <w:r>
        <w:rPr>
          <w:rFonts w:ascii="Times New Roman" w:hAnsi="Times New Roman"/>
          <w:color w:val="000000" w:themeColor="text1"/>
          <w:sz w:val="28"/>
          <w:szCs w:val="28"/>
        </w:rPr>
        <w:br/>
        <w:t xml:space="preserve">с 1 января 2016 года (13 926) увеличилось в 2,6 раза. Количество подключенных к закрытой части портала ГАС «Управление» органов власти составило: 65 ФОИВ, 2 832 региональных органа исполнительной власти (далее – РОИВ)и 11 949 органов местного самоуправления, что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по сравнению с 1 января 2016 года увеличилось на 914 региональных органов исполнительной власти и 6 744 органа местного самоуправления соответственно.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к закрытой части портала ГАС «Управление» предоставлен доступ Управлению делами Президента Российской Федерации (Аппарат полномочного представителя Президента Российской Федерации по Северо-Западному федеральному округу), Государственной корпорации </w:t>
      </w:r>
      <w:r>
        <w:rPr>
          <w:rFonts w:ascii="Times New Roman" w:hAnsi="Times New Roman"/>
          <w:color w:val="000000" w:themeColor="text1"/>
          <w:sz w:val="28"/>
          <w:szCs w:val="28"/>
        </w:rPr>
        <w:br/>
        <w:t>по космической деятельности «Роскосмос», Государственной корпорации по атомной энергии «Росатом», Федеральному казенному учреждению «Дирекция космодрома «Восточный», некоммерческой организации «Фонд развития моногородов».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10. По состоянию на 1 января 2017 года участниками Государственной информационной системы о государственных </w:t>
      </w:r>
      <w:r>
        <w:rPr>
          <w:rFonts w:ascii="Times New Roman" w:hAnsi="Times New Roman"/>
          <w:color w:val="000000" w:themeColor="text1"/>
          <w:sz w:val="28"/>
          <w:szCs w:val="28"/>
        </w:rPr>
        <w:br/>
        <w:t xml:space="preserve">и муниципальных платежах </w:t>
      </w:r>
      <w:r>
        <w:rPr>
          <w:rFonts w:ascii="Times New Roman" w:hAnsi="Times New Roman"/>
          <w:color w:val="000000" w:themeColor="text1"/>
          <w:sz w:val="28"/>
          <w:szCs w:val="28"/>
          <w:lang w:eastAsia="ar-SA"/>
        </w:rPr>
        <w:t>(далее – ГИС ГМП)</w:t>
      </w:r>
      <w:r>
        <w:rPr>
          <w:rFonts w:ascii="Times New Roman" w:hAnsi="Times New Roman"/>
          <w:color w:val="000000" w:themeColor="text1"/>
          <w:sz w:val="28"/>
          <w:szCs w:val="28"/>
        </w:rPr>
        <w:t xml:space="preserve"> являются 67 867 организаций и учреждений, из них:</w:t>
      </w:r>
    </w:p>
    <w:p>
      <w:pPr>
        <w:autoSpaceDE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625 кредитных организаций, из числа которых 596 кредитными организациями обеспечивается взаимодействие с ГИС ГМП, что составляет 95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62 530 администраторов начислений (администраторы доходов бюджетов бюджетной системы Российской Федерации, государственные </w:t>
      </w:r>
      <w:r>
        <w:rPr>
          <w:rFonts w:ascii="Times New Roman" w:hAnsi="Times New Roman"/>
          <w:color w:val="000000" w:themeColor="text1"/>
          <w:sz w:val="28"/>
          <w:szCs w:val="28"/>
        </w:rPr>
        <w:br/>
        <w:t>и муниципальные учреждения), из числа которых 45 320 администраторами начислений обеспечивается взаимодействие с ГИС ГМП, что составляет 72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11. По состоянию на 1 января 2017 года количество зарегистрированных на официальном сайте Российской Федерации </w:t>
      </w:r>
      <w:r>
        <w:rPr>
          <w:rFonts w:ascii="Times New Roman" w:hAnsi="Times New Roman"/>
          <w:color w:val="000000" w:themeColor="text1"/>
          <w:sz w:val="28"/>
          <w:szCs w:val="28"/>
        </w:rPr>
        <w:br/>
        <w:t>в информационно-телекоммуникационной сети «Интернет» для размещения информации о государственных (муниципальных) учреждениях (www.</w:t>
      </w:r>
      <w:hyperlink r:id="rId10" w:history="1">
        <w:r>
          <w:rPr>
            <w:rFonts w:ascii="Times New Roman" w:hAnsi="Times New Roman"/>
            <w:color w:val="000000" w:themeColor="text1"/>
            <w:sz w:val="28"/>
            <w:szCs w:val="28"/>
          </w:rPr>
          <w:t>bus.gov.ru</w:t>
        </w:r>
      </w:hyperlink>
      <w:r>
        <w:rPr>
          <w:rFonts w:ascii="Times New Roman" w:hAnsi="Times New Roman"/>
          <w:color w:val="000000" w:themeColor="text1"/>
          <w:sz w:val="28"/>
          <w:szCs w:val="28"/>
        </w:rPr>
        <w:t xml:space="preserve">) (далее – Официальный сайт ГМУ) государственных </w:t>
      </w:r>
      <w:r>
        <w:rPr>
          <w:rFonts w:ascii="Times New Roman" w:hAnsi="Times New Roman"/>
          <w:color w:val="000000" w:themeColor="text1"/>
          <w:sz w:val="28"/>
          <w:szCs w:val="28"/>
        </w:rPr>
        <w:br/>
        <w:t>и муниципальных учреждений составило 164 311 (96 % от общего количества государственных и муниципальных учреждений, содержащихся в Реестре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развития Официального сайта ГМУ в 2016 году обеспечена возможность автоматической публикации на нем информации из Реестра государственных заданий, передачи и отображения изменений в базовых (отраслевых) перечнях государственных (муниципальных) услуг (работ) </w:t>
      </w:r>
      <w:r>
        <w:rPr>
          <w:rFonts w:ascii="Times New Roman" w:hAnsi="Times New Roman"/>
          <w:color w:val="000000" w:themeColor="text1"/>
          <w:sz w:val="28"/>
          <w:szCs w:val="28"/>
        </w:rPr>
        <w:br/>
        <w:t xml:space="preserve">и ведомственных перечнях государственных и муниципальных услуг (работ). В части независимой оценки качества оказания услуг организациями социальной сферы (далее – Независимая оценка) </w:t>
      </w:r>
      <w:r>
        <w:rPr>
          <w:rFonts w:ascii="Times New Roman" w:hAnsi="Times New Roman"/>
          <w:color w:val="000000" w:themeColor="text1"/>
          <w:sz w:val="28"/>
          <w:szCs w:val="28"/>
        </w:rPr>
        <w:br/>
        <w:t xml:space="preserve">на Официальном сайте ГМУ обеспечена возможность формирования </w:t>
      </w:r>
      <w:r>
        <w:rPr>
          <w:rFonts w:ascii="Times New Roman" w:hAnsi="Times New Roman"/>
          <w:color w:val="000000" w:themeColor="text1"/>
          <w:sz w:val="28"/>
          <w:szCs w:val="28"/>
        </w:rPr>
        <w:lastRenderedPageBreak/>
        <w:t xml:space="preserve">аналитических и статистических отчетов по результатам размещения информации о результатах Независимой оценки, а также размещения уполномоченными органами сведений об общественных советах </w:t>
      </w:r>
      <w:r>
        <w:rPr>
          <w:rFonts w:ascii="Times New Roman" w:hAnsi="Times New Roman"/>
          <w:color w:val="000000" w:themeColor="text1"/>
          <w:sz w:val="28"/>
          <w:szCs w:val="28"/>
        </w:rPr>
        <w:br/>
        <w:t xml:space="preserve">по проведению Независимой оценки, о критериях оценки качества оказания услуг организациями, перечней организаций, в отношении которых проводится Независимая оценка, и иных сведений, информации </w:t>
      </w:r>
      <w:r>
        <w:rPr>
          <w:rFonts w:ascii="Times New Roman" w:hAnsi="Times New Roman"/>
          <w:color w:val="000000" w:themeColor="text1"/>
          <w:sz w:val="28"/>
          <w:szCs w:val="28"/>
        </w:rPr>
        <w:br/>
        <w:t>и документов по вопросам проведения Независимой оценки.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среднем в 2016 году ежедневно Официальный сайт ГМУ посещало более 25 тысяч уникальных пользователей и фиксировалось порядка </w:t>
      </w:r>
      <w:r>
        <w:rPr>
          <w:rFonts w:ascii="Times New Roman" w:hAnsi="Times New Roman"/>
          <w:color w:val="000000" w:themeColor="text1"/>
          <w:sz w:val="28"/>
          <w:szCs w:val="28"/>
        </w:rPr>
        <w:br/>
        <w:t>100 тысяч просмотров страниц.</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12. С 1 января 2016 года введена в эксплуатацию Единая информационная система в сфере закупок (далее – ЕИС), создание которой осуществлялось путем модернизации официального сайта Российской Федерации в информационно-телекоммуникационной сети «Интернет» </w:t>
      </w:r>
      <w:r>
        <w:rPr>
          <w:rFonts w:ascii="Times New Roman" w:hAnsi="Times New Roman"/>
          <w:color w:val="000000" w:themeColor="text1"/>
          <w:sz w:val="28"/>
          <w:szCs w:val="28"/>
        </w:rPr>
        <w:br/>
        <w:t>для размещения информации о размещении заказов на поставки товаров, выполнение работ, оказание услуг (</w:t>
      </w:r>
      <w:hyperlink r:id="rId11" w:history="1">
        <w:r>
          <w:rPr>
            <w:rFonts w:ascii="Times New Roman" w:hAnsi="Times New Roman"/>
            <w:color w:val="000000" w:themeColor="text1"/>
            <w:sz w:val="28"/>
            <w:szCs w:val="28"/>
          </w:rPr>
          <w:t>www.zаkupki.gov.ru</w:t>
        </w:r>
      </w:hyperlink>
      <w:r>
        <w:rPr>
          <w:rFonts w:ascii="Times New Roman" w:hAnsi="Times New Roman"/>
          <w:color w:val="000000" w:themeColor="text1"/>
          <w:sz w:val="28"/>
          <w:szCs w:val="28"/>
        </w:rPr>
        <w:t>), а также путем разработки новых функциональных модулей.</w:t>
      </w:r>
    </w:p>
    <w:p>
      <w:pPr>
        <w:tabs>
          <w:tab w:val="left" w:pos="836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состоянию на 1 января 2017 года:</w:t>
      </w:r>
    </w:p>
    <w:p>
      <w:pPr>
        <w:tabs>
          <w:tab w:val="left" w:pos="836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общее количество организаций-заказчиков, зарегистрированных </w:t>
      </w:r>
      <w:r>
        <w:rPr>
          <w:rFonts w:ascii="Times New Roman" w:hAnsi="Times New Roman"/>
          <w:color w:val="000000" w:themeColor="text1"/>
          <w:sz w:val="28"/>
          <w:szCs w:val="28"/>
        </w:rPr>
        <w:br/>
        <w:t>в ЕИС, в соответствии с положениями Федерального закона № 44-ФЗ, составило 281 990, общее количество процедур размещения заказов (опубликованных извещений) в течение 2016 года составило 3 085 448, общая сумма размещенных закупок – 6 512 426,7 млн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общее количество организаций-заказчиков, зарегистрированных </w:t>
      </w:r>
      <w:r>
        <w:rPr>
          <w:rFonts w:ascii="Times New Roman" w:hAnsi="Times New Roman"/>
          <w:color w:val="000000" w:themeColor="text1"/>
          <w:sz w:val="28"/>
          <w:szCs w:val="28"/>
        </w:rPr>
        <w:br/>
        <w:t xml:space="preserve">в ЕИС, в соответствии с положениями Федерального закона от 18 июля 2011 г. № 223-ФЗ «О закупках товаров, работ, услуг отдельными видами юридических лиц» (далее – Федеральный закон № 223-ФЗ), составило 84 419, общее количество процедур размещения заказов (опубликованных извещений) – 1 422 676, общая сумма размещенных закупок в течение </w:t>
      </w:r>
      <w:r>
        <w:rPr>
          <w:rFonts w:ascii="Times New Roman" w:hAnsi="Times New Roman"/>
          <w:color w:val="000000" w:themeColor="text1"/>
          <w:sz w:val="28"/>
          <w:szCs w:val="28"/>
        </w:rPr>
        <w:br/>
        <w:t>2016 года – 25 723 303,9 млн рублей, 21 785 извещений об осуществлении закупок размещено в иностранной валюте.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соответствии с постановлением Правительства Российской Федерации от 31 октября 2014 г. № 1132 с 1 января 2015 года обеспечено ведение Реестра договоров, заключенных заказчиками </w:t>
      </w:r>
      <w:r>
        <w:rPr>
          <w:rFonts w:ascii="Times New Roman" w:hAnsi="Times New Roman"/>
          <w:color w:val="000000" w:themeColor="text1"/>
          <w:sz w:val="28"/>
          <w:szCs w:val="28"/>
        </w:rPr>
        <w:br/>
        <w:t xml:space="preserve">по результатам закупки. За период с 1 января по 31 декабря 2016 года </w:t>
      </w:r>
      <w:r>
        <w:rPr>
          <w:rFonts w:ascii="Times New Roman" w:hAnsi="Times New Roman"/>
          <w:color w:val="000000" w:themeColor="text1"/>
          <w:sz w:val="28"/>
          <w:szCs w:val="28"/>
        </w:rPr>
        <w:br/>
        <w:t>в ЕИС размещено 1 128 346 договоров на сумму 16 827 202,6 млн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13. Указом Президента Российской Федерации от 2 февраля 2016 г. № 41 «О некоторых вопросах государственного контроля и надзора </w:t>
      </w:r>
      <w:r>
        <w:rPr>
          <w:rFonts w:ascii="Times New Roman" w:hAnsi="Times New Roman"/>
          <w:color w:val="000000" w:themeColor="text1"/>
          <w:sz w:val="28"/>
          <w:szCs w:val="28"/>
        </w:rPr>
        <w:br/>
        <w:t xml:space="preserve">в финансово-бюджетной сфере» (далее – Указ Президента № 41) была </w:t>
      </w:r>
      <w:r>
        <w:rPr>
          <w:rFonts w:ascii="Times New Roman" w:hAnsi="Times New Roman"/>
          <w:color w:val="000000" w:themeColor="text1"/>
          <w:sz w:val="28"/>
          <w:szCs w:val="28"/>
        </w:rPr>
        <w:lastRenderedPageBreak/>
        <w:t xml:space="preserve">упразднена Федеральная служба финансово-бюджетного надзора, </w:t>
      </w:r>
      <w:r>
        <w:rPr>
          <w:rFonts w:ascii="Times New Roman" w:hAnsi="Times New Roman"/>
          <w:color w:val="000000" w:themeColor="text1"/>
          <w:sz w:val="28"/>
          <w:szCs w:val="28"/>
        </w:rPr>
        <w:br/>
        <w:t>а ее функции по контролю и надзору в финансово-бюджетной сфере переданы Федеральному казначейству. В 2016 году в центральном аппарате и территориальных органах Федерального казначейства созданы структурные подразделения, на которые возложены соответствующие полномочия, обеспечена преемственность и непрерывность исполнения переданных функций по осуществлению контроля и надзора в финансово-бюджетной сфере.</w:t>
      </w:r>
    </w:p>
    <w:p>
      <w:pPr>
        <w:spacing w:after="12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Реализация указанных полномочий в течение 2016 года в целом характеризуется следующими показателями:</w:t>
      </w:r>
    </w:p>
    <w:tbl>
      <w:tblPr>
        <w:tblStyle w:val="afc"/>
        <w:tblW w:w="0" w:type="auto"/>
        <w:tblLook w:val="04A0" w:firstRow="1" w:lastRow="0" w:firstColumn="1" w:lastColumn="0" w:noHBand="0" w:noVBand="1"/>
      </w:tblPr>
      <w:tblGrid>
        <w:gridCol w:w="458"/>
        <w:gridCol w:w="4915"/>
        <w:gridCol w:w="1666"/>
        <w:gridCol w:w="2390"/>
      </w:tblGrid>
      <w:tr>
        <w:trPr>
          <w:trHeight w:val="641"/>
          <w:tblHeader/>
        </w:trPr>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Единица измерения</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Значение за оцениваемый период</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Общее количество проведенных проверок в финансово-бюджетной сфере</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шт.</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5 014</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Общий объем проверенных средств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тыс. рублей</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5 040 938 203,50</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Общая сумма выявленных нарушений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тыс. рублей</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681 982 949,72</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Количество наложенных штрафов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шт.</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1 470</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Общая сумма наложенных штрафов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тыс. рублей</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20 772,36</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Общая сумма уплаченных штрафов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тыс. рублей</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22 420,97</w:t>
            </w:r>
          </w:p>
        </w:tc>
      </w:tr>
      <w:tr>
        <w:trPr>
          <w:trHeight w:val="69"/>
        </w:trP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Общий объем возвращенных средств по итогам проведенных проверок и исполненных предписаний в финансово-бюджетной сфере</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тыс. рублей</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19 977 920,08</w:t>
            </w:r>
          </w:p>
        </w:tc>
      </w:tr>
      <w:tr>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8.</w:t>
            </w:r>
          </w:p>
        </w:tc>
        <w:tc>
          <w:tcPr>
            <w:tcW w:w="0" w:type="auto"/>
            <w:tcBorders>
              <w:top w:val="single" w:sz="4" w:space="0" w:color="auto"/>
              <w:left w:val="single" w:sz="4" w:space="0" w:color="auto"/>
              <w:bottom w:val="single" w:sz="4" w:space="0" w:color="auto"/>
              <w:right w:val="single" w:sz="4" w:space="0" w:color="auto"/>
            </w:tcBorders>
          </w:tcPr>
          <w:p>
            <w:pPr>
              <w:spacing w:line="24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Количество бюджетных мер принуждения, осуществленных по итогам проведенных проверок</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center"/>
              <w:rPr>
                <w:rFonts w:ascii="Times New Roman" w:hAnsi="Times New Roman"/>
                <w:color w:val="000000" w:themeColor="text1"/>
                <w:sz w:val="24"/>
                <w:szCs w:val="24"/>
              </w:rPr>
            </w:pPr>
            <w:r>
              <w:rPr>
                <w:rFonts w:ascii="Times New Roman" w:hAnsi="Times New Roman"/>
                <w:color w:val="000000" w:themeColor="text1"/>
                <w:sz w:val="24"/>
                <w:szCs w:val="24"/>
              </w:rPr>
              <w:t>шт.</w:t>
            </w:r>
          </w:p>
        </w:tc>
        <w:tc>
          <w:tcPr>
            <w:tcW w:w="0" w:type="auto"/>
            <w:tcBorders>
              <w:top w:val="single" w:sz="4" w:space="0" w:color="auto"/>
              <w:left w:val="single" w:sz="4" w:space="0" w:color="auto"/>
              <w:bottom w:val="single" w:sz="4" w:space="0" w:color="auto"/>
              <w:right w:val="single" w:sz="4" w:space="0" w:color="auto"/>
            </w:tcBorders>
            <w:vAlign w:val="center"/>
          </w:tcPr>
          <w:p>
            <w:pPr>
              <w:spacing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56</w:t>
            </w:r>
          </w:p>
        </w:tc>
      </w:tr>
    </w:tbl>
    <w:p>
      <w:pPr>
        <w:spacing w:after="0" w:line="360" w:lineRule="atLeast"/>
        <w:jc w:val="both"/>
        <w:rPr>
          <w:rFonts w:ascii="Times New Roman" w:hAnsi="Times New Roman"/>
          <w:color w:val="000000" w:themeColor="text1"/>
          <w:sz w:val="24"/>
          <w:szCs w:val="24"/>
        </w:rPr>
      </w:pPr>
      <w:r>
        <w:rPr>
          <w:rFonts w:ascii="Times New Roman" w:hAnsi="Times New Roman"/>
          <w:color w:val="000000" w:themeColor="text1"/>
          <w:sz w:val="24"/>
          <w:szCs w:val="24"/>
        </w:rPr>
        <w:t>* без учета штрафов, наложенных/взысканных судебными и иными уполномоченными органами.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14. В соответствии с Указом Президента № 41 государственная функция по внешнему контролю качества работы аудиторских организаций, определенных Федеральным законом «Об аудиторской деятельности» (далее – ВККР АО), от упраздненной Федеральной службы финансово-бюджетного надзора передана Федеральному казначейству.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осуществлении государственной функции по ВККР АО </w:t>
      </w:r>
      <w:r>
        <w:rPr>
          <w:rFonts w:ascii="Times New Roman" w:hAnsi="Times New Roman"/>
          <w:color w:val="000000" w:themeColor="text1"/>
          <w:sz w:val="28"/>
          <w:szCs w:val="28"/>
        </w:rPr>
        <w:br/>
        <w:t xml:space="preserve">в 2016 году было проведено 239 выездных внешних проверок качества работы аудиторских организаций (217 плановых проверок и 22 внеплановых проверки аудиторских организаций в связи с поступлением жалоб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на действия (бездействия) аудиторских организаций, а также в целях обеспечения контроля за надлежащим исполнением ранее выданных предписаний, обязывающих устранить выявленные по результатам проверок нарушения).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результатам проведенных в 2016 году проверок ВККР АО было вынесено 188 решений о применении мер воздействия.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государственной функции в 2016 году составлено 29 протоколов об административных правонарушениях </w:t>
      </w:r>
      <w:r>
        <w:rPr>
          <w:rFonts w:ascii="Times New Roman" w:hAnsi="Times New Roman"/>
          <w:color w:val="000000" w:themeColor="text1"/>
          <w:sz w:val="28"/>
          <w:szCs w:val="28"/>
        </w:rPr>
        <w:br/>
        <w:t xml:space="preserve">(8 протоколов – за воспрепятствование законной деятельности должностного лица органа государственного контроля (статья 19.4.1 Кодекса Российской Федерации об административных правонарушениях (далее – КоАП), 21 протокол – за представление сведений (информации) </w:t>
      </w:r>
      <w:r>
        <w:rPr>
          <w:rFonts w:ascii="Times New Roman" w:hAnsi="Times New Roman"/>
          <w:color w:val="000000" w:themeColor="text1"/>
          <w:sz w:val="28"/>
          <w:szCs w:val="28"/>
        </w:rPr>
        <w:br/>
        <w:t>в неполном объеме или искаженном виде (статья 19.7 КоАП).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поручения Президента Российской Федерации </w:t>
      </w:r>
      <w:r>
        <w:rPr>
          <w:rFonts w:ascii="Times New Roman" w:hAnsi="Times New Roman"/>
          <w:color w:val="000000" w:themeColor="text1"/>
          <w:sz w:val="28"/>
          <w:szCs w:val="28"/>
        </w:rPr>
        <w:br/>
        <w:t xml:space="preserve">от 11 августа 2016 г. № Пр-1596 информация об исполнении государственной функции по ВККР АО в 2016 году была размещена </w:t>
      </w:r>
      <w:r>
        <w:rPr>
          <w:rFonts w:ascii="Times New Roman" w:hAnsi="Times New Roman"/>
          <w:color w:val="000000" w:themeColor="text1"/>
          <w:sz w:val="28"/>
          <w:szCs w:val="28"/>
        </w:rPr>
        <w:br/>
        <w:t>в автоматизированной системе «Единый реестр проверок».</w:t>
      </w:r>
    </w:p>
    <w:p>
      <w:pPr>
        <w:tabs>
          <w:tab w:val="left" w:pos="709"/>
          <w:tab w:val="left" w:pos="1134"/>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Подготовлен Временный классификатор нарушений и недостатков, выявляемых в ходе внешнего контроля качества работы аудиторских организаций, аудиторов (одобрен Советом по аудиторской деятельности </w:t>
      </w:r>
      <w:r>
        <w:rPr>
          <w:rFonts w:ascii="Times New Roman" w:hAnsi="Times New Roman"/>
          <w:color w:val="000000" w:themeColor="text1"/>
          <w:sz w:val="28"/>
          <w:szCs w:val="28"/>
        </w:rPr>
        <w:br/>
        <w:t>15 декабря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Приказом Федерального казначейства от 30 июня 2016 г. № 236 создан Совет по организации внешнего контроля качества работы аудиторских организаций и проведены заседания (6 сентября и 25 ноября 2016 года) с участием представителей Минфина России, Контрольного управления Президента Российской Федерации, Росимущества, Агентства по страхованию вкладов, Банка России, саморегулируемых организаций аудиторов.</w:t>
      </w:r>
    </w:p>
    <w:p>
      <w:pPr>
        <w:pStyle w:val="21"/>
        <w:pageBreakBefore/>
        <w:tabs>
          <w:tab w:val="left" w:pos="284"/>
          <w:tab w:val="left" w:pos="993"/>
          <w:tab w:val="left" w:pos="1276"/>
        </w:tabs>
        <w:spacing w:line="240" w:lineRule="auto"/>
        <w:ind w:firstLine="709"/>
        <w:jc w:val="both"/>
        <w:rPr>
          <w:b/>
          <w:color w:val="000000" w:themeColor="text1"/>
          <w:sz w:val="28"/>
          <w:szCs w:val="28"/>
        </w:rPr>
      </w:pPr>
      <w:r>
        <w:rPr>
          <w:b/>
          <w:color w:val="000000" w:themeColor="text1"/>
          <w:sz w:val="28"/>
          <w:szCs w:val="28"/>
        </w:rPr>
        <w:lastRenderedPageBreak/>
        <w:t>Краткая информация о государственных программах Российской Федерации, в реализации которых принимает участие Федеральное казначейство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8"/>
        <w:gridCol w:w="2378"/>
        <w:gridCol w:w="2272"/>
        <w:gridCol w:w="2091"/>
      </w:tblGrid>
      <w:tr>
        <w:trPr>
          <w:trHeight w:val="390"/>
          <w:jc w:val="center"/>
        </w:trPr>
        <w:tc>
          <w:tcPr>
            <w:tcW w:w="2688" w:type="dxa"/>
            <w:vAlign w:val="center"/>
          </w:tcPr>
          <w:p>
            <w:pPr>
              <w:pStyle w:val="21"/>
              <w:spacing w:after="0" w:line="240" w:lineRule="auto"/>
              <w:jc w:val="center"/>
              <w:rPr>
                <w:b/>
                <w:color w:val="000000" w:themeColor="text1"/>
                <w:sz w:val="24"/>
                <w:szCs w:val="24"/>
              </w:rPr>
            </w:pPr>
            <w:r>
              <w:rPr>
                <w:b/>
                <w:color w:val="000000" w:themeColor="text1"/>
                <w:sz w:val="24"/>
                <w:szCs w:val="24"/>
              </w:rPr>
              <w:t>Наименование государственной программы Российской Федерации</w:t>
            </w:r>
          </w:p>
        </w:tc>
        <w:tc>
          <w:tcPr>
            <w:tcW w:w="0" w:type="auto"/>
            <w:vAlign w:val="center"/>
          </w:tcPr>
          <w:p>
            <w:pPr>
              <w:pStyle w:val="21"/>
              <w:spacing w:after="0" w:line="240" w:lineRule="auto"/>
              <w:jc w:val="center"/>
              <w:rPr>
                <w:b/>
                <w:color w:val="000000" w:themeColor="text1"/>
                <w:sz w:val="24"/>
                <w:szCs w:val="24"/>
              </w:rPr>
            </w:pPr>
            <w:r>
              <w:rPr>
                <w:b/>
                <w:color w:val="000000" w:themeColor="text1"/>
                <w:sz w:val="24"/>
                <w:szCs w:val="24"/>
              </w:rPr>
              <w:t>Статус государственной программы Российской Федерации</w:t>
            </w:r>
          </w:p>
        </w:tc>
        <w:tc>
          <w:tcPr>
            <w:tcW w:w="2272" w:type="dxa"/>
            <w:vAlign w:val="center"/>
          </w:tcPr>
          <w:p>
            <w:pPr>
              <w:pStyle w:val="21"/>
              <w:spacing w:after="0" w:line="240" w:lineRule="auto"/>
              <w:jc w:val="center"/>
              <w:rPr>
                <w:b/>
                <w:color w:val="000000" w:themeColor="text1"/>
                <w:sz w:val="24"/>
                <w:szCs w:val="24"/>
              </w:rPr>
            </w:pPr>
            <w:r>
              <w:rPr>
                <w:b/>
                <w:color w:val="000000" w:themeColor="text1"/>
                <w:sz w:val="24"/>
                <w:szCs w:val="24"/>
              </w:rPr>
              <w:t>Ответственный исполнитель государственной программы Российской Федерации</w:t>
            </w:r>
          </w:p>
        </w:tc>
        <w:tc>
          <w:tcPr>
            <w:tcW w:w="2091" w:type="dxa"/>
            <w:vAlign w:val="center"/>
          </w:tcPr>
          <w:p>
            <w:pPr>
              <w:pStyle w:val="21"/>
              <w:spacing w:after="0" w:line="240" w:lineRule="auto"/>
              <w:ind w:left="-156" w:right="-143"/>
              <w:jc w:val="center"/>
              <w:rPr>
                <w:b/>
                <w:color w:val="000000" w:themeColor="text1"/>
                <w:sz w:val="24"/>
                <w:szCs w:val="24"/>
              </w:rPr>
            </w:pPr>
            <w:r>
              <w:rPr>
                <w:b/>
                <w:color w:val="000000" w:themeColor="text1"/>
                <w:sz w:val="24"/>
                <w:szCs w:val="24"/>
              </w:rPr>
              <w:t xml:space="preserve">Роль Федерального казначейства </w:t>
            </w:r>
            <w:r>
              <w:rPr>
                <w:b/>
                <w:color w:val="000000" w:themeColor="text1"/>
                <w:sz w:val="24"/>
                <w:szCs w:val="24"/>
              </w:rPr>
              <w:br/>
              <w:t xml:space="preserve">в разработке </w:t>
            </w:r>
            <w:r>
              <w:rPr>
                <w:b/>
                <w:color w:val="000000" w:themeColor="text1"/>
                <w:sz w:val="24"/>
                <w:szCs w:val="24"/>
              </w:rPr>
              <w:br/>
              <w:t>и реализации государственной программы Российской Федерации</w:t>
            </w:r>
          </w:p>
        </w:tc>
      </w:tr>
      <w:tr>
        <w:trPr>
          <w:trHeight w:val="345"/>
          <w:jc w:val="center"/>
        </w:trPr>
        <w:tc>
          <w:tcPr>
            <w:tcW w:w="2688" w:type="dxa"/>
            <w:vAlign w:val="center"/>
          </w:tcPr>
          <w:p>
            <w:pPr>
              <w:pStyle w:val="21"/>
              <w:spacing w:after="0" w:line="240" w:lineRule="auto"/>
              <w:jc w:val="center"/>
              <w:rPr>
                <w:color w:val="000000" w:themeColor="text1"/>
                <w:sz w:val="24"/>
                <w:szCs w:val="24"/>
              </w:rPr>
            </w:pPr>
            <w:r>
              <w:rPr>
                <w:color w:val="000000" w:themeColor="text1"/>
                <w:sz w:val="24"/>
                <w:szCs w:val="24"/>
              </w:rPr>
              <w:t>Управление государственными финансами и регулирование финансовых рынков</w:t>
            </w:r>
          </w:p>
        </w:tc>
        <w:tc>
          <w:tcPr>
            <w:tcW w:w="0" w:type="auto"/>
            <w:vAlign w:val="center"/>
          </w:tcPr>
          <w:p>
            <w:pPr>
              <w:pStyle w:val="21"/>
              <w:spacing w:after="0" w:line="240" w:lineRule="auto"/>
              <w:jc w:val="center"/>
              <w:rPr>
                <w:color w:val="000000" w:themeColor="text1"/>
                <w:sz w:val="24"/>
                <w:szCs w:val="24"/>
              </w:rPr>
            </w:pPr>
            <w:r>
              <w:rPr>
                <w:color w:val="000000" w:themeColor="text1"/>
                <w:sz w:val="24"/>
                <w:szCs w:val="24"/>
              </w:rPr>
              <w:t>Утверждена</w:t>
            </w:r>
          </w:p>
        </w:tc>
        <w:tc>
          <w:tcPr>
            <w:tcW w:w="2272" w:type="dxa"/>
            <w:vAlign w:val="center"/>
          </w:tcPr>
          <w:p>
            <w:pPr>
              <w:pStyle w:val="21"/>
              <w:spacing w:after="0" w:line="240" w:lineRule="auto"/>
              <w:jc w:val="center"/>
              <w:rPr>
                <w:color w:val="000000" w:themeColor="text1"/>
                <w:sz w:val="24"/>
                <w:szCs w:val="24"/>
              </w:rPr>
            </w:pPr>
            <w:r>
              <w:rPr>
                <w:color w:val="000000" w:themeColor="text1"/>
                <w:sz w:val="24"/>
                <w:szCs w:val="24"/>
              </w:rPr>
              <w:t>Министерство финансов Российской Федерации</w:t>
            </w:r>
          </w:p>
        </w:tc>
        <w:tc>
          <w:tcPr>
            <w:tcW w:w="2091" w:type="dxa"/>
            <w:vAlign w:val="center"/>
          </w:tcPr>
          <w:p>
            <w:pPr>
              <w:pStyle w:val="21"/>
              <w:spacing w:after="0" w:line="240" w:lineRule="auto"/>
              <w:jc w:val="center"/>
              <w:rPr>
                <w:color w:val="000000" w:themeColor="text1"/>
                <w:sz w:val="24"/>
                <w:szCs w:val="24"/>
              </w:rPr>
            </w:pPr>
            <w:r>
              <w:rPr>
                <w:color w:val="000000" w:themeColor="text1"/>
                <w:sz w:val="24"/>
                <w:szCs w:val="24"/>
              </w:rPr>
              <w:t>Участник</w:t>
            </w:r>
          </w:p>
        </w:tc>
      </w:tr>
      <w:tr>
        <w:trPr>
          <w:trHeight w:val="345"/>
          <w:jc w:val="center"/>
        </w:trPr>
        <w:tc>
          <w:tcPr>
            <w:tcW w:w="2688" w:type="dxa"/>
            <w:vAlign w:val="center"/>
          </w:tcPr>
          <w:p>
            <w:pPr>
              <w:pStyle w:val="21"/>
              <w:spacing w:after="0" w:line="240" w:lineRule="auto"/>
              <w:jc w:val="center"/>
              <w:rPr>
                <w:color w:val="000000" w:themeColor="text1"/>
                <w:sz w:val="24"/>
                <w:szCs w:val="24"/>
              </w:rPr>
            </w:pPr>
            <w:r>
              <w:rPr>
                <w:color w:val="000000" w:themeColor="text1"/>
                <w:sz w:val="24"/>
                <w:szCs w:val="24"/>
              </w:rPr>
              <w:t>Обеспечение доступным и комфортным жильем</w:t>
            </w:r>
            <w:r>
              <w:rPr>
                <w:color w:val="000000" w:themeColor="text1"/>
                <w:sz w:val="24"/>
                <w:szCs w:val="24"/>
              </w:rPr>
              <w:br/>
              <w:t>и коммунальными услугами граждан Российской Федерации</w:t>
            </w:r>
          </w:p>
        </w:tc>
        <w:tc>
          <w:tcPr>
            <w:tcW w:w="0" w:type="auto"/>
            <w:vAlign w:val="center"/>
          </w:tcPr>
          <w:p>
            <w:pPr>
              <w:pStyle w:val="21"/>
              <w:spacing w:after="0" w:line="240" w:lineRule="auto"/>
              <w:jc w:val="center"/>
              <w:rPr>
                <w:color w:val="000000" w:themeColor="text1"/>
                <w:sz w:val="24"/>
                <w:szCs w:val="24"/>
              </w:rPr>
            </w:pPr>
            <w:r>
              <w:rPr>
                <w:color w:val="000000" w:themeColor="text1"/>
                <w:sz w:val="24"/>
                <w:szCs w:val="24"/>
              </w:rPr>
              <w:t>Утверждена</w:t>
            </w:r>
          </w:p>
        </w:tc>
        <w:tc>
          <w:tcPr>
            <w:tcW w:w="2272" w:type="dxa"/>
            <w:vAlign w:val="center"/>
          </w:tcPr>
          <w:p>
            <w:pPr>
              <w:pStyle w:val="21"/>
              <w:spacing w:after="0" w:line="240" w:lineRule="auto"/>
              <w:jc w:val="center"/>
              <w:rPr>
                <w:color w:val="000000" w:themeColor="text1"/>
                <w:sz w:val="24"/>
                <w:szCs w:val="24"/>
              </w:rPr>
            </w:pPr>
            <w:r>
              <w:rPr>
                <w:color w:val="000000" w:themeColor="text1"/>
                <w:sz w:val="24"/>
                <w:szCs w:val="24"/>
              </w:rPr>
              <w:t>Министерство строительства</w:t>
            </w:r>
            <w:r>
              <w:rPr>
                <w:color w:val="000000" w:themeColor="text1"/>
                <w:sz w:val="24"/>
                <w:szCs w:val="24"/>
              </w:rPr>
              <w:br/>
              <w:t xml:space="preserve">и жилищно-коммунального хозяйства </w:t>
            </w:r>
            <w:r>
              <w:rPr>
                <w:color w:val="000000" w:themeColor="text1"/>
                <w:sz w:val="24"/>
                <w:szCs w:val="24"/>
              </w:rPr>
              <w:br/>
              <w:t>Российской Федерации</w:t>
            </w:r>
          </w:p>
        </w:tc>
        <w:tc>
          <w:tcPr>
            <w:tcW w:w="2091" w:type="dxa"/>
            <w:vAlign w:val="center"/>
          </w:tcPr>
          <w:p>
            <w:pPr>
              <w:pStyle w:val="21"/>
              <w:spacing w:after="0" w:line="240" w:lineRule="auto"/>
              <w:jc w:val="center"/>
              <w:rPr>
                <w:color w:val="000000" w:themeColor="text1"/>
                <w:sz w:val="24"/>
                <w:szCs w:val="24"/>
              </w:rPr>
            </w:pPr>
            <w:r>
              <w:rPr>
                <w:color w:val="000000" w:themeColor="text1"/>
                <w:sz w:val="24"/>
                <w:szCs w:val="24"/>
              </w:rPr>
              <w:t>Участник</w:t>
            </w:r>
          </w:p>
        </w:tc>
      </w:tr>
      <w:tr>
        <w:trPr>
          <w:trHeight w:val="345"/>
          <w:jc w:val="center"/>
        </w:trPr>
        <w:tc>
          <w:tcPr>
            <w:tcW w:w="2688" w:type="dxa"/>
            <w:vAlign w:val="center"/>
          </w:tcPr>
          <w:p>
            <w:pPr>
              <w:pStyle w:val="21"/>
              <w:spacing w:after="0" w:line="240" w:lineRule="auto"/>
              <w:jc w:val="center"/>
              <w:rPr>
                <w:color w:val="000000" w:themeColor="text1"/>
                <w:sz w:val="24"/>
                <w:szCs w:val="24"/>
              </w:rPr>
            </w:pPr>
            <w:r>
              <w:rPr>
                <w:color w:val="000000" w:themeColor="text1"/>
                <w:sz w:val="24"/>
                <w:szCs w:val="24"/>
              </w:rPr>
              <w:t>Обеспечение обороноспособности страны</w:t>
            </w:r>
          </w:p>
        </w:tc>
        <w:tc>
          <w:tcPr>
            <w:tcW w:w="0" w:type="auto"/>
            <w:vAlign w:val="center"/>
          </w:tcPr>
          <w:p>
            <w:pPr>
              <w:pStyle w:val="21"/>
              <w:spacing w:after="0" w:line="240" w:lineRule="auto"/>
              <w:jc w:val="center"/>
              <w:rPr>
                <w:color w:val="000000" w:themeColor="text1"/>
                <w:sz w:val="24"/>
                <w:szCs w:val="24"/>
              </w:rPr>
            </w:pPr>
            <w:r>
              <w:rPr>
                <w:color w:val="000000" w:themeColor="text1"/>
                <w:sz w:val="24"/>
                <w:szCs w:val="24"/>
              </w:rPr>
              <w:t>Не утверждена</w:t>
            </w:r>
          </w:p>
        </w:tc>
        <w:tc>
          <w:tcPr>
            <w:tcW w:w="2272" w:type="dxa"/>
            <w:vAlign w:val="center"/>
          </w:tcPr>
          <w:p>
            <w:pPr>
              <w:pStyle w:val="21"/>
              <w:spacing w:after="0" w:line="240" w:lineRule="auto"/>
              <w:jc w:val="center"/>
              <w:rPr>
                <w:color w:val="000000" w:themeColor="text1"/>
                <w:sz w:val="24"/>
                <w:szCs w:val="24"/>
              </w:rPr>
            </w:pPr>
            <w:r>
              <w:rPr>
                <w:color w:val="000000" w:themeColor="text1"/>
                <w:sz w:val="24"/>
                <w:szCs w:val="24"/>
              </w:rPr>
              <w:t>Министерство обороны Российской Федерации</w:t>
            </w:r>
          </w:p>
        </w:tc>
        <w:tc>
          <w:tcPr>
            <w:tcW w:w="2091" w:type="dxa"/>
            <w:vAlign w:val="center"/>
          </w:tcPr>
          <w:p>
            <w:pPr>
              <w:pStyle w:val="21"/>
              <w:spacing w:after="0" w:line="240" w:lineRule="auto"/>
              <w:jc w:val="center"/>
              <w:rPr>
                <w:color w:val="000000" w:themeColor="text1"/>
                <w:sz w:val="24"/>
                <w:szCs w:val="24"/>
              </w:rPr>
            </w:pPr>
            <w:r>
              <w:rPr>
                <w:color w:val="000000" w:themeColor="text1"/>
                <w:sz w:val="24"/>
                <w:szCs w:val="24"/>
              </w:rPr>
              <w:t>Участник</w:t>
            </w:r>
          </w:p>
        </w:tc>
      </w:tr>
    </w:tbl>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lang w:val="en-US"/>
        </w:rPr>
        <w:t>II</w:t>
      </w:r>
      <w:r>
        <w:rPr>
          <w:rFonts w:ascii="Times New Roman" w:hAnsi="Times New Roman"/>
          <w:b/>
          <w:color w:val="000000" w:themeColor="text1"/>
          <w:sz w:val="28"/>
          <w:szCs w:val="28"/>
        </w:rPr>
        <w:t>. Основные результаты деятельности Федерального казначейства за 2016 год</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Общие положения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Правовой основой деятельности Федерального казначейства </w:t>
      </w:r>
      <w:r>
        <w:rPr>
          <w:rFonts w:ascii="Times New Roman" w:hAnsi="Times New Roman"/>
          <w:color w:val="000000" w:themeColor="text1"/>
          <w:sz w:val="28"/>
          <w:szCs w:val="28"/>
        </w:rPr>
        <w:br/>
        <w:t xml:space="preserve">в 2016 году являлись Бюджетный кодекс Российской Федерации (далее − Бюджетный кодекс), Федеральный закон от 8 мая 2010 г. № 83-ФЗ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(далее – Федеральный закон № 83-ФЗ), Федеральный закон от 14 декабря 2015 г. № 359-ФЗ </w:t>
      </w:r>
      <w:r>
        <w:rPr>
          <w:rFonts w:ascii="Times New Roman" w:hAnsi="Times New Roman"/>
          <w:color w:val="000000" w:themeColor="text1"/>
          <w:sz w:val="28"/>
          <w:szCs w:val="28"/>
        </w:rPr>
        <w:br/>
        <w:t xml:space="preserve">«О федеральном бюджете на 2016 год» (далее – Федеральный закон </w:t>
      </w:r>
      <w:r>
        <w:rPr>
          <w:rFonts w:ascii="Times New Roman" w:hAnsi="Times New Roman"/>
          <w:color w:val="000000" w:themeColor="text1"/>
          <w:sz w:val="28"/>
          <w:szCs w:val="28"/>
        </w:rPr>
        <w:br/>
        <w:t xml:space="preserve">№ 359-ФЗ) и постановление Правительства Российской Федерации </w:t>
      </w:r>
      <w:r>
        <w:rPr>
          <w:rFonts w:ascii="Times New Roman" w:hAnsi="Times New Roman"/>
          <w:color w:val="000000" w:themeColor="text1"/>
          <w:sz w:val="28"/>
          <w:szCs w:val="28"/>
        </w:rPr>
        <w:br/>
        <w:t xml:space="preserve">от 28 декабря 2015 г. № 1456 «О мерах по реализации Федерального закона </w:t>
      </w:r>
      <w:r>
        <w:rPr>
          <w:rFonts w:ascii="Times New Roman" w:hAnsi="Times New Roman"/>
          <w:color w:val="000000" w:themeColor="text1"/>
          <w:sz w:val="28"/>
          <w:szCs w:val="28"/>
        </w:rPr>
        <w:br/>
        <w:t>«О федеральном бюджете на 2016 год» (далее – Постановление № 1456.)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Федеральное казначейство принимало активное участие </w:t>
      </w:r>
      <w:r>
        <w:rPr>
          <w:rFonts w:ascii="Times New Roman" w:hAnsi="Times New Roman"/>
          <w:color w:val="000000" w:themeColor="text1"/>
          <w:sz w:val="28"/>
          <w:szCs w:val="28"/>
        </w:rPr>
        <w:br/>
        <w:t xml:space="preserve">в подготовке предложений к проектам федеральных законов и НПА </w:t>
      </w:r>
      <w:r>
        <w:rPr>
          <w:rFonts w:ascii="Times New Roman" w:hAnsi="Times New Roman"/>
          <w:color w:val="000000" w:themeColor="text1"/>
          <w:sz w:val="28"/>
          <w:szCs w:val="28"/>
        </w:rPr>
        <w:lastRenderedPageBreak/>
        <w:t>Российской Федерации, из которых к числу наиболее значимых можно отнести следующие: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 федерального закона «О внесении изменений в Федеральный закон «О федеральном бюджете на 2016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федерального закона «О федеральном бюджете на 2017 год </w:t>
      </w:r>
      <w:r>
        <w:rPr>
          <w:rFonts w:ascii="Times New Roman" w:hAnsi="Times New Roman"/>
          <w:color w:val="000000" w:themeColor="text1"/>
          <w:sz w:val="28"/>
          <w:szCs w:val="28"/>
        </w:rPr>
        <w:br/>
        <w:t>и на плановый период 2018 и 2019 годов»;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федерального закона «О приостановлении действия отдельных положений Бюджетного кодекса Российской Федерации </w:t>
      </w:r>
      <w:r>
        <w:rPr>
          <w:rFonts w:ascii="Times New Roman" w:hAnsi="Times New Roman"/>
          <w:color w:val="000000" w:themeColor="text1"/>
          <w:sz w:val="28"/>
          <w:szCs w:val="28"/>
        </w:rPr>
        <w:br/>
        <w:t>и внесении изменений в отдельные законодательные акты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 федерального закона «О внесении изменений в отдельные законодательные акты Российской Федерации и признании утратившими силу отдельных положений законодательных актов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 федерального закона «О внесении изменений в Бюджетный кодекс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 федерального закона «Бюджетный кодекс Российской Федерации» (новая редакция);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постановления Правительства Российской Федерации </w:t>
      </w:r>
      <w:r>
        <w:rPr>
          <w:rFonts w:ascii="Times New Roman" w:hAnsi="Times New Roman"/>
          <w:color w:val="000000" w:themeColor="text1"/>
          <w:sz w:val="28"/>
          <w:szCs w:val="28"/>
        </w:rPr>
        <w:br/>
        <w:t>«О внесении изменений в постановление Правительства Российской Федерации «О мерах по реализации Федерального закона «О федеральном бюджете на 2016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постановления Правительства Российской Федерации </w:t>
      </w:r>
      <w:r>
        <w:rPr>
          <w:rFonts w:ascii="Times New Roman" w:hAnsi="Times New Roman"/>
          <w:color w:val="000000" w:themeColor="text1"/>
          <w:sz w:val="28"/>
          <w:szCs w:val="28"/>
        </w:rPr>
        <w:br/>
        <w:t xml:space="preserve">«О мерах по реализации Федерального закона «О федеральном бюджете </w:t>
      </w:r>
      <w:r>
        <w:rPr>
          <w:rFonts w:ascii="Times New Roman" w:hAnsi="Times New Roman"/>
          <w:color w:val="000000" w:themeColor="text1"/>
          <w:sz w:val="28"/>
          <w:szCs w:val="28"/>
        </w:rPr>
        <w:br/>
        <w:t>на 2017 год и на плановый период 2018 и 2019 годов»;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постановления Правительства Российской Федерации </w:t>
      </w:r>
      <w:r>
        <w:rPr>
          <w:rFonts w:ascii="Times New Roman" w:hAnsi="Times New Roman"/>
          <w:color w:val="000000" w:themeColor="text1"/>
          <w:sz w:val="28"/>
          <w:szCs w:val="28"/>
        </w:rPr>
        <w:br/>
        <w:t xml:space="preserve">«О порядке казначейского сопровождения средств в валюте Российской Федерации, полученных по государственным контрактам, контрактам </w:t>
      </w:r>
      <w:r>
        <w:rPr>
          <w:rFonts w:ascii="Times New Roman" w:hAnsi="Times New Roman"/>
          <w:color w:val="000000" w:themeColor="text1"/>
          <w:sz w:val="28"/>
          <w:szCs w:val="28"/>
        </w:rPr>
        <w:br/>
        <w:t>при исполнении государственного оборонного заказа».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повышения эффективности предоставления средств юридическим лицам, включая государственные корпорации и компании </w:t>
      </w:r>
      <w:r>
        <w:rPr>
          <w:rFonts w:ascii="Times New Roman" w:hAnsi="Times New Roman"/>
          <w:color w:val="000000" w:themeColor="text1"/>
          <w:sz w:val="28"/>
          <w:szCs w:val="28"/>
        </w:rPr>
        <w:br/>
        <w:t>с государственным участием, а также совершенствования межбюджетных отношений в 2016 году Федеральное казначейство приняло активное участие в подготовке проекта федерального закона «О внесении изменений в Бюджетный кодекс Российской Федерации». Основными направлениями предлагаемых изменений являются положения, регулирующие: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требование об учете бюджетных инвестиций вертикально интегрированным структурам из федерального бюджета и субсидий </w:t>
      </w:r>
      <w:r>
        <w:rPr>
          <w:rFonts w:ascii="Times New Roman" w:hAnsi="Times New Roman"/>
          <w:color w:val="000000" w:themeColor="text1"/>
          <w:sz w:val="28"/>
          <w:szCs w:val="28"/>
        </w:rPr>
        <w:lastRenderedPageBreak/>
        <w:t>государственным корпорациям и компаниям на капитальное строительство в федеральной адресной инвестиционной программе (далее – ФАИП);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предоставление средств из бюджета некоммерческим организациям, создаваемым в форме публично-правовых компаний;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предоставление межбюджетных трансфертов из федерального бюджета бюджетам субъектов Российской Федерации «под фактическую потребность» с передачей полномочий получателя средств федерального бюджета по перечислению данных межбюджетных трансфертов ТОФК (аналогичный механизм предусмотрен в отношении межбюджетных трансфертов, предоставляемых из бюджета субъекта Российской Федерации местным бюджетам);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критерии невыполнения государственного задания на оказание государственных услуг бюджетными и автономными учреждениями, </w:t>
      </w:r>
      <w:r>
        <w:rPr>
          <w:rFonts w:ascii="Times New Roman" w:hAnsi="Times New Roman"/>
          <w:color w:val="000000" w:themeColor="text1"/>
          <w:sz w:val="28"/>
          <w:szCs w:val="28"/>
        </w:rPr>
        <w:br/>
        <w:t xml:space="preserve">при котором субсидия на государственное задание подлежит возврату </w:t>
      </w:r>
      <w:r>
        <w:rPr>
          <w:rFonts w:ascii="Times New Roman" w:hAnsi="Times New Roman"/>
          <w:color w:val="000000" w:themeColor="text1"/>
          <w:sz w:val="28"/>
          <w:szCs w:val="28"/>
        </w:rPr>
        <w:br/>
        <w:t>в бюджет, а в отношении должностных лиц таких учреждений может быть применена административная ответственность;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возможность передачи одним органом власти или казенным учреждением своих полномочий получателя бюджетных средств другому органу или казенному учреждению на основании решения соответствующего ГРБС;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отмену обязанности возврата из федерального бюджета остатков средств на соответствующие счета ТОФК, с которых они были ранее перечислены, не позднее последнего рабочего дня текущего финансового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Учитывая необходимость кардинальной переработки Бюджетного кодекса, направленной на упорядочение логики и структуры построения единого бюджетного законодательства, в 2016 году Федеральным казначейством продолжено участие в разработке новой редакции Бюджетного кодекса.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Вместе с тем в связи с назревшей в настоящее время необходимостью перехода на работу в условиях функционирования единого казначейского счета (далее – ЕКС) до принятия новой редакции Бюджетного кодекса, Федеральным казначейством в 2016 году в качестве первого этапа начата подготовка предложений по внесению изменений в действующую редакцию Бюджетного кодекса, направленных на консолидацию средств бюджетов субъектов Российской Федерации, муниципальных образований на едином счете федерального бюджета (далее – ЕСФБ). Положения, предусмотренные в указанных предложениях, законодательно закрепляют функционирование </w:t>
      </w:r>
      <w:r>
        <w:rPr>
          <w:rFonts w:ascii="Times New Roman" w:hAnsi="Times New Roman"/>
          <w:color w:val="000000" w:themeColor="text1"/>
          <w:sz w:val="28"/>
          <w:szCs w:val="28"/>
        </w:rPr>
        <w:lastRenderedPageBreak/>
        <w:t>казначейского обслуживания в условиях развития системы бюджетных платежей.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поручения Президента Российской Федерации </w:t>
      </w:r>
      <w:r>
        <w:rPr>
          <w:rFonts w:ascii="Times New Roman" w:hAnsi="Times New Roman"/>
          <w:color w:val="000000" w:themeColor="text1"/>
          <w:sz w:val="28"/>
          <w:szCs w:val="28"/>
        </w:rPr>
        <w:br/>
        <w:t xml:space="preserve">от 12 ноября 2016 г. № Пр-2207 о реализации дифференцированного подхода к определению способа сопровождения (банковского </w:t>
      </w:r>
      <w:r>
        <w:rPr>
          <w:rFonts w:ascii="Times New Roman" w:hAnsi="Times New Roman"/>
          <w:color w:val="000000" w:themeColor="text1"/>
          <w:sz w:val="28"/>
          <w:szCs w:val="28"/>
        </w:rPr>
        <w:br/>
        <w:t>или казначейского) контрактов по государственному оборонному заказу Федеральным казначейством в 2016 году принято участие в подготовке проекта федерального закона «О внесении изменений в отдельные законодательные акты Российской Федерации и признании утратившими силу отдельных положений законодательных актов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Данный федеральный закон устанавливает, что положения Федерального закона от 29 декабря 2012 г. № 275-ФЗ «О государственном оборонном заказе», регулирующего вопросы банковского сопровождения, применяются только в отношении государственных контрактов, заключенных Министерством обороны Российской Федерации, а также заключенных иными государственными заказчиками, при исполнении которых не осуществляется казначейское сопровождение. В развитие указанных норм Федеральным казначейством начата работа по подготовке изменений в указанный федеральный закон.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реализации положений Федерального закона от 3 июля 2016 г. № 345-ФЗ «О внесении изменений в Бюджетный кодекс Российской Федерации и статьи 7 и 10 Федерального закона «О приостановлении действия отдельных положений Бюджетного кодекса Российской Федерации и внесении изменений в отдельные законодательные акты Российской Федерации» Федеральным казначейством разработан </w:t>
      </w:r>
      <w:r>
        <w:rPr>
          <w:rFonts w:ascii="Times New Roman" w:hAnsi="Times New Roman"/>
          <w:color w:val="000000" w:themeColor="text1"/>
          <w:sz w:val="28"/>
          <w:szCs w:val="28"/>
        </w:rPr>
        <w:br/>
        <w:t>и утвержден приказ, направленный на обеспечение повышения ликвидности бюджетов бюджетной системы Российской Федерации, в том числе путем перечисления остатков средств государственных внебюджетных фондов Российской Федерации (далее – ГВФ РФ) со счетов ТОФК.</w:t>
      </w:r>
    </w:p>
    <w:p>
      <w:pPr>
        <w:pageBreakBefore/>
        <w:tabs>
          <w:tab w:val="left" w:pos="840"/>
        </w:tabs>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1. Исполнение платежных функций, управление ликвидностью</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 Кассовое обслуживание исполнения бюджетов бюджетной системы Российской Федерации и учет операций со средствами неучастников бюджетного процесса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1.1.1. Кассовое обслуживание исполнения федерального бюджета и учет операций со средствами неучастников бюджетного процесса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выполнения полномочий по кассовому обслуживанию исполнения федерального бюджета, проведению операций со средствами неучастников бюджетного процесса (далее – НУБП) и в целях совершенствования кассового обслуживания исполнения федерального бюджета и учета операций со средствами НУБП в 2016 году Федеральным казначейством были проведены следующие мероприятия.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 В течение 2016 года Федеральным казначейством проводилась работа по отложенным нормам Порядка учета территориальными органами Федерального казначейства бюджетных и денежных обязательств получателей средств федерального бюджета, утвержденного приказом Министерства финансов Российской Федерации от 30 декабря 2015 г. № 221н «О Порядке учета территориальными органами Федерального казначейства бюджетных и денежных обязательств получателей средств федерального бюджета» (далее – Приказ № 221н), в частности: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направлены предложения: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формированию перечня документов, на основании которых возникают бюджетные обязательства получателей средств федерального бюджета, и документов, подтверждающих возникновение денежных обязательств получателей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оптимизации сведений о денежном обязательстве и информации, необходимой для постановки на учет денежных обязательств (внесение изменений в поставленное на учет денежное обязательство).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Данные предложения учтены в приказе Минфина России от 29 июля 2016 г. № 127н «О внесении изменений в приказ Министерства финансов Российской Федерации от 30 декабря 2015 года № 221н «О Порядке учета территориальными органами Федерального казначейства бюджетных </w:t>
      </w:r>
      <w:r>
        <w:rPr>
          <w:rFonts w:ascii="Times New Roman" w:hAnsi="Times New Roman"/>
          <w:color w:val="000000" w:themeColor="text1"/>
          <w:sz w:val="28"/>
          <w:szCs w:val="28"/>
        </w:rPr>
        <w:br/>
        <w:t>и денежных обязательств получателей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направлены предложения в ФНС России и Минфин России </w:t>
      </w:r>
      <w:r>
        <w:rPr>
          <w:rFonts w:ascii="Times New Roman" w:hAnsi="Times New Roman"/>
          <w:color w:val="000000" w:themeColor="text1"/>
          <w:sz w:val="28"/>
          <w:szCs w:val="28"/>
        </w:rPr>
        <w:br/>
        <w:t xml:space="preserve">по дополнению универсального передаточного документа, применяемого организациями при оформлении хозяйственных операций, реквизитами, необходимыми для формирования в автоматическом режиме клиентами органов Федерального казначейства сведений о денежном обязательстве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на основании документа, подтверждающего возникновение указанного денежного обязательства;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разработаны образцы заполнения электронного формуляра указанного документа на основании показателей первичных документов (товарной накладной, акта приема-передачи, акта выполненных работ </w:t>
      </w:r>
      <w:r>
        <w:rPr>
          <w:rFonts w:ascii="Times New Roman" w:hAnsi="Times New Roman"/>
          <w:color w:val="000000" w:themeColor="text1"/>
          <w:sz w:val="28"/>
          <w:szCs w:val="28"/>
        </w:rPr>
        <w:br/>
        <w:t>(об оказании услуг), счета, счета-фактуры, справки расчета или иного документа, являющегося основанием для оплаты неустойки) с целью выявления неучтенного состава показателей и направлены в Минфин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 В целях обеспечения исполнения ТОФК полномочий ГРБС </w:t>
      </w:r>
      <w:r>
        <w:rPr>
          <w:rFonts w:ascii="Times New Roman" w:hAnsi="Times New Roman"/>
          <w:color w:val="000000" w:themeColor="text1"/>
          <w:sz w:val="28"/>
          <w:szCs w:val="28"/>
        </w:rPr>
        <w:br/>
        <w:t>по перечислению в бюджеты субъектов Российской Федерации межбюджетных трансфертов в форме субсидий, субвенций и иных межбюджетных трансфертов, имеющих целевое назначение, в пределах суммы, необходимой для оплаты денежных обязательств по расходам получателей средств бюджета субъекта Российской Федерации, источником финансового обеспечения которых являются данные межбюджетные трансферты (далее – межбюджетные трансферты, фактическая потребность соответственно):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подготовлены совместные разъяснения Минфина России </w:t>
      </w:r>
      <w:r>
        <w:rPr>
          <w:rFonts w:ascii="Times New Roman" w:hAnsi="Times New Roman"/>
          <w:color w:val="000000" w:themeColor="text1"/>
          <w:sz w:val="28"/>
          <w:szCs w:val="28"/>
        </w:rPr>
        <w:br/>
        <w:t>и Федерального казначейства по вопросу заключения ГРБС с высшими органами исполнительной власти субъектов Российской Федерации дополнительных соглашений о предоставлении межбюджетных трансфертов, источником финансового обеспечения которых являются неиспользованные в 2015 году лимиты бюджетных обязательств (далее – ЛБО) на указанные цели;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подготовлены и направлены в адрес ТОФК разъяснения: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вопросу учета межбюджетных трансфертов на возмещение затрат на создание инфраструктуры индустриальных парков и технопарков;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 особенностях заполнения платежных документов</w:t>
      </w:r>
      <w:r>
        <w:rPr>
          <w:rFonts w:ascii="Times New Roman" w:hAnsi="Times New Roman"/>
          <w:color w:val="000000" w:themeColor="text1"/>
          <w:sz w:val="28"/>
          <w:szCs w:val="28"/>
        </w:rPr>
        <w:br/>
        <w:t xml:space="preserve">при осуществлении получателями средств бюджета субъекта Российской Федерации кассовых выплат, источником финансового обеспечения которых являются межбюджетные трансферты, предоставляемые </w:t>
      </w:r>
      <w:r>
        <w:rPr>
          <w:rFonts w:ascii="Times New Roman" w:hAnsi="Times New Roman"/>
          <w:color w:val="000000" w:themeColor="text1"/>
          <w:sz w:val="28"/>
          <w:szCs w:val="28"/>
        </w:rPr>
        <w:br/>
        <w:t>под фактическую потребность;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направлены в адрес Минфина России предложения и замечания </w:t>
      </w:r>
      <w:r>
        <w:rPr>
          <w:rFonts w:ascii="Times New Roman" w:hAnsi="Times New Roman"/>
          <w:color w:val="000000" w:themeColor="text1"/>
          <w:sz w:val="28"/>
          <w:szCs w:val="28"/>
        </w:rPr>
        <w:br/>
        <w:t xml:space="preserve">в проект приказа Минфина России «О внесении изменений в Типовую форму соглашения между главным распорядителем средств федерального бюджета и высшим исполнительным органом государственной власти субъекта Российской Федерации о предоставлении субсидии, утвержденную приказом Минфина России от 21 апреля 2016 г. № 52н», в том числе </w:t>
      </w:r>
      <w:r>
        <w:rPr>
          <w:rFonts w:ascii="Times New Roman" w:hAnsi="Times New Roman"/>
          <w:color w:val="000000" w:themeColor="text1"/>
          <w:sz w:val="28"/>
          <w:szCs w:val="28"/>
        </w:rPr>
        <w:lastRenderedPageBreak/>
        <w:t>предусматривающий установление размера уровня софинансирования межбюджетных трансфертов.</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1.1.2. Обеспечение координации работы по инвентаризации дебиторской задолженности по расходам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координации работы по проведению ГРБС инвентаризации дебиторской задолженности по расходам федерального бюджета, в том числе образовавшейся в связи с авансированием договоров (государственных контрактов) и во исполнение постановления Правительства Российской Федерации от 21 ноября 2015 г. № 1256 </w:t>
      </w:r>
      <w:r>
        <w:rPr>
          <w:rFonts w:ascii="Times New Roman" w:hAnsi="Times New Roman"/>
          <w:color w:val="000000" w:themeColor="text1"/>
          <w:sz w:val="28"/>
          <w:szCs w:val="28"/>
        </w:rPr>
        <w:br/>
        <w:t xml:space="preserve">«Об организации работы по сокращению дебиторской задолженности </w:t>
      </w:r>
      <w:r>
        <w:rPr>
          <w:rFonts w:ascii="Times New Roman" w:hAnsi="Times New Roman"/>
          <w:color w:val="000000" w:themeColor="text1"/>
          <w:sz w:val="28"/>
          <w:szCs w:val="28"/>
        </w:rPr>
        <w:br/>
        <w:t>по расходам федерального бюджета» (далее – Постановление № 1256) Федеральным казначейством: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разработан и 25 апреля 2016 года утвержден Первым заместителем Председателя Правительства Российской Федерации И.И. Шуваловым План мероприятий («дорожная карта») по сокращению дебиторской задолженности по расходам федерального бюджета в 2016 году (далее – Дорожная карта);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разработан и 29 апреля 2016 года утвержден Министром финансов Российской Федерации А.Г. Силуановым Типовой план мероприятий, осуществляемых главными распорядителями средств федерального бюджета, по сокращению дебиторской задолженности.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исполнения Дорожной карты Федеральным казначейством подготовлены и направлены в Минфин России предложения по внесению изменений 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Налоговый кодекс Российской Федерации и постановление Правительства Российской Федерации от 26 декабря 2011 г. № 1137 </w:t>
      </w:r>
      <w:r>
        <w:rPr>
          <w:rFonts w:ascii="Times New Roman" w:hAnsi="Times New Roman"/>
          <w:color w:val="000000" w:themeColor="text1"/>
          <w:sz w:val="28"/>
          <w:szCs w:val="28"/>
        </w:rPr>
        <w:br/>
        <w:t xml:space="preserve">«О формах и правилах заполнения (ведения) документов, применяемых </w:t>
      </w:r>
      <w:r>
        <w:rPr>
          <w:rFonts w:ascii="Times New Roman" w:hAnsi="Times New Roman"/>
          <w:color w:val="000000" w:themeColor="text1"/>
          <w:sz w:val="28"/>
          <w:szCs w:val="28"/>
        </w:rPr>
        <w:br/>
        <w:t>при расчетах по налогу на добавленную стоимость» в части закрепления положения, устанавливающего обязанность указания в форме счета-фактуры идентификационного кода государственного контракта;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Федеральный закон № 44-ФЗ в части включения положений </w:t>
      </w:r>
      <w:r>
        <w:rPr>
          <w:rFonts w:ascii="Times New Roman" w:hAnsi="Times New Roman"/>
          <w:color w:val="000000" w:themeColor="text1"/>
          <w:sz w:val="28"/>
          <w:szCs w:val="28"/>
        </w:rPr>
        <w:br/>
        <w:t xml:space="preserve">об отказе от авансирования при заключении контрактов о поставке отдельных товаров, оказании отдельных услуг, включенных в перечень, утверждаемый Правительством Российской Федерации (высшим органом власти субъекта Российской Федерации, местной администрацией), срок поставки или оказания которых превышает 30 дней со дня заключения контракта (за исключением контрактов, заключаемых с субъектами малого предпринимательства и социально ориентированными некоммерческими </w:t>
      </w:r>
      <w:r>
        <w:rPr>
          <w:rFonts w:ascii="Times New Roman" w:hAnsi="Times New Roman"/>
          <w:color w:val="000000" w:themeColor="text1"/>
          <w:sz w:val="28"/>
          <w:szCs w:val="28"/>
        </w:rPr>
        <w:lastRenderedPageBreak/>
        <w:t xml:space="preserve">организациями), введения требования о предоставлении в обеспечение исполнения контракта, которым предусмотрена выплата аванса в размере, определяемом Правительством Российской Федерации (высшим органом власти субъекта Российской Федерации, местной администрацией), отдельной банковской гарантии, обеспечивающей обязательства </w:t>
      </w:r>
      <w:r>
        <w:rPr>
          <w:rFonts w:ascii="Times New Roman" w:hAnsi="Times New Roman"/>
          <w:color w:val="000000" w:themeColor="text1"/>
          <w:sz w:val="28"/>
          <w:szCs w:val="28"/>
        </w:rPr>
        <w:br/>
        <w:t>по возврату такого аванса, а также введения положения о поэтапной выплате авансовых платежей при поставке товаров по контрактам, условиями которых предусмотрены этапы поставки товаров;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Федеральный закон № 223-ФЗ в части закрепления положения, предусматривающего обязанность заказчиков применять каталог товаров, работ, услуг;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Постановление № 1456 в части согласования ГРБС с Минфином России решений об использовании в 2016 году остатков целевых средств, полученных юридическими лицами из федерального бюджета </w:t>
      </w:r>
      <w:r>
        <w:rPr>
          <w:rFonts w:ascii="Times New Roman" w:hAnsi="Times New Roman"/>
          <w:color w:val="000000" w:themeColor="text1"/>
          <w:sz w:val="28"/>
          <w:szCs w:val="28"/>
        </w:rPr>
        <w:br/>
        <w:t xml:space="preserve">и не использованных ими по состоянию на 1 января 2016 года и отказе </w:t>
      </w:r>
      <w:r>
        <w:rPr>
          <w:rFonts w:ascii="Times New Roman" w:hAnsi="Times New Roman"/>
          <w:color w:val="000000" w:themeColor="text1"/>
          <w:sz w:val="28"/>
          <w:szCs w:val="28"/>
        </w:rPr>
        <w:br/>
        <w:t xml:space="preserve">в предоставлении целевых средств из федерального бюджета юридическому лицу, не являющемуся бюджетным (автономным) учреждением, </w:t>
      </w:r>
      <w:r>
        <w:rPr>
          <w:rFonts w:ascii="Times New Roman" w:hAnsi="Times New Roman"/>
          <w:color w:val="000000" w:themeColor="text1"/>
          <w:sz w:val="28"/>
          <w:szCs w:val="28"/>
        </w:rPr>
        <w:br/>
        <w:t>при наличии у него просроченной дебиторской задолженности перед федеральным бюджетом;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постановление Правительства Российской Федерации от 28 ноября 2013 г. № 1084 «О порядке ведения реестра контрактов, заключенных заказчиками, и реестра контрактов, содержащего сведения, составляющие государственную тайну» в части закрепления положения, устанавливающего обязанность внесения в реестр контрактов информации </w:t>
      </w:r>
      <w:r>
        <w:rPr>
          <w:rFonts w:ascii="Times New Roman" w:hAnsi="Times New Roman"/>
          <w:color w:val="000000" w:themeColor="text1"/>
          <w:sz w:val="28"/>
          <w:szCs w:val="28"/>
        </w:rPr>
        <w:br/>
        <w:t>о размере авансового платежа в соответствии с условиями государственного контракта или его отсутствии;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Минфина России от 13 апреля 2009 г. № 34н </w:t>
      </w:r>
      <w:r>
        <w:rPr>
          <w:rFonts w:ascii="Times New Roman" w:hAnsi="Times New Roman"/>
          <w:color w:val="000000" w:themeColor="text1"/>
          <w:sz w:val="28"/>
          <w:szCs w:val="28"/>
        </w:rPr>
        <w:br/>
        <w:t>«Об организации проведения мониторинга качества финансового менеджмента, осуществляемого главными администраторами средств федерального бюджета» в части отражения показателей по расходам федерального бюджета и сведений по снижению дебиторской задолженности по расходам федерального бюджета в показателях годового мониторинга (ежеквартального мониторинга) качества финансового менеджмента, осуществляемого главными администраторами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течение 2016 годы были подготовлены и проведены 6 заседаний Рабочей группы по организации исполнения подпункта «а» пункта </w:t>
      </w:r>
      <w:r>
        <w:rPr>
          <w:rFonts w:ascii="Times New Roman" w:hAnsi="Times New Roman"/>
          <w:color w:val="000000" w:themeColor="text1"/>
          <w:sz w:val="28"/>
          <w:szCs w:val="28"/>
        </w:rPr>
        <w:br/>
        <w:t xml:space="preserve">1 Перечня поручений Президента Российской Федерации от 18 августа 2015 г. № Пр-1659 по повышению эффективности использования </w:t>
      </w:r>
      <w:r>
        <w:rPr>
          <w:rFonts w:ascii="Times New Roman" w:hAnsi="Times New Roman"/>
          <w:color w:val="000000" w:themeColor="text1"/>
          <w:sz w:val="28"/>
          <w:szCs w:val="28"/>
        </w:rPr>
        <w:lastRenderedPageBreak/>
        <w:t>бюджетных средств с участием представителей Минфина России, Счетной палаты Российской Федерации и Росфинмониторинга.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Федеральным казначейством ежеквартально осуществлялся анализ дебиторской задолженности по расходам федерального бюджета, в том числе образовавшейся в связи </w:t>
      </w:r>
      <w:r>
        <w:rPr>
          <w:rFonts w:ascii="Times New Roman" w:hAnsi="Times New Roman"/>
          <w:color w:val="000000" w:themeColor="text1"/>
          <w:sz w:val="28"/>
          <w:szCs w:val="28"/>
        </w:rPr>
        <w:br/>
        <w:t xml:space="preserve">с авансированием договоров (государственных контрактов) и оценке эффективности мер, принимаемых ГРБС по ее сокращению, по результатам которого были подготовлены и направлены в Минфин России аналитические доклады по состоянию на 1 января, 1 апреля, 1 июля </w:t>
      </w:r>
      <w:r>
        <w:rPr>
          <w:rFonts w:ascii="Times New Roman" w:hAnsi="Times New Roman"/>
          <w:color w:val="000000" w:themeColor="text1"/>
          <w:sz w:val="28"/>
          <w:szCs w:val="28"/>
        </w:rPr>
        <w:br/>
        <w:t>и 1 октября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Ежемесячно Федеральным казначейством в Минфин России направлялись отчеты о выполнении мероприятий Дорожной карты.</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пункта 2.1.5 «Проведение эксперимента </w:t>
      </w:r>
      <w:r>
        <w:rPr>
          <w:rFonts w:ascii="Times New Roman" w:hAnsi="Times New Roman"/>
          <w:color w:val="000000" w:themeColor="text1"/>
          <w:sz w:val="28"/>
          <w:szCs w:val="28"/>
        </w:rPr>
        <w:br/>
        <w:t xml:space="preserve">по казначейскому сопровождению государственных контрактов, заключенных, в том числе в рамках государственного оборонного заказа, </w:t>
      </w:r>
      <w:r>
        <w:rPr>
          <w:rFonts w:ascii="Times New Roman" w:hAnsi="Times New Roman"/>
          <w:color w:val="000000" w:themeColor="text1"/>
          <w:sz w:val="28"/>
          <w:szCs w:val="28"/>
        </w:rPr>
        <w:br/>
        <w:t>с применением казначейского аккредитива» раздела 2 «Мероприятия, направленные на совершенствование механизма управления дебиторской задолженностью по расходам федерального бюджета» Дорожной карты проведены следующие мероприятия: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направлены в Минфин России предложения в приказ Минфина России от 30 марта 2016 г. № 36н «О порядке осуществления операций </w:t>
      </w:r>
      <w:r>
        <w:rPr>
          <w:rFonts w:ascii="Times New Roman" w:hAnsi="Times New Roman"/>
          <w:color w:val="000000" w:themeColor="text1"/>
          <w:sz w:val="28"/>
          <w:szCs w:val="28"/>
        </w:rPr>
        <w:br/>
        <w:t xml:space="preserve">по перечислению суммы авансовых платежей из федерального бюджета </w:t>
      </w:r>
      <w:r>
        <w:rPr>
          <w:rFonts w:ascii="Times New Roman" w:hAnsi="Times New Roman"/>
          <w:color w:val="000000" w:themeColor="text1"/>
          <w:sz w:val="28"/>
          <w:szCs w:val="28"/>
        </w:rPr>
        <w:br/>
        <w:t>в пределах суммы, необходимой для оплаты обязательств организации, возникающих в рамках исполнения государственных контрактов (контрактов, договоров)»;</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разработан и утвержден приказ Федерального казначейства </w:t>
      </w:r>
      <w:r>
        <w:rPr>
          <w:rFonts w:ascii="Times New Roman" w:hAnsi="Times New Roman"/>
          <w:color w:val="000000" w:themeColor="text1"/>
          <w:sz w:val="28"/>
          <w:szCs w:val="28"/>
        </w:rPr>
        <w:br/>
        <w:t>от 14 июня 2016 г. № 8н «Об утверждении форм казначейского аккредитива и иных документов, применяемых при перечислении сумм авансовых платежей из федерального бюджета в рамках осуществления казначейского сопровождения государственных контрактов (контрактов, договоров)»;</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подготовлены и направлены в Минфин России предложения </w:t>
      </w:r>
      <w:r>
        <w:rPr>
          <w:rFonts w:ascii="Times New Roman" w:hAnsi="Times New Roman"/>
          <w:color w:val="000000" w:themeColor="text1"/>
          <w:sz w:val="28"/>
          <w:szCs w:val="28"/>
        </w:rPr>
        <w:br/>
        <w:t xml:space="preserve">в проекты писем в адрес ГРБС об участии в совместном эксперименте </w:t>
      </w:r>
      <w:r>
        <w:rPr>
          <w:rFonts w:ascii="Times New Roman" w:hAnsi="Times New Roman"/>
          <w:color w:val="000000" w:themeColor="text1"/>
          <w:sz w:val="28"/>
          <w:szCs w:val="28"/>
        </w:rPr>
        <w:br/>
        <w:t>по казначейскому сопровождению отдельных государственных контрактов (контрактов, договоров) с применением казначейского аккредитива;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проведены совещания с представителями Госкорпорации «Росатом», Минпромторга России и Госкорпорации «Роскосмос» по вопросам реализации мероприятий по проведению эксперимента;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разработаны:</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План мероприятий («дорожная карта») по казначейскому сопровождению государственных контрактов (контрактов, договоров) </w:t>
      </w:r>
      <w:r>
        <w:rPr>
          <w:rFonts w:ascii="Times New Roman" w:hAnsi="Times New Roman"/>
          <w:color w:val="000000" w:themeColor="text1"/>
          <w:sz w:val="28"/>
          <w:szCs w:val="28"/>
        </w:rPr>
        <w:br/>
        <w:t>с применением казначейского аккредитива для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Типовая «дорожная карта» по проведению эксперимента </w:t>
      </w:r>
      <w:r>
        <w:rPr>
          <w:rFonts w:ascii="Times New Roman" w:hAnsi="Times New Roman"/>
          <w:color w:val="000000" w:themeColor="text1"/>
          <w:sz w:val="28"/>
          <w:szCs w:val="28"/>
        </w:rPr>
        <w:br/>
        <w:t xml:space="preserve">по казначейскому сопровождению государственных контрактов </w:t>
      </w:r>
      <w:r>
        <w:rPr>
          <w:rFonts w:ascii="Times New Roman" w:hAnsi="Times New Roman"/>
          <w:color w:val="000000" w:themeColor="text1"/>
          <w:sz w:val="28"/>
          <w:szCs w:val="28"/>
        </w:rPr>
        <w:br/>
        <w:t xml:space="preserve">с применением казначейского аккредитива для главных распорядителей средств федерального бюджета и организаций, участвующих </w:t>
      </w:r>
      <w:r>
        <w:rPr>
          <w:rFonts w:ascii="Times New Roman" w:hAnsi="Times New Roman"/>
          <w:color w:val="000000" w:themeColor="text1"/>
          <w:sz w:val="28"/>
          <w:szCs w:val="28"/>
        </w:rPr>
        <w:br/>
        <w:t xml:space="preserve">в эксперименте, согласованная заместителем Министра финансов Российской Федерации А.М. Лавровым, направлена на рассмотрение </w:t>
      </w:r>
      <w:r>
        <w:rPr>
          <w:rFonts w:ascii="Times New Roman" w:hAnsi="Times New Roman"/>
          <w:color w:val="000000" w:themeColor="text1"/>
          <w:sz w:val="28"/>
          <w:szCs w:val="28"/>
        </w:rPr>
        <w:br/>
        <w:t xml:space="preserve">в </w:t>
      </w:r>
      <w:proofErr w:type="spellStart"/>
      <w:r>
        <w:rPr>
          <w:rFonts w:ascii="Times New Roman" w:hAnsi="Times New Roman"/>
          <w:color w:val="000000" w:themeColor="text1"/>
          <w:sz w:val="28"/>
          <w:szCs w:val="28"/>
        </w:rPr>
        <w:t>Госкорпорацию</w:t>
      </w:r>
      <w:proofErr w:type="spellEnd"/>
      <w:r>
        <w:rPr>
          <w:rFonts w:ascii="Times New Roman" w:hAnsi="Times New Roman"/>
          <w:color w:val="000000" w:themeColor="text1"/>
          <w:sz w:val="28"/>
          <w:szCs w:val="28"/>
        </w:rPr>
        <w:t xml:space="preserve"> «</w:t>
      </w:r>
      <w:proofErr w:type="spellStart"/>
      <w:r>
        <w:rPr>
          <w:rFonts w:ascii="Times New Roman" w:hAnsi="Times New Roman"/>
          <w:color w:val="000000" w:themeColor="text1"/>
          <w:sz w:val="28"/>
          <w:szCs w:val="28"/>
        </w:rPr>
        <w:t>Росатом</w:t>
      </w:r>
      <w:proofErr w:type="spellEnd"/>
      <w:r>
        <w:rPr>
          <w:rFonts w:ascii="Times New Roman" w:hAnsi="Times New Roman"/>
          <w:color w:val="000000" w:themeColor="text1"/>
          <w:sz w:val="28"/>
          <w:szCs w:val="28"/>
        </w:rPr>
        <w:t xml:space="preserve">», </w:t>
      </w:r>
      <w:proofErr w:type="spellStart"/>
      <w:r>
        <w:rPr>
          <w:rFonts w:ascii="Times New Roman" w:hAnsi="Times New Roman"/>
          <w:color w:val="000000" w:themeColor="text1"/>
          <w:sz w:val="28"/>
          <w:szCs w:val="28"/>
        </w:rPr>
        <w:t>Госкорпорацию</w:t>
      </w:r>
      <w:proofErr w:type="spellEnd"/>
      <w:r>
        <w:rPr>
          <w:rFonts w:ascii="Times New Roman" w:hAnsi="Times New Roman"/>
          <w:color w:val="000000" w:themeColor="text1"/>
          <w:sz w:val="28"/>
          <w:szCs w:val="28"/>
        </w:rPr>
        <w:t xml:space="preserve"> «</w:t>
      </w:r>
      <w:proofErr w:type="spellStart"/>
      <w:r>
        <w:rPr>
          <w:rFonts w:ascii="Times New Roman" w:hAnsi="Times New Roman"/>
          <w:color w:val="000000" w:themeColor="text1"/>
          <w:sz w:val="28"/>
          <w:szCs w:val="28"/>
        </w:rPr>
        <w:t>Роскосмос</w:t>
      </w:r>
      <w:proofErr w:type="spellEnd"/>
      <w:r>
        <w:rPr>
          <w:rFonts w:ascii="Times New Roman" w:hAnsi="Times New Roman"/>
          <w:color w:val="000000" w:themeColor="text1"/>
          <w:sz w:val="28"/>
          <w:szCs w:val="28"/>
        </w:rPr>
        <w:t>» и Минпромторг России;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определены исполнители по отдельным государственным контрактам, участвующие в эксперименте;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проведены видеоконференции с участием ТОФК, ГРБС</w:t>
      </w:r>
      <w:r>
        <w:rPr>
          <w:rFonts w:ascii="Times New Roman" w:hAnsi="Times New Roman"/>
          <w:color w:val="000000" w:themeColor="text1"/>
          <w:sz w:val="28"/>
          <w:szCs w:val="28"/>
        </w:rPr>
        <w:br/>
        <w:t>и организаций, участвующих в эксперименте;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Госкорпорацией «Росатом», Госкорпорацией «Роскосмос» </w:t>
      </w:r>
      <w:r>
        <w:rPr>
          <w:rFonts w:ascii="Times New Roman" w:hAnsi="Times New Roman"/>
          <w:color w:val="000000" w:themeColor="text1"/>
          <w:sz w:val="28"/>
          <w:szCs w:val="28"/>
        </w:rPr>
        <w:br/>
        <w:t xml:space="preserve">и Минпромторгом России заключено 9 государственных контрактов </w:t>
      </w:r>
      <w:r>
        <w:rPr>
          <w:rFonts w:ascii="Times New Roman" w:hAnsi="Times New Roman"/>
          <w:color w:val="000000" w:themeColor="text1"/>
          <w:sz w:val="28"/>
          <w:szCs w:val="28"/>
        </w:rPr>
        <w:br/>
        <w:t>на общую сумму 5 363,3 млн рублей, условиями которых предусмотрены расчеты с применением казначейского аккредитива, по которым выданы казначейские аккредитивы на общую сумму 1 480,1 млн рублей, исполнение государственных контрактов с применением казначейского аккредитива составило 930,3 млн рублей.</w:t>
      </w:r>
    </w:p>
    <w:p>
      <w:pPr>
        <w:spacing w:before="120"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1</w:t>
      </w:r>
    </w:p>
    <w:tbl>
      <w:tblPr>
        <w:tblW w:w="4940" w:type="pct"/>
        <w:jc w:val="center"/>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0"/>
        <w:gridCol w:w="621"/>
        <w:gridCol w:w="994"/>
        <w:gridCol w:w="992"/>
        <w:gridCol w:w="566"/>
        <w:gridCol w:w="1423"/>
        <w:gridCol w:w="1561"/>
        <w:gridCol w:w="1459"/>
      </w:tblGrid>
      <w:tr>
        <w:trPr>
          <w:jc w:val="center"/>
        </w:trPr>
        <w:tc>
          <w:tcPr>
            <w:tcW w:w="912" w:type="pct"/>
            <w:vMerge w:val="restart"/>
            <w:shd w:val="clear" w:color="auto" w:fill="auto"/>
            <w:vAlign w:val="center"/>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Наименование ГРБС</w:t>
            </w:r>
          </w:p>
        </w:tc>
        <w:tc>
          <w:tcPr>
            <w:tcW w:w="1398" w:type="pct"/>
            <w:gridSpan w:val="3"/>
            <w:shd w:val="clear" w:color="auto" w:fill="auto"/>
            <w:vAlign w:val="center"/>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Государственные контракты</w:t>
            </w:r>
          </w:p>
        </w:tc>
        <w:tc>
          <w:tcPr>
            <w:tcW w:w="2689" w:type="pct"/>
            <w:gridSpan w:val="4"/>
            <w:shd w:val="clear" w:color="auto" w:fill="auto"/>
            <w:vAlign w:val="center"/>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Казначейский аккредитив</w:t>
            </w:r>
          </w:p>
        </w:tc>
      </w:tr>
      <w:tr>
        <w:trPr>
          <w:trHeight w:val="300"/>
          <w:jc w:val="center"/>
        </w:trPr>
        <w:tc>
          <w:tcPr>
            <w:tcW w:w="912" w:type="pct"/>
            <w:vMerge/>
            <w:shd w:val="clear" w:color="auto" w:fill="auto"/>
            <w:vAlign w:val="center"/>
          </w:tcPr>
          <w:p>
            <w:pPr>
              <w:spacing w:after="0" w:line="240" w:lineRule="atLeast"/>
              <w:jc w:val="center"/>
              <w:rPr>
                <w:rFonts w:ascii="Times New Roman" w:hAnsi="Times New Roman"/>
                <w:color w:val="000000" w:themeColor="text1"/>
              </w:rPr>
            </w:pPr>
          </w:p>
        </w:tc>
        <w:tc>
          <w:tcPr>
            <w:tcW w:w="333" w:type="pct"/>
            <w:vMerge w:val="restar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кол-во</w:t>
            </w:r>
          </w:p>
        </w:tc>
        <w:tc>
          <w:tcPr>
            <w:tcW w:w="1065" w:type="pct"/>
            <w:gridSpan w:val="2"/>
            <w:shd w:val="clear" w:color="auto" w:fill="auto"/>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сумма (млн рублей)</w:t>
            </w:r>
          </w:p>
        </w:tc>
        <w:tc>
          <w:tcPr>
            <w:tcW w:w="304" w:type="pct"/>
            <w:vMerge w:val="restar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кол-во</w:t>
            </w:r>
          </w:p>
        </w:tc>
        <w:tc>
          <w:tcPr>
            <w:tcW w:w="764" w:type="pct"/>
            <w:vMerge w:val="restar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сумма (млн рублей)</w:t>
            </w:r>
          </w:p>
        </w:tc>
        <w:tc>
          <w:tcPr>
            <w:tcW w:w="838" w:type="pct"/>
            <w:vMerge w:val="restar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исполнено (млн рублей)</w:t>
            </w:r>
          </w:p>
        </w:tc>
        <w:tc>
          <w:tcPr>
            <w:tcW w:w="783" w:type="pct"/>
            <w:vMerge w:val="restar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остаток на 01.01.2017 (млн рублей)</w:t>
            </w:r>
          </w:p>
        </w:tc>
      </w:tr>
      <w:tr>
        <w:trPr>
          <w:trHeight w:val="300"/>
          <w:jc w:val="center"/>
        </w:trPr>
        <w:tc>
          <w:tcPr>
            <w:tcW w:w="912" w:type="pct"/>
            <w:vMerge/>
            <w:shd w:val="clear" w:color="auto" w:fill="auto"/>
            <w:vAlign w:val="center"/>
          </w:tcPr>
          <w:p>
            <w:pPr>
              <w:spacing w:after="0" w:line="240" w:lineRule="atLeast"/>
              <w:jc w:val="center"/>
              <w:rPr>
                <w:rFonts w:ascii="Times New Roman" w:hAnsi="Times New Roman"/>
                <w:color w:val="000000" w:themeColor="text1"/>
              </w:rPr>
            </w:pPr>
          </w:p>
        </w:tc>
        <w:tc>
          <w:tcPr>
            <w:tcW w:w="333" w:type="pct"/>
            <w:vMerge/>
            <w:shd w:val="clear" w:color="auto" w:fill="auto"/>
            <w:vAlign w:val="center"/>
          </w:tcPr>
          <w:p>
            <w:pPr>
              <w:spacing w:after="0" w:line="240" w:lineRule="atLeast"/>
              <w:jc w:val="center"/>
              <w:rPr>
                <w:rFonts w:ascii="Times New Roman" w:hAnsi="Times New Roman"/>
                <w:color w:val="000000" w:themeColor="text1"/>
              </w:rPr>
            </w:pPr>
          </w:p>
        </w:tc>
        <w:tc>
          <w:tcPr>
            <w:tcW w:w="533" w:type="pc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всего</w:t>
            </w:r>
          </w:p>
        </w:tc>
        <w:tc>
          <w:tcPr>
            <w:tcW w:w="532" w:type="pct"/>
            <w:shd w:val="clear" w:color="auto" w:fill="auto"/>
            <w:vAlign w:val="center"/>
          </w:tcPr>
          <w:p>
            <w:pPr>
              <w:spacing w:after="0" w:line="240" w:lineRule="atLeast"/>
              <w:jc w:val="center"/>
              <w:rPr>
                <w:rFonts w:ascii="Times New Roman" w:hAnsi="Times New Roman"/>
                <w:color w:val="000000" w:themeColor="text1"/>
                <w:sz w:val="20"/>
                <w:szCs w:val="20"/>
              </w:rPr>
            </w:pPr>
            <w:r>
              <w:rPr>
                <w:rFonts w:ascii="Times New Roman" w:hAnsi="Times New Roman"/>
                <w:color w:val="000000" w:themeColor="text1"/>
                <w:sz w:val="20"/>
                <w:szCs w:val="20"/>
              </w:rPr>
              <w:t>аванс</w:t>
            </w:r>
          </w:p>
        </w:tc>
        <w:tc>
          <w:tcPr>
            <w:tcW w:w="304" w:type="pct"/>
            <w:vMerge/>
            <w:shd w:val="clear" w:color="auto" w:fill="auto"/>
          </w:tcPr>
          <w:p>
            <w:pPr>
              <w:spacing w:after="0" w:line="240" w:lineRule="atLeast"/>
              <w:jc w:val="center"/>
              <w:rPr>
                <w:rFonts w:ascii="Times New Roman" w:hAnsi="Times New Roman"/>
                <w:color w:val="000000" w:themeColor="text1"/>
              </w:rPr>
            </w:pPr>
          </w:p>
        </w:tc>
        <w:tc>
          <w:tcPr>
            <w:tcW w:w="764" w:type="pct"/>
            <w:vMerge/>
            <w:shd w:val="clear" w:color="auto" w:fill="auto"/>
            <w:vAlign w:val="center"/>
          </w:tcPr>
          <w:p>
            <w:pPr>
              <w:spacing w:after="0" w:line="240" w:lineRule="atLeast"/>
              <w:jc w:val="center"/>
              <w:rPr>
                <w:rFonts w:ascii="Times New Roman" w:hAnsi="Times New Roman"/>
                <w:color w:val="000000" w:themeColor="text1"/>
              </w:rPr>
            </w:pPr>
          </w:p>
        </w:tc>
        <w:tc>
          <w:tcPr>
            <w:tcW w:w="838" w:type="pct"/>
            <w:vMerge/>
            <w:shd w:val="clear" w:color="auto" w:fill="auto"/>
            <w:vAlign w:val="center"/>
          </w:tcPr>
          <w:p>
            <w:pPr>
              <w:spacing w:after="0" w:line="240" w:lineRule="atLeast"/>
              <w:jc w:val="center"/>
              <w:rPr>
                <w:rFonts w:ascii="Times New Roman" w:hAnsi="Times New Roman"/>
                <w:color w:val="000000" w:themeColor="text1"/>
              </w:rPr>
            </w:pPr>
          </w:p>
        </w:tc>
        <w:tc>
          <w:tcPr>
            <w:tcW w:w="783" w:type="pct"/>
            <w:vMerge/>
            <w:shd w:val="clear" w:color="auto" w:fill="auto"/>
            <w:vAlign w:val="center"/>
          </w:tcPr>
          <w:p>
            <w:pPr>
              <w:spacing w:after="0" w:line="240" w:lineRule="atLeast"/>
              <w:jc w:val="center"/>
              <w:rPr>
                <w:rFonts w:ascii="Times New Roman" w:hAnsi="Times New Roman"/>
                <w:color w:val="000000" w:themeColor="text1"/>
              </w:rPr>
            </w:pPr>
          </w:p>
        </w:tc>
      </w:tr>
      <w:tr>
        <w:trPr>
          <w:jc w:val="center"/>
        </w:trPr>
        <w:tc>
          <w:tcPr>
            <w:tcW w:w="912" w:type="pct"/>
            <w:shd w:val="clear" w:color="auto" w:fill="auto"/>
          </w:tcPr>
          <w:p>
            <w:pPr>
              <w:spacing w:after="0" w:line="240" w:lineRule="atLeast"/>
              <w:rPr>
                <w:rFonts w:ascii="Times New Roman" w:hAnsi="Times New Roman"/>
                <w:color w:val="000000" w:themeColor="text1"/>
              </w:rPr>
            </w:pPr>
            <w:proofErr w:type="spellStart"/>
            <w:r>
              <w:rPr>
                <w:rFonts w:ascii="Times New Roman" w:hAnsi="Times New Roman"/>
                <w:color w:val="000000" w:themeColor="text1"/>
              </w:rPr>
              <w:t>Госкорпорация</w:t>
            </w:r>
            <w:proofErr w:type="spellEnd"/>
            <w:r>
              <w:rPr>
                <w:rFonts w:ascii="Times New Roman" w:hAnsi="Times New Roman"/>
                <w:color w:val="000000" w:themeColor="text1"/>
              </w:rPr>
              <w:t xml:space="preserve"> «</w:t>
            </w:r>
            <w:proofErr w:type="spellStart"/>
            <w:r>
              <w:rPr>
                <w:rFonts w:ascii="Times New Roman" w:hAnsi="Times New Roman"/>
                <w:color w:val="000000" w:themeColor="text1"/>
              </w:rPr>
              <w:t>Росатом</w:t>
            </w:r>
            <w:proofErr w:type="spellEnd"/>
            <w:r>
              <w:rPr>
                <w:rFonts w:ascii="Times New Roman" w:hAnsi="Times New Roman"/>
                <w:color w:val="000000" w:themeColor="text1"/>
              </w:rPr>
              <w:t>»</w:t>
            </w:r>
          </w:p>
        </w:tc>
        <w:tc>
          <w:tcPr>
            <w:tcW w:w="333"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1</w:t>
            </w:r>
          </w:p>
        </w:tc>
        <w:tc>
          <w:tcPr>
            <w:tcW w:w="53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150,0</w:t>
            </w:r>
          </w:p>
        </w:tc>
        <w:tc>
          <w:tcPr>
            <w:tcW w:w="532"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45,0</w:t>
            </w:r>
          </w:p>
        </w:tc>
        <w:tc>
          <w:tcPr>
            <w:tcW w:w="304"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1</w:t>
            </w:r>
          </w:p>
        </w:tc>
        <w:tc>
          <w:tcPr>
            <w:tcW w:w="764"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28,4</w:t>
            </w:r>
          </w:p>
        </w:tc>
        <w:tc>
          <w:tcPr>
            <w:tcW w:w="838"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28,4</w:t>
            </w:r>
          </w:p>
        </w:tc>
        <w:tc>
          <w:tcPr>
            <w:tcW w:w="78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0,0</w:t>
            </w:r>
          </w:p>
        </w:tc>
      </w:tr>
      <w:tr>
        <w:trPr>
          <w:jc w:val="center"/>
        </w:trPr>
        <w:tc>
          <w:tcPr>
            <w:tcW w:w="912" w:type="pct"/>
            <w:shd w:val="clear" w:color="auto" w:fill="auto"/>
          </w:tcPr>
          <w:p>
            <w:pPr>
              <w:spacing w:after="0" w:line="240" w:lineRule="atLeast"/>
              <w:rPr>
                <w:rFonts w:ascii="Times New Roman" w:hAnsi="Times New Roman"/>
                <w:color w:val="000000" w:themeColor="text1"/>
              </w:rPr>
            </w:pPr>
            <w:proofErr w:type="spellStart"/>
            <w:r>
              <w:rPr>
                <w:rFonts w:ascii="Times New Roman" w:hAnsi="Times New Roman"/>
                <w:color w:val="000000" w:themeColor="text1"/>
              </w:rPr>
              <w:t>Госкорпорация</w:t>
            </w:r>
            <w:proofErr w:type="spellEnd"/>
            <w:r>
              <w:rPr>
                <w:rFonts w:ascii="Times New Roman" w:hAnsi="Times New Roman"/>
                <w:color w:val="000000" w:themeColor="text1"/>
              </w:rPr>
              <w:t xml:space="preserve"> «</w:t>
            </w:r>
            <w:proofErr w:type="spellStart"/>
            <w:r>
              <w:rPr>
                <w:rFonts w:ascii="Times New Roman" w:hAnsi="Times New Roman"/>
                <w:color w:val="000000" w:themeColor="text1"/>
              </w:rPr>
              <w:t>Роскосмос</w:t>
            </w:r>
            <w:proofErr w:type="spellEnd"/>
            <w:r>
              <w:rPr>
                <w:rFonts w:ascii="Times New Roman" w:hAnsi="Times New Roman"/>
                <w:color w:val="000000" w:themeColor="text1"/>
              </w:rPr>
              <w:t>»</w:t>
            </w:r>
          </w:p>
        </w:tc>
        <w:tc>
          <w:tcPr>
            <w:tcW w:w="333"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2</w:t>
            </w:r>
          </w:p>
        </w:tc>
        <w:tc>
          <w:tcPr>
            <w:tcW w:w="53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945,8</w:t>
            </w:r>
          </w:p>
        </w:tc>
        <w:tc>
          <w:tcPr>
            <w:tcW w:w="532"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756,6</w:t>
            </w:r>
          </w:p>
        </w:tc>
        <w:tc>
          <w:tcPr>
            <w:tcW w:w="304"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2</w:t>
            </w:r>
          </w:p>
        </w:tc>
        <w:tc>
          <w:tcPr>
            <w:tcW w:w="764"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591,8</w:t>
            </w:r>
          </w:p>
        </w:tc>
        <w:tc>
          <w:tcPr>
            <w:tcW w:w="838"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42,0</w:t>
            </w:r>
          </w:p>
        </w:tc>
        <w:tc>
          <w:tcPr>
            <w:tcW w:w="78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549,8</w:t>
            </w:r>
          </w:p>
        </w:tc>
      </w:tr>
      <w:tr>
        <w:trPr>
          <w:jc w:val="center"/>
        </w:trPr>
        <w:tc>
          <w:tcPr>
            <w:tcW w:w="912" w:type="pct"/>
            <w:shd w:val="clear" w:color="auto" w:fill="auto"/>
          </w:tcPr>
          <w:p>
            <w:pPr>
              <w:spacing w:after="0" w:line="240" w:lineRule="atLeast"/>
              <w:rPr>
                <w:rFonts w:ascii="Times New Roman" w:hAnsi="Times New Roman"/>
                <w:color w:val="000000" w:themeColor="text1"/>
              </w:rPr>
            </w:pPr>
            <w:proofErr w:type="spellStart"/>
            <w:r>
              <w:rPr>
                <w:rFonts w:ascii="Times New Roman" w:hAnsi="Times New Roman"/>
                <w:color w:val="000000" w:themeColor="text1"/>
              </w:rPr>
              <w:t>Минпромторг</w:t>
            </w:r>
            <w:proofErr w:type="spellEnd"/>
            <w:r>
              <w:rPr>
                <w:rFonts w:ascii="Times New Roman" w:hAnsi="Times New Roman"/>
                <w:color w:val="000000" w:themeColor="text1"/>
              </w:rPr>
              <w:t xml:space="preserve"> России</w:t>
            </w:r>
          </w:p>
        </w:tc>
        <w:tc>
          <w:tcPr>
            <w:tcW w:w="333"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6</w:t>
            </w:r>
          </w:p>
        </w:tc>
        <w:tc>
          <w:tcPr>
            <w:tcW w:w="53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4 267,5</w:t>
            </w:r>
          </w:p>
        </w:tc>
        <w:tc>
          <w:tcPr>
            <w:tcW w:w="532"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859,9</w:t>
            </w:r>
          </w:p>
        </w:tc>
        <w:tc>
          <w:tcPr>
            <w:tcW w:w="304"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7</w:t>
            </w:r>
          </w:p>
        </w:tc>
        <w:tc>
          <w:tcPr>
            <w:tcW w:w="764"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859,9</w:t>
            </w:r>
          </w:p>
        </w:tc>
        <w:tc>
          <w:tcPr>
            <w:tcW w:w="838"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859,9</w:t>
            </w:r>
          </w:p>
        </w:tc>
        <w:tc>
          <w:tcPr>
            <w:tcW w:w="78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0,0</w:t>
            </w:r>
          </w:p>
        </w:tc>
      </w:tr>
      <w:tr>
        <w:trPr>
          <w:jc w:val="center"/>
        </w:trPr>
        <w:tc>
          <w:tcPr>
            <w:tcW w:w="912" w:type="pct"/>
            <w:shd w:val="clear" w:color="auto" w:fill="auto"/>
          </w:tcPr>
          <w:p>
            <w:pPr>
              <w:spacing w:after="0" w:line="240" w:lineRule="atLeast"/>
              <w:rPr>
                <w:rFonts w:ascii="Times New Roman" w:hAnsi="Times New Roman"/>
                <w:color w:val="000000" w:themeColor="text1"/>
              </w:rPr>
            </w:pPr>
            <w:r>
              <w:rPr>
                <w:rFonts w:ascii="Times New Roman" w:hAnsi="Times New Roman"/>
                <w:color w:val="000000" w:themeColor="text1"/>
              </w:rPr>
              <w:t>Итого</w:t>
            </w:r>
          </w:p>
        </w:tc>
        <w:tc>
          <w:tcPr>
            <w:tcW w:w="333"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9</w:t>
            </w:r>
          </w:p>
        </w:tc>
        <w:tc>
          <w:tcPr>
            <w:tcW w:w="53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5 363,3</w:t>
            </w:r>
          </w:p>
        </w:tc>
        <w:tc>
          <w:tcPr>
            <w:tcW w:w="532"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1 468,1</w:t>
            </w:r>
          </w:p>
        </w:tc>
        <w:tc>
          <w:tcPr>
            <w:tcW w:w="304" w:type="pct"/>
            <w:shd w:val="clear" w:color="auto" w:fill="auto"/>
            <w:vAlign w:val="center"/>
          </w:tcPr>
          <w:p>
            <w:pPr>
              <w:spacing w:after="0" w:line="240" w:lineRule="atLeast"/>
              <w:jc w:val="center"/>
              <w:rPr>
                <w:rFonts w:ascii="Times New Roman" w:hAnsi="Times New Roman"/>
                <w:color w:val="000000" w:themeColor="text1"/>
              </w:rPr>
            </w:pPr>
            <w:r>
              <w:rPr>
                <w:rFonts w:ascii="Times New Roman" w:hAnsi="Times New Roman"/>
                <w:color w:val="000000" w:themeColor="text1"/>
              </w:rPr>
              <w:t>10</w:t>
            </w:r>
          </w:p>
        </w:tc>
        <w:tc>
          <w:tcPr>
            <w:tcW w:w="764"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1 480,1</w:t>
            </w:r>
          </w:p>
        </w:tc>
        <w:tc>
          <w:tcPr>
            <w:tcW w:w="838"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930,3</w:t>
            </w:r>
          </w:p>
        </w:tc>
        <w:tc>
          <w:tcPr>
            <w:tcW w:w="783" w:type="pct"/>
            <w:shd w:val="clear" w:color="auto" w:fill="auto"/>
            <w:vAlign w:val="center"/>
          </w:tcPr>
          <w:p>
            <w:pPr>
              <w:spacing w:after="0" w:line="240" w:lineRule="atLeast"/>
              <w:jc w:val="right"/>
              <w:rPr>
                <w:rFonts w:ascii="Times New Roman" w:hAnsi="Times New Roman"/>
                <w:color w:val="000000" w:themeColor="text1"/>
              </w:rPr>
            </w:pPr>
            <w:r>
              <w:rPr>
                <w:rFonts w:ascii="Times New Roman" w:hAnsi="Times New Roman"/>
                <w:color w:val="000000" w:themeColor="text1"/>
              </w:rPr>
              <w:t>549,8</w:t>
            </w:r>
          </w:p>
        </w:tc>
      </w:tr>
    </w:tbl>
    <w:p>
      <w:pPr>
        <w:autoSpaceDE w:val="0"/>
        <w:autoSpaceDN w:val="0"/>
        <w:adjustRightInd w:val="0"/>
        <w:spacing w:before="120"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Применение казначейского аккредитива при казначейском сопровождении отдельных государственных контрактов позволило исключить образование дебиторской задолженности по расходам федерального бюджета, поскольку погашение казначейского аккредитива осуществлялось в пределах суммы, необходимой для оплаты подтвержденных обязательств получателей средств из бюджета.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 xml:space="preserve">1.1.3. Кассовое обслуживание исполнения бюджетов субъектов Российской Федерации, местных бюджетов, бюджетов государственных внебюджетных фондов Российской Федерации, территориальных государственных внебюджетных фондов и проведение операций </w:t>
      </w:r>
      <w:r>
        <w:rPr>
          <w:rFonts w:ascii="Times New Roman" w:hAnsi="Times New Roman"/>
          <w:b/>
          <w:color w:val="000000" w:themeColor="text1"/>
          <w:sz w:val="28"/>
          <w:szCs w:val="28"/>
        </w:rPr>
        <w:br/>
        <w:t>со средствами неучастников бюджетного процесса</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выполнения полномочий по кассовому обслуживанию исполнения бюджетов бюджетной системы Российской Федерации, проведению операций со средствами НУБП и в целях совершенствования кассового обслуживания исполнения бюджетов субъектов Российской Федерации (местных бюджетов) и учета операций со средствами НУБП </w:t>
      </w:r>
      <w:r>
        <w:rPr>
          <w:rFonts w:ascii="Times New Roman" w:hAnsi="Times New Roman"/>
          <w:color w:val="000000" w:themeColor="text1"/>
          <w:sz w:val="28"/>
          <w:szCs w:val="28"/>
        </w:rPr>
        <w:br/>
        <w:t>в 2016 году Федеральным казначейством проведены следующие мероприятия:</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1. Разработаны и утверждены приказы Федерального казначейства:</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22 января 2016 г. № 2н «Об утверждении Порядка осуществления территориальными органами Федерального казначейства в 2016 году полномочий получателя средств бюджета субъекта Российской Федерации по перечислению межбюджетных трансфертов, предоставляемых </w:t>
      </w:r>
      <w:r>
        <w:rPr>
          <w:rFonts w:ascii="Times New Roman" w:hAnsi="Times New Roman"/>
          <w:color w:val="000000" w:themeColor="text1"/>
          <w:sz w:val="28"/>
          <w:szCs w:val="28"/>
        </w:rPr>
        <w:br/>
        <w:t>из бюджета субъекта Российской Федерации в местный бюджет в форме субсидий, субвенций и иных межбюджетных трансфертов, имеющих целевое назначение»;</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 марта 2016 г. № 33 «О внесении изменений в приказ Федерального казначейства от 18 июня 2012 г. № 238 «Об организации работы территориальных органов Федерального казначейства </w:t>
      </w:r>
      <w:r>
        <w:rPr>
          <w:rFonts w:ascii="Times New Roman" w:hAnsi="Times New Roman"/>
          <w:color w:val="000000" w:themeColor="text1"/>
          <w:sz w:val="28"/>
          <w:szCs w:val="28"/>
        </w:rPr>
        <w:br/>
        <w:t xml:space="preserve">по осуществлению полномочий получателя средств федерального бюджета по перечислению в бюджеты субъектов Российской Федерации </w:t>
      </w:r>
      <w:r>
        <w:rPr>
          <w:rFonts w:ascii="Times New Roman" w:hAnsi="Times New Roman"/>
          <w:color w:val="000000" w:themeColor="text1"/>
          <w:sz w:val="28"/>
          <w:szCs w:val="28"/>
        </w:rPr>
        <w:br/>
        <w:t>из федерального бюджета субсидий, субвенций и иных межбюджетных трансфертов, имеющих целевое назначение».</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интеграции Реестр УБП и НУБП в процесс кассового обслуживания исполнения бюджетов субъектов Российской Федерации (местных бюджетов) издан приказ Федерального казначейства от 14 октября 2016 г. № 20н «О внесении изменений в нормативные правовые акты Федерального казначейства в целях реализации положений Федерального закона от 28 декабря 2013 г. № 418-ФЗ «О внесении изменений </w:t>
      </w:r>
      <w:r>
        <w:rPr>
          <w:rFonts w:ascii="Times New Roman" w:hAnsi="Times New Roman"/>
          <w:color w:val="000000" w:themeColor="text1"/>
          <w:sz w:val="28"/>
          <w:szCs w:val="28"/>
        </w:rPr>
        <w:br/>
        <w:t xml:space="preserve">в Бюджетный кодекс Российской Федерации и отдельные законодательные акты Российской Федерации», предусматривающий внесение изменений </w:t>
      </w:r>
      <w:r>
        <w:rPr>
          <w:rFonts w:ascii="Times New Roman" w:hAnsi="Times New Roman"/>
          <w:color w:val="000000" w:themeColor="text1"/>
          <w:sz w:val="28"/>
          <w:szCs w:val="28"/>
        </w:rPr>
        <w:br/>
        <w:t>в части ведения Реестра УБП и НУБП в следующие НПА Федерального казначейства:</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Порядок кассового обслуживания исполнения федерального бюджета, бюджетов субъектов Российской Федерации и местных бюджетов </w:t>
      </w:r>
      <w:r>
        <w:rPr>
          <w:rFonts w:ascii="Times New Roman" w:hAnsi="Times New Roman"/>
          <w:color w:val="000000" w:themeColor="text1"/>
          <w:sz w:val="28"/>
          <w:szCs w:val="28"/>
        </w:rPr>
        <w:lastRenderedPageBreak/>
        <w:t>и Порядок осуществления территориальными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утвержденный приказом Федерального казначейства от 10 октября 2008 г. № 8н;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Порядок осуществления территориальными органами Федерального казначейства операций со средствами государственной компании «Российские автомобильные дороги», утвержденный приказом Федерального казначейства от 15 декабря 2009 г. № 13н;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Порядок проведения территориальными органами Федерального казначейства кассовых операций со средствами автономных учреждений, утвержденный приказом Федерального казначейства от 8 декабря 2011 г. № 15н;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Порядок кассового обслуживания исполнения бюджетов территориальных государственных внебюджетных фондов, утвержденный приказом Федерального казначейства от 17 июня 2013 г. № 6н;</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Порядок проведения территориальными органами Федерального казначейства кассовых операций со средствами бюджетных учреждений, утвержденный приказом Федерального казначейства от 19 июля 2013 г. № 11н;</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Порядок кассового обслуживания исполнения бюджетов государственных внебюджетных фондов Российской Федерации</w:t>
      </w:r>
      <w:r>
        <w:rPr>
          <w:rFonts w:ascii="Times New Roman" w:hAnsi="Times New Roman"/>
          <w:color w:val="000000" w:themeColor="text1"/>
          <w:sz w:val="28"/>
          <w:szCs w:val="28"/>
        </w:rPr>
        <w:br/>
        <w:t>и Порядок осуществления территориальными органами Федерального казначейства отдельных функций органов управления государственными внебюджетными фондами Российской Федерации по исполнению соответствующих бюджетов, утвержденный приказом Федерального казначейства от 23 августа 2013 г. № 12н;</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Правила обеспечения наличными денежными средствами организаций, лицевые счета которым открыты в территориальных органах Федерального казначейства, финансовых органах субъектов Российской Федерации (муниципальных образований), утвержденные приказом Федерального казначейства от 30 июня 2014 г. № 10н;</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Порядок осуществления территориальными органами Федерального казначейства операций со средствами юридического лица </w:t>
      </w:r>
      <w:r>
        <w:rPr>
          <w:rFonts w:ascii="Times New Roman" w:hAnsi="Times New Roman"/>
          <w:color w:val="000000" w:themeColor="text1"/>
          <w:sz w:val="28"/>
          <w:szCs w:val="28"/>
        </w:rPr>
        <w:br/>
        <w:t>(его обособленного подразделения), не являющегося участником бюджетного процесса, утвержденный приказом Федерального казначейства от 29 октября 2014 г. № 16н.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2. Разработаны проекты приказов Федерального казначейства:</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«Об утверждении Порядка осуществления территориальными органами Федерального казначейства полномочий получателя средств федерального бюджета (бюджета субъекта Российской Федерации) </w:t>
      </w:r>
      <w:r>
        <w:rPr>
          <w:rFonts w:ascii="Times New Roman" w:hAnsi="Times New Roman"/>
          <w:color w:val="000000" w:themeColor="text1"/>
          <w:sz w:val="28"/>
          <w:szCs w:val="28"/>
        </w:rPr>
        <w:br/>
        <w:t xml:space="preserve">по перечислению межбюджетных трансфертов, предоставляемых </w:t>
      </w:r>
      <w:r>
        <w:rPr>
          <w:rFonts w:ascii="Times New Roman" w:hAnsi="Times New Roman"/>
          <w:color w:val="000000" w:themeColor="text1"/>
          <w:sz w:val="28"/>
          <w:szCs w:val="28"/>
        </w:rPr>
        <w:br/>
        <w:t>из федерального бюджета (бюджета субъекта Российской Федерации) бюджету субъекта Российской Федерации (местному бюджету) в форме субсидий, субвенций и иных межбюджетных трансфертов, имеющих целевое назначение», работа по утверждению которого будет продолжена после принятия соответствующих поправок в Бюджетный кодекс;</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утверждении Порядка осуществления территориальными органами Федерального казначейства в 2017 году полномочий получателя средств бюджета субъекта Российской Федерации по перечислению межбюджетных трансфертов, предоставляемых из бюджета субъекта Российской Федерации в местный бюджет в форме субсидий, субвенций </w:t>
      </w:r>
      <w:r>
        <w:rPr>
          <w:rFonts w:ascii="Times New Roman" w:hAnsi="Times New Roman"/>
          <w:color w:val="000000" w:themeColor="text1"/>
          <w:sz w:val="28"/>
          <w:szCs w:val="28"/>
        </w:rPr>
        <w:br/>
        <w:t>и иных межбюджетных трансфертов, имеющих целевое назначение»;</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внесении изменений в приказ Федерального казначейства </w:t>
      </w:r>
      <w:r>
        <w:rPr>
          <w:rFonts w:ascii="Times New Roman" w:hAnsi="Times New Roman"/>
          <w:color w:val="000000" w:themeColor="text1"/>
          <w:sz w:val="28"/>
          <w:szCs w:val="28"/>
        </w:rPr>
        <w:br/>
        <w:t xml:space="preserve">от 18 июня 2012 г. № 238 «Об организации работы территориальных органов Федерального казначейства в 2017 году по осуществлению полномочий получателя средств федерального бюджета по перечислению </w:t>
      </w:r>
      <w:r>
        <w:rPr>
          <w:rFonts w:ascii="Times New Roman" w:hAnsi="Times New Roman"/>
          <w:color w:val="000000" w:themeColor="text1"/>
          <w:sz w:val="28"/>
          <w:szCs w:val="28"/>
        </w:rPr>
        <w:br/>
        <w:t>в бюджеты субъектов Российской Федерации из федерального бюджета субсидий, субвенций и иных межбюджетных трансфертов, имеющих целевое назначение».</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3. </w:t>
      </w:r>
      <w:r>
        <w:rPr>
          <w:rFonts w:ascii="Times New Roman" w:hAnsi="Times New Roman"/>
          <w:bCs/>
          <w:color w:val="000000" w:themeColor="text1"/>
          <w:sz w:val="28"/>
          <w:szCs w:val="28"/>
        </w:rPr>
        <w:t>Проведен</w:t>
      </w:r>
      <w:r>
        <w:rPr>
          <w:rFonts w:ascii="Times New Roman" w:hAnsi="Times New Roman"/>
          <w:color w:val="000000" w:themeColor="text1"/>
          <w:sz w:val="28"/>
          <w:szCs w:val="28"/>
        </w:rPr>
        <w:t xml:space="preserve"> мониторинг внедрения механизма предоставления межбюджетных трансфертов из бюджета субъекта Российской Федерации </w:t>
      </w:r>
      <w:r>
        <w:rPr>
          <w:rFonts w:ascii="Times New Roman" w:hAnsi="Times New Roman"/>
          <w:color w:val="000000" w:themeColor="text1"/>
          <w:sz w:val="28"/>
          <w:szCs w:val="28"/>
        </w:rPr>
        <w:br/>
        <w:t>в местные бюджеты в пределах фактической потребности получателя средств местного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1 октября 2016 года механизм предоставления межбюджетных трансфертов под фактическую потребность применяется </w:t>
      </w:r>
      <w:r>
        <w:rPr>
          <w:rFonts w:ascii="Times New Roman" w:hAnsi="Times New Roman"/>
          <w:color w:val="000000" w:themeColor="text1"/>
          <w:sz w:val="28"/>
          <w:szCs w:val="28"/>
        </w:rPr>
        <w:br/>
        <w:t>в 35 субъектах Российской Федерации: Республиках Бурятия, Кабардино-Балкарская, Калмыкия, Карелия, Марий Эл, Чувашия, Мордовия, Саха (Якутия), Алтай, Алтайском, Краснодарском, Приморском, Ставропольском, Хабаровском краях, Амурской, Архангельской, Белгородской, Брянской, Иркутской, Калининградской, Кемеровской, Костромской, Курской, Магаданской, Мурманской, Новосибирской, Оренбургской, Пензенской, Псковской, Рязанской, Саратовской, Тульской, Челябинской областях, Еврейской автономной области и Ямало-Ненецком автономном округе.</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1</w:t>
      </w:r>
    </w:p>
    <w:p>
      <w:pPr>
        <w:spacing w:after="0" w:line="360" w:lineRule="atLeast"/>
        <w:ind w:firstLine="709"/>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462545" cy="2663687"/>
            <wp:effectExtent l="0" t="0" r="508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2705" cy="2663765"/>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Из них в 2016 году данный механизм начали применять в следующих субъектах Российской Федерации: Кабардино-Балкарской Республике, Республике Мордовия, Белгородской, Брянской, Калининградской, Мурманской, Пензенской, Псковской областях и Ямало-Ненецком автономном округе.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13 субъектах Российской Федерации планируют приступить </w:t>
      </w:r>
      <w:r>
        <w:rPr>
          <w:rFonts w:ascii="Times New Roman" w:hAnsi="Times New Roman"/>
          <w:color w:val="000000" w:themeColor="text1"/>
          <w:sz w:val="28"/>
          <w:szCs w:val="28"/>
        </w:rPr>
        <w:br/>
        <w:t xml:space="preserve">к внедрению механизма предоставления межбюджетных трансфертов </w:t>
      </w:r>
      <w:r>
        <w:rPr>
          <w:rFonts w:ascii="Times New Roman" w:hAnsi="Times New Roman"/>
          <w:color w:val="000000" w:themeColor="text1"/>
          <w:sz w:val="28"/>
          <w:szCs w:val="28"/>
        </w:rPr>
        <w:br/>
        <w:t>под фактическую потребность в 2017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Еще в 7 субъектах Российской Федерации планируют рассмотреть вопрос внедрения механизма предоставления межбюджетных трансфертов под фактическую потребность в течение 2017–2019 годов.</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2</w:t>
      </w:r>
    </w:p>
    <w:p>
      <w:pPr>
        <w:spacing w:line="360" w:lineRule="atLeast"/>
        <w:ind w:firstLine="539"/>
        <w:jc w:val="center"/>
        <w:rPr>
          <w:rFonts w:ascii="Times New Roman" w:hAnsi="Times New Roman"/>
          <w:noProof/>
          <w:color w:val="000000" w:themeColor="text1"/>
          <w:sz w:val="28"/>
          <w:szCs w:val="28"/>
        </w:rPr>
      </w:pPr>
      <w:r>
        <w:rPr>
          <w:rFonts w:ascii="Times New Roman" w:hAnsi="Times New Roman"/>
          <w:noProof/>
          <w:color w:val="000000" w:themeColor="text1"/>
          <w:sz w:val="24"/>
          <w:szCs w:val="24"/>
          <w:lang w:eastAsia="ru-RU"/>
        </w:rPr>
        <w:drawing>
          <wp:inline distT="0" distB="0" distL="0" distR="0">
            <wp:extent cx="4373217" cy="2568271"/>
            <wp:effectExtent l="0" t="0" r="8890"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73217" cy="2568271"/>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По состоянию на 1 октября 2016 года в ТОФК открыты 8 987 лицевых счетов по переданным полномочиям для учета операций </w:t>
      </w:r>
      <w:r>
        <w:rPr>
          <w:rFonts w:ascii="Times New Roman" w:hAnsi="Times New Roman"/>
          <w:color w:val="000000" w:themeColor="text1"/>
          <w:sz w:val="28"/>
          <w:szCs w:val="28"/>
        </w:rPr>
        <w:br/>
        <w:t>с 831 межбюджетным трансфертом, представляемым из бюджетов субъектов Российской Федерации в местные бюджеты под фактическую потребность, что в 2,6 раза превышает количество лицевых счетов, открытых по состоянию на 1 декабря 2015 года.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w:t>
      </w:r>
    </w:p>
    <w:p>
      <w:pPr>
        <w:spacing w:line="360" w:lineRule="atLeast"/>
        <w:ind w:firstLine="539"/>
        <w:jc w:val="center"/>
        <w:rPr>
          <w:rFonts w:ascii="Times New Roman" w:hAnsi="Times New Roman"/>
          <w:noProof/>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929809" cy="3419061"/>
            <wp:effectExtent l="0" t="0" r="444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8810" cy="3418368"/>
                    </a:xfrm>
                    <a:prstGeom prst="rect">
                      <a:avLst/>
                    </a:prstGeom>
                    <a:noFill/>
                    <a:ln>
                      <a:noFill/>
                    </a:ln>
                  </pic:spPr>
                </pic:pic>
              </a:graphicData>
            </a:graphic>
          </wp:inline>
        </w:drawing>
      </w:r>
    </w:p>
    <w:p>
      <w:pPr>
        <w:autoSpaceDE w:val="0"/>
        <w:autoSpaceDN w:val="0"/>
        <w:adjustRightInd w:val="0"/>
        <w:spacing w:after="0" w:line="360" w:lineRule="atLeast"/>
        <w:ind w:firstLine="709"/>
        <w:jc w:val="both"/>
        <w:outlineLvl w:val="0"/>
        <w:rPr>
          <w:rFonts w:ascii="Times New Roman" w:hAnsi="Times New Roman"/>
          <w:color w:val="000000" w:themeColor="text1"/>
          <w:sz w:val="28"/>
          <w:szCs w:val="28"/>
        </w:rPr>
      </w:pPr>
      <w:r>
        <w:rPr>
          <w:rFonts w:ascii="Times New Roman" w:hAnsi="Times New Roman"/>
          <w:color w:val="000000" w:themeColor="text1"/>
          <w:sz w:val="28"/>
          <w:szCs w:val="28"/>
        </w:rPr>
        <w:t>Механизм предоставления межбюджетных трансфертов из субъекта Российской Федерации в местные бюджеты под фактическую потребность используется как в отношении средств, выделяемых из федерального бюджета бюджету субъекта Российской Федерации (139 межбюджетных трансфертов), так и в отношении собственных средств бюджетов субъекта Российской Федерации (692 межбюджетных трансферта).</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4</w:t>
      </w:r>
    </w:p>
    <w:p>
      <w:pPr>
        <w:autoSpaceDE w:val="0"/>
        <w:autoSpaceDN w:val="0"/>
        <w:adjustRightInd w:val="0"/>
        <w:spacing w:line="360" w:lineRule="atLeast"/>
        <w:jc w:val="center"/>
        <w:outlineLvl w:val="0"/>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4929808" cy="3371353"/>
            <wp:effectExtent l="0" t="0" r="4445" b="635"/>
            <wp:docPr id="95" name="Диаграмма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 Разработаны и направлены в осуществляющие внедрение выработанных Федеральным казначейством решений ТОФК бизнес-процессы по предоставлению из федерального бюджета бюджетам субъектов Российской Федерации (местным бюджетам) межбюджетных трансфертов с применением казначейского аккредитива.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В целях исполнения подпункта 3 пункта 1 перечня поручений Президента Российской Федерации от 8 декабря 2015 г. № Пр-2508 </w:t>
      </w:r>
      <w:r>
        <w:rPr>
          <w:rFonts w:ascii="Times New Roman" w:hAnsi="Times New Roman"/>
          <w:color w:val="000000" w:themeColor="text1"/>
          <w:sz w:val="28"/>
          <w:szCs w:val="28"/>
        </w:rPr>
        <w:br/>
        <w:t xml:space="preserve">по реализации послания Президента Российской Федерации Федеральному Собранию Российской Федерации от 3 декабря 2015 года в части зачисления субсидий на поддержку отраслей промышленности и сельского хозяйства, предоставляемых из федерального бюджета, из бюджетов субъектов Российской Федерации и местных бюджетов на условиях </w:t>
      </w:r>
      <w:proofErr w:type="spellStart"/>
      <w:r>
        <w:rPr>
          <w:rFonts w:ascii="Times New Roman" w:hAnsi="Times New Roman"/>
          <w:color w:val="000000" w:themeColor="text1"/>
          <w:sz w:val="28"/>
          <w:szCs w:val="28"/>
        </w:rPr>
        <w:t>софинансирования</w:t>
      </w:r>
      <w:proofErr w:type="spellEnd"/>
      <w:r>
        <w:rPr>
          <w:rFonts w:ascii="Times New Roman" w:hAnsi="Times New Roman"/>
          <w:color w:val="000000" w:themeColor="text1"/>
          <w:sz w:val="28"/>
          <w:szCs w:val="28"/>
        </w:rPr>
        <w:t xml:space="preserve"> из федерального бюджета (далее – целевая субсидия), </w:t>
      </w:r>
      <w:r>
        <w:rPr>
          <w:rFonts w:ascii="Times New Roman" w:hAnsi="Times New Roman"/>
          <w:color w:val="000000" w:themeColor="text1"/>
          <w:sz w:val="28"/>
          <w:szCs w:val="28"/>
        </w:rPr>
        <w:br/>
        <w:t>на лицевые счета, открываемые получателям такой поддержки в ТОФК, Федеральным казначейством проведены следующие мероприятия.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5.1. Для обеспечения правового основания для открытия в ТОФК лицевых счетов для учета операций со средствами целевых субсидий получателям данных субсидий: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направлены предложения в Минфин России в проекты федеральных законов «О внесении изменений в Федеральный закон «О федеральном бюджете на 2016 год» и «О федеральном бюджете на 2017 год </w:t>
      </w:r>
      <w:r>
        <w:rPr>
          <w:rFonts w:ascii="Times New Roman" w:hAnsi="Times New Roman"/>
          <w:color w:val="000000" w:themeColor="text1"/>
          <w:sz w:val="28"/>
          <w:szCs w:val="28"/>
        </w:rPr>
        <w:br/>
        <w:t xml:space="preserve">и на плановый период 2018 и 2019 годов» в части осуществления ТОФК </w:t>
      </w:r>
      <w:r>
        <w:rPr>
          <w:rFonts w:ascii="Times New Roman" w:hAnsi="Times New Roman"/>
          <w:color w:val="000000" w:themeColor="text1"/>
          <w:sz w:val="28"/>
          <w:szCs w:val="28"/>
        </w:rPr>
        <w:lastRenderedPageBreak/>
        <w:t>казначейского сопровождения договоров (соглашений) о предоставлении юридическим лицам целевой субсидии в порядке, аналогичном установленному Правительством Российской Федерации для казначейского сопровождения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Данные предложения учтены в Федеральном законе № 158-ФЗ, Федеральном законе от 19 декабря 2016 г. № 415-ФЗ «О федеральном бюджете на 2017 год и плановый период 2018 и 2019 годов» (далее – Федеральный закон № 415-ФЗ), постановлении Правительства Российской Федерации от 18 июля 2016 г. № 690 «О внесении изменений </w:t>
      </w:r>
      <w:r>
        <w:rPr>
          <w:rFonts w:ascii="Times New Roman" w:hAnsi="Times New Roman"/>
          <w:color w:val="000000" w:themeColor="text1"/>
          <w:sz w:val="28"/>
          <w:szCs w:val="28"/>
        </w:rPr>
        <w:br/>
        <w:t xml:space="preserve">в постановление Правительства Российской Федерации от 28 декабря 2015 г. № 1456» и постановление Правительства Российской Федерации </w:t>
      </w:r>
      <w:r>
        <w:rPr>
          <w:rFonts w:ascii="Times New Roman" w:hAnsi="Times New Roman"/>
          <w:color w:val="000000" w:themeColor="text1"/>
          <w:sz w:val="28"/>
          <w:szCs w:val="28"/>
        </w:rPr>
        <w:br/>
        <w:t>от 30 декабря 2016 г. № 1551 «О мерах по реализации Федерального закона «О федеральном бюджете на 2017 год и на плановый период 2018 и 2019 годов»;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подготовлены и направлены в Минсельхоз России и в Минпромторг России предложения о включении в проекты постановлений Правительства Российской Федерации о предоставлении из федерального бюджета бюджетам субъектов Российской Федерации целевых субсидий условий, предусматривающих казначейское сопровождение целевых субсидий </w:t>
      </w:r>
      <w:r>
        <w:rPr>
          <w:rFonts w:ascii="Times New Roman" w:hAnsi="Times New Roman"/>
          <w:color w:val="000000" w:themeColor="text1"/>
          <w:sz w:val="28"/>
          <w:szCs w:val="28"/>
        </w:rPr>
        <w:br/>
        <w:t xml:space="preserve">в порядке, аналогичном установленному в соответствии со статьей </w:t>
      </w:r>
      <w:r>
        <w:rPr>
          <w:rFonts w:ascii="Times New Roman" w:hAnsi="Times New Roman"/>
          <w:color w:val="000000" w:themeColor="text1"/>
          <w:sz w:val="28"/>
          <w:szCs w:val="28"/>
        </w:rPr>
        <w:br/>
        <w:t>5 Федерального закона № 359-ФЗ о предоставлении межбюджетных трансфертов юридическим лицам.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5.2. Проведены совещания с представителями Минсельхоза России</w:t>
      </w:r>
      <w:r>
        <w:rPr>
          <w:rFonts w:ascii="Times New Roman" w:hAnsi="Times New Roman"/>
          <w:color w:val="000000" w:themeColor="text1"/>
          <w:sz w:val="28"/>
          <w:szCs w:val="28"/>
        </w:rPr>
        <w:br/>
        <w:t>и Минпромторга России, «пилотными» ТОФК по вопросам исполнения соответствующего поручения Президента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5.3. В целях организации работы в субъектах Российской Федерации (муниципальных образованиях) по обеспечению казначейского сопровождения договоров (соглашений) о предоставлении целевых субсидий разработан и направлен в ТОФК план мероприятий («дорожная карта») по реализации послания Президента Российской Федерации Федеральному Собранию Российской Федерации от 3 декабря 2015 года </w:t>
      </w:r>
      <w:r>
        <w:rPr>
          <w:rFonts w:ascii="Times New Roman" w:hAnsi="Times New Roman"/>
          <w:color w:val="000000" w:themeColor="text1"/>
          <w:sz w:val="28"/>
          <w:szCs w:val="28"/>
        </w:rPr>
        <w:br/>
        <w:t>в части перечисления целевых субсидий на лицевые счета, открываемые юридическим лицам – получателям такой поддержки в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5.4. С целью предоставления в Минсельхоз России отчетности </w:t>
      </w:r>
      <w:r>
        <w:rPr>
          <w:rFonts w:ascii="Times New Roman" w:hAnsi="Times New Roman"/>
          <w:color w:val="000000" w:themeColor="text1"/>
          <w:sz w:val="28"/>
          <w:szCs w:val="28"/>
        </w:rPr>
        <w:br/>
        <w:t xml:space="preserve">о расходах бюджетов субъектов Российской Федерации (местных бюджетов), источником финансового обеспечения которых являются указанные межбюджетные трансферты, и получателях целевой субсидии, Федеральным казначейством разработана форма Отчета о расходах </w:t>
      </w:r>
      <w:r>
        <w:rPr>
          <w:rFonts w:ascii="Times New Roman" w:hAnsi="Times New Roman"/>
          <w:color w:val="000000" w:themeColor="text1"/>
          <w:sz w:val="28"/>
          <w:szCs w:val="28"/>
        </w:rPr>
        <w:lastRenderedPageBreak/>
        <w:t>бюджетов субъекта Российской Федерации (местных бюджетов), источником финансового обеспечения которых являются целевые субсидии.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срок до 10 числа каждого месяца ТОФК формируются </w:t>
      </w:r>
      <w:r>
        <w:rPr>
          <w:rFonts w:ascii="Times New Roman" w:hAnsi="Times New Roman"/>
          <w:color w:val="000000" w:themeColor="text1"/>
          <w:sz w:val="28"/>
          <w:szCs w:val="28"/>
        </w:rPr>
        <w:br/>
        <w:t>и направляются в Минсельхоз данные оперативного Отчета о расходах бюджетов субъектов Российской Федерации (местных бюджетов), источником финансового обеспечения которых являются целевые субсидии.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5.5. Разработаны и направлены в адрес финансовых органов субъектов Российской Федерации и ТОФК совместные разъяснения Минфина России и Федерального казначейства о мероприятиях, направленных на реализацию перечня поручений Президента Российской Федерации от 8 декабря 2015 г. № Пр-2508 по реализации послания Президента Российской Федерации Федеральному Собранию Российской Федерации от 3 декабря 2015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5.6. С целью представления в адрес Президента Российской Федерации и Правительства Российской Федерации информации о ходе исполнения указанного перечня поручений Федеральным казначейством подготовлен и направлен в Минфин России Отчет о проведенных мероприятиях по ужесточению контроля за движением государственных средств, включая федеральные и региональные субсидии предприятиям промышленности и сельского хозяйства.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5.7. Проведены мониторинги: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правил предоставления и распределения межбюджетных трансфертов, предоставляемых в форме субсидий и иных межбюджетных трансфертов, имеющих целевое назначение, на условиях софинансирования из федерального бюджета, в части условий софинансирования расходных обязательств субъектов Российской Федерации по различным направлениям межбюджетных трансфертов.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проведен анализ НПА Правительства Российской Федерации, утверждающих правила предоставления </w:t>
      </w:r>
      <w:r>
        <w:rPr>
          <w:rFonts w:ascii="Times New Roman" w:hAnsi="Times New Roman"/>
          <w:color w:val="000000" w:themeColor="text1"/>
          <w:sz w:val="28"/>
          <w:szCs w:val="28"/>
        </w:rPr>
        <w:br/>
        <w:t xml:space="preserve">из федерального бюджета бюджетам субъектов Российской Федерации </w:t>
      </w:r>
      <w:r>
        <w:rPr>
          <w:rFonts w:ascii="Times New Roman" w:hAnsi="Times New Roman"/>
          <w:color w:val="000000" w:themeColor="text1"/>
          <w:sz w:val="28"/>
          <w:szCs w:val="28"/>
        </w:rPr>
        <w:br/>
        <w:t xml:space="preserve">на поддержку отраслей промышленности и сельского хозяйства </w:t>
      </w:r>
      <w:r>
        <w:rPr>
          <w:rFonts w:ascii="Times New Roman" w:hAnsi="Times New Roman"/>
          <w:color w:val="000000" w:themeColor="text1"/>
          <w:sz w:val="28"/>
          <w:szCs w:val="28"/>
        </w:rPr>
        <w:br/>
        <w:t>55 субсидий, из которых:</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софинансирования не установлен по 22 субсидиям;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софинансирования установлен в процентах по 6 субсидиям;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расчет размера уровня софинансирования осуществляется </w:t>
      </w:r>
      <w:r>
        <w:rPr>
          <w:rFonts w:ascii="Times New Roman" w:hAnsi="Times New Roman"/>
          <w:color w:val="000000" w:themeColor="text1"/>
          <w:sz w:val="28"/>
          <w:szCs w:val="28"/>
        </w:rPr>
        <w:br/>
        <w:t xml:space="preserve">по формуле, исходя из уровня расчетной бюджетной обеспеченности субъекта Российской Федерации и коэффициента софинансирования, – </w:t>
      </w:r>
      <w:r>
        <w:rPr>
          <w:rFonts w:ascii="Times New Roman" w:hAnsi="Times New Roman"/>
          <w:color w:val="000000" w:themeColor="text1"/>
          <w:sz w:val="28"/>
          <w:szCs w:val="28"/>
        </w:rPr>
        <w:br/>
        <w:t>24 субсидии;</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софинансирование не предусмотрено по 1 субсидии;</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установлены нижний и верхний пределы уровня софинансирования </w:t>
      </w:r>
      <w:r>
        <w:rPr>
          <w:rFonts w:ascii="Times New Roman" w:hAnsi="Times New Roman"/>
          <w:color w:val="000000" w:themeColor="text1"/>
          <w:sz w:val="28"/>
          <w:szCs w:val="28"/>
        </w:rPr>
        <w:br/>
        <w:t>по 2 субсидиям;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правил предоставления из федерального бюджета бюджетам субъектов Российской Федерации межбюджетных трансфертов, бюджетные ассигнования по которым в соответствии с Федеральным законом № 359-ФЗ утверждены Минсельхозу России, Минпромторгу России и Федеральному агентству по рыболовству, с целью определения формы предоставления получателям целевых субсидий средств, источником финансового обеспечения которых являются указанные межбюджетные трансферты.</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результатам указанного мониторинга из 55 проанализированных НПА Правительства Российской Федерации предоставление целевых субсидий юридическим лицам – сельхоз- и товаропроизводителям осуществляется:</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виде грантов – по 3 межбюджетным трансфертам;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виде авансовых платежей – по 8 межбюджетным трансфертам;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порядке возмещения части затрат сельхоз- и товаропроизводителей – по 44 межбюджетным трансфертам.</w:t>
      </w:r>
    </w:p>
    <w:p>
      <w:pPr>
        <w:tabs>
          <w:tab w:val="left" w:pos="0"/>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этом в НПА субъектов Российской Федерации о предоставлении межбюджетных трансфертов местным бюджетам отсутствует единый порядок определения уровня софинансирования из бюджетов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информации о количестве лицевых счетов НУБП, открытых юридическим лицам – получателям целевых субсидий в ТОФК, </w:t>
      </w:r>
      <w:r>
        <w:rPr>
          <w:rFonts w:ascii="Times New Roman" w:hAnsi="Times New Roman"/>
          <w:color w:val="000000" w:themeColor="text1"/>
          <w:sz w:val="28"/>
          <w:szCs w:val="28"/>
        </w:rPr>
        <w:br/>
        <w:t>и осуществления операций на указанных лицевых счетах.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состоянию на 13 декабря 2016 года юридическим лицам – получателям целевых субсидий в ТОФК открыто 18 лицевых счетов НУБП,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11 лицевых счетов юридическим лицам – получателям целевых субсидий, предоставленных бюджету субъекта Российской Федерации Минсельхозом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7 лицевых счетов юридическим лицам – получателям целевых субсидий, предоставленных бюджету субъекта Российской Федерации Минэкономразвития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исполнения ТОФК отдельных функций финансовых органов субъектов Российской Федерации в части учета бюджетных обязательств </w:t>
      </w:r>
      <w:r>
        <w:rPr>
          <w:rFonts w:ascii="Times New Roman" w:hAnsi="Times New Roman"/>
          <w:color w:val="000000" w:themeColor="text1"/>
          <w:sz w:val="28"/>
          <w:szCs w:val="28"/>
        </w:rPr>
        <w:br/>
        <w:t xml:space="preserve">и санкционирования оплаты денежных обязательств получателей средств бюджета субъекта Российской Федерации в целях разработки единого подхода к учету операций, связанных с учетом бюджетных обязательств </w:t>
      </w:r>
      <w:r>
        <w:rPr>
          <w:rFonts w:ascii="Times New Roman" w:hAnsi="Times New Roman"/>
          <w:color w:val="000000" w:themeColor="text1"/>
          <w:sz w:val="28"/>
          <w:szCs w:val="28"/>
        </w:rPr>
        <w:br/>
        <w:t xml:space="preserve">и санкционированием расходов бюджета субъекта Российской Федерации, </w:t>
      </w:r>
      <w:r>
        <w:rPr>
          <w:rFonts w:ascii="Times New Roman" w:hAnsi="Times New Roman"/>
          <w:color w:val="000000" w:themeColor="text1"/>
          <w:sz w:val="28"/>
          <w:szCs w:val="28"/>
        </w:rPr>
        <w:lastRenderedPageBreak/>
        <w:t>источником финансового обеспечения которых являются межбюджетные трансферты.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на момент проведения мониторинга отдельные функции финансового органа субъекта Российской Федерации в соответствии</w:t>
      </w:r>
      <w:r>
        <w:rPr>
          <w:rFonts w:ascii="Times New Roman" w:hAnsi="Times New Roman"/>
          <w:color w:val="000000" w:themeColor="text1"/>
          <w:sz w:val="28"/>
          <w:szCs w:val="28"/>
        </w:rPr>
        <w:br/>
        <w:t xml:space="preserve">с Соглашением об осуществлении территориальными органами Федерального казначейства отдельных функций по исполнению бюджетов субъектов Российской Федерации при кассовом обслуживании </w:t>
      </w:r>
      <w:r>
        <w:rPr>
          <w:rFonts w:ascii="Times New Roman" w:hAnsi="Times New Roman"/>
          <w:color w:val="000000" w:themeColor="text1"/>
          <w:sz w:val="28"/>
          <w:szCs w:val="28"/>
        </w:rPr>
        <w:br/>
        <w:t>ими исполнения бюджетов, заключенными между ТОФК и высшими исполнительными органами государственной власти субъектов Российской Федерации, осуществляло 66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Из них ТОФК переданы полномочия в части учета операций</w:t>
      </w:r>
      <w:r>
        <w:rPr>
          <w:rFonts w:ascii="Times New Roman" w:hAnsi="Times New Roman"/>
          <w:color w:val="000000" w:themeColor="text1"/>
          <w:sz w:val="28"/>
          <w:szCs w:val="28"/>
        </w:rPr>
        <w:br/>
        <w:t>с межбюджетными трансфертами, предоставленными из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39 регионах − только по санкционированию;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17 регионах − по учету бюджетных обязательств</w:t>
      </w:r>
      <w:r>
        <w:rPr>
          <w:rFonts w:ascii="Times New Roman" w:hAnsi="Times New Roman"/>
          <w:color w:val="000000" w:themeColor="text1"/>
          <w:sz w:val="28"/>
          <w:szCs w:val="28"/>
        </w:rPr>
        <w:br/>
        <w:t>и санкционированию;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1 регионе − только по учету бюджетных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9 регионах полномочия по учету бюджетных обязательств</w:t>
      </w:r>
      <w:r>
        <w:rPr>
          <w:rFonts w:ascii="Times New Roman" w:hAnsi="Times New Roman"/>
          <w:color w:val="000000" w:themeColor="text1"/>
          <w:sz w:val="28"/>
          <w:szCs w:val="28"/>
        </w:rPr>
        <w:br/>
        <w:t>и санкционированию ТОФК не переданы;</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5</w:t>
      </w:r>
    </w:p>
    <w:p>
      <w:pPr>
        <w:spacing w:after="0" w:line="240" w:lineRule="auto"/>
        <w:jc w:val="center"/>
        <w:rPr>
          <w:rFonts w:ascii="Times New Roman" w:hAnsi="Times New Roman"/>
          <w:bCs/>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335325" cy="3458818"/>
            <wp:effectExtent l="0" t="0" r="0" b="8890"/>
            <wp:docPr id="94" name="Диаграмма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соответствия положений НПА субъектов Российской Федерации </w:t>
      </w:r>
      <w:r>
        <w:rPr>
          <w:rFonts w:ascii="Times New Roman" w:hAnsi="Times New Roman"/>
          <w:color w:val="000000" w:themeColor="text1"/>
          <w:sz w:val="28"/>
          <w:szCs w:val="28"/>
        </w:rPr>
        <w:br/>
        <w:t xml:space="preserve">о порядке учета бюджетных обязательств и о порядке санкционирования </w:t>
      </w:r>
      <w:r>
        <w:rPr>
          <w:rFonts w:ascii="Times New Roman" w:hAnsi="Times New Roman"/>
          <w:color w:val="000000" w:themeColor="text1"/>
          <w:sz w:val="28"/>
          <w:szCs w:val="28"/>
        </w:rPr>
        <w:lastRenderedPageBreak/>
        <w:t>денежных обязательств получателей средств бюджета субъекта Российской Федерации положениям приказов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от 19 сентября 2008 г. № 98н «О порядке учета бюджетных обязательств получателей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Приказа № 221н;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1 сентября 2008 г. № 87н «О порядке санкционирования оплаты денежных обязательств получателей средств федерального бюджета </w:t>
      </w:r>
      <w:r>
        <w:rPr>
          <w:rFonts w:ascii="Times New Roman" w:hAnsi="Times New Roman"/>
          <w:color w:val="000000" w:themeColor="text1"/>
          <w:sz w:val="28"/>
          <w:szCs w:val="28"/>
        </w:rPr>
        <w:br/>
        <w:t>и администраторов источников финансирования дефицита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ТОФК предоставлены копии 120 НПА субъектов Российской Федерации, из которых: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38 – о порядке учета бюджетных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69 – о порядке санкционирования;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13 – предусматривают положения и о порядке учета бюджетных обязательств и порядке санкционирования.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этом из 85 регионах положения НПА: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части порядка учета бюджетных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23 регионах – аналогичны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3 регионах − отдельные положения аналогичны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23 регионах − значительно отличаются от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2 регионах НПА предусмотрен учет бюджетных обязательств </w:t>
      </w:r>
      <w:r>
        <w:rPr>
          <w:rFonts w:ascii="Times New Roman" w:hAnsi="Times New Roman"/>
          <w:color w:val="000000" w:themeColor="text1"/>
          <w:sz w:val="28"/>
          <w:szCs w:val="28"/>
        </w:rPr>
        <w:br/>
        <w:t>в соответствии с требованиями инструкции по бюджетному учету.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этом в 4 регионах при отсутствии НПА учет бюджетных обязательств осуществляется ТОФК в соответствии с Соглашением </w:t>
      </w:r>
      <w:r>
        <w:rPr>
          <w:rFonts w:ascii="Times New Roman" w:hAnsi="Times New Roman"/>
          <w:color w:val="000000" w:themeColor="text1"/>
          <w:sz w:val="28"/>
          <w:szCs w:val="28"/>
        </w:rPr>
        <w:br/>
        <w:t>об осуществлении территориальными органами Федерального казначейства отдельных функций по исполнению бюджетов субъектов Российской Федерации при кассовом обслуживании ими исполнения бюджетов, заключенными между ТОФК и высшими исполнительными органами государственной власти субъектов Российской Федерации, в порядке, аналогичном порядку, установленному для получателей средств федерального бюджета.</w:t>
      </w:r>
    </w:p>
    <w:p>
      <w:pPr>
        <w:tabs>
          <w:tab w:val="left" w:pos="0"/>
        </w:tabs>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30 регионах НПА о порядке учета бюджетных обязательств отсутствуют;</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6</w:t>
      </w:r>
    </w:p>
    <w:p>
      <w:pPr>
        <w:tabs>
          <w:tab w:val="left" w:pos="8647"/>
        </w:tabs>
        <w:spacing w:after="0" w:line="360" w:lineRule="atLeast"/>
        <w:ind w:firstLine="709"/>
        <w:jc w:val="both"/>
        <w:rPr>
          <w:rFonts w:ascii="Times New Roman" w:hAnsi="Times New Roman"/>
          <w:bCs/>
          <w:color w:val="000000" w:themeColor="text1"/>
          <w:sz w:val="28"/>
          <w:szCs w:val="28"/>
        </w:rPr>
      </w:pPr>
      <w:r>
        <w:rPr>
          <w:rFonts w:ascii="Times New Roman" w:hAnsi="Times New Roman"/>
          <w:noProof/>
          <w:color w:val="000000" w:themeColor="text1"/>
          <w:sz w:val="28"/>
          <w:szCs w:val="28"/>
          <w:shd w:val="clear" w:color="auto" w:fill="C2D69B"/>
          <w:lang w:eastAsia="ru-RU"/>
        </w:rPr>
        <w:drawing>
          <wp:inline distT="0" distB="0" distL="0" distR="0">
            <wp:extent cx="5510254" cy="4683319"/>
            <wp:effectExtent l="0" t="0" r="0" b="3175"/>
            <wp:docPr id="93" name="Диаграмма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ascii="Times New Roman" w:hAnsi="Times New Roman"/>
          <w:color w:val="000000" w:themeColor="text1"/>
          <w:sz w:val="28"/>
          <w:szCs w:val="28"/>
        </w:rPr>
        <w:t>в части порядка санкционирования оплаты денежных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69 регионах – аналогичны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3 регионах – отдельные положения аналогичны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10 регионах − значительно отличаются от НПА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этом в 3 регионах при отсутствии НПА о порядке санкционирования санкционирование осуществляется ТОФК в соответствии с Соглашением об осуществлении территориальными органами Федерального казначейства отдельных функций по исполнению бюджетов субъектов Российской Федерации при кассовом обслуживании ими исполнения бюджетов, заключенными между ТОФК и высшими исполнительными органами государственной власти субъектов Российской Федерации, в порядке, аналогичном порядку, установленному </w:t>
      </w:r>
      <w:r>
        <w:rPr>
          <w:rFonts w:ascii="Times New Roman" w:hAnsi="Times New Roman"/>
          <w:color w:val="000000" w:themeColor="text1"/>
          <w:sz w:val="28"/>
          <w:szCs w:val="28"/>
        </w:rPr>
        <w:br/>
        <w:t>для получателей средств федерального бюджета.</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7</w:t>
      </w:r>
    </w:p>
    <w:p>
      <w:pPr>
        <w:spacing w:line="360" w:lineRule="atLeast"/>
        <w:jc w:val="center"/>
        <w:rPr>
          <w:rFonts w:ascii="Times New Roman" w:hAnsi="Times New Roman"/>
          <w:bCs/>
          <w:color w:val="000000" w:themeColor="text1"/>
          <w:sz w:val="28"/>
          <w:szCs w:val="28"/>
        </w:rPr>
      </w:pPr>
      <w:r>
        <w:rPr>
          <w:rFonts w:ascii="Times New Roman" w:hAnsi="Times New Roman"/>
          <w:noProof/>
          <w:color w:val="000000" w:themeColor="text1"/>
          <w:sz w:val="28"/>
          <w:szCs w:val="28"/>
          <w:shd w:val="clear" w:color="auto" w:fill="C2D69B"/>
          <w:lang w:eastAsia="ru-RU"/>
        </w:rPr>
        <w:drawing>
          <wp:inline distT="0" distB="0" distL="0" distR="0">
            <wp:extent cx="5271715" cy="4619708"/>
            <wp:effectExtent l="0" t="0" r="5715" b="0"/>
            <wp:docPr id="92" name="Диаграмма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Основные отличия положений отдельных НПА субъектов Российской Федерации от НПА Минфина России:</w:t>
      </w:r>
    </w:p>
    <w:p>
      <w:pPr>
        <w:tabs>
          <w:tab w:val="left" w:pos="720"/>
        </w:tabs>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в части учета бюджетных обязательств:</w:t>
      </w:r>
    </w:p>
    <w:p>
      <w:pPr>
        <w:tabs>
          <w:tab w:val="left" w:pos="720"/>
        </w:tabs>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 при постановке на учет бюджетных обязательств не осуществляется проверка соответствия информации, необходимой для постановки на учет бюджетных обязательств, сведениям о контракте (договоре) на поставку товаров, выполнение работ, оказание услуг, подлежащих включению </w:t>
      </w:r>
      <w:r>
        <w:rPr>
          <w:rFonts w:ascii="Times New Roman" w:hAnsi="Times New Roman"/>
          <w:color w:val="000000" w:themeColor="text1"/>
          <w:sz w:val="28"/>
          <w:szCs w:val="28"/>
        </w:rPr>
        <w:br/>
        <w:t xml:space="preserve">в реестр контрактов, информация о которых подлежит размещению </w:t>
      </w:r>
      <w:r>
        <w:rPr>
          <w:rFonts w:ascii="Times New Roman" w:hAnsi="Times New Roman"/>
          <w:color w:val="000000" w:themeColor="text1"/>
          <w:sz w:val="28"/>
          <w:szCs w:val="28"/>
        </w:rPr>
        <w:br/>
        <w:t>в ЕИС;</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учет бюджетных обязательств осуществляется финансовым органом на основании сведений, представляемых главными распорядителями средств региональных бюджетов по подведомственным им получателям бюджетных средств;</w:t>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учет бюджетных обязательств осуществляется главными распорядителями средств регионального бюджета по подведомственным ему получателям бюджетных средств;</w:t>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части санкционирования:</w:t>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санкционирование осуществляется главными распорядителями средств регионального бюджета, которые направляют для оплаты платежные (расчетные) документы получателей средств бюджета субъекта Российской Федерации финансовому органу;</w:t>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санкционирование предусматривает контроль соответствия кассовых выплат расходам, предусмотренным бюджетной сметой;</w:t>
      </w:r>
    </w:p>
    <w:p>
      <w:pPr>
        <w:tabs>
          <w:tab w:val="left"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санкционирование осуществляется финансовым органом, </w:t>
      </w:r>
      <w:r>
        <w:rPr>
          <w:rFonts w:ascii="Times New Roman" w:hAnsi="Times New Roman"/>
          <w:color w:val="000000" w:themeColor="text1"/>
          <w:sz w:val="28"/>
          <w:szCs w:val="28"/>
        </w:rPr>
        <w:br/>
        <w:t xml:space="preserve">в том числе при наличном способе оплаты денежных обязательств, </w:t>
      </w:r>
      <w:r>
        <w:rPr>
          <w:rFonts w:ascii="Times New Roman" w:hAnsi="Times New Roman"/>
          <w:color w:val="000000" w:themeColor="text1"/>
          <w:sz w:val="28"/>
          <w:szCs w:val="28"/>
        </w:rPr>
        <w:br/>
        <w:t>при предоставлении получателями бюджетных средств полного пакета документов, подтверждающих возникновение денежных обязательств (положение об оплате труда, расчетно-платежные ведомости на выплату заработной платы, справка расчет на командировочные расходы, ведомости на выплату стипендии учащимся и т.д.).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6. В период с 13 по 14 декабря 2016 года проведено Всероссийское совещание с использованием аудио-видеоконференцсвязи по теме: «Задачи территориальных органов Федерального казначейства по реализации </w:t>
      </w:r>
      <w:r>
        <w:rPr>
          <w:rFonts w:ascii="Times New Roman" w:hAnsi="Times New Roman"/>
          <w:color w:val="000000" w:themeColor="text1"/>
          <w:sz w:val="28"/>
          <w:szCs w:val="28"/>
        </w:rPr>
        <w:br/>
        <w:t xml:space="preserve">в 2017 году мероприятий по казначейскому сопровождению государственных контрактов, договоров (соглашений), учету </w:t>
      </w:r>
      <w:r>
        <w:rPr>
          <w:rFonts w:ascii="Times New Roman" w:hAnsi="Times New Roman"/>
          <w:color w:val="000000" w:themeColor="text1"/>
          <w:sz w:val="28"/>
          <w:szCs w:val="28"/>
        </w:rPr>
        <w:br/>
        <w:t>и распределению Федеральным казначейством поступлений в бюджетную систему, кассовому обслуживанию исполнения бюджетов бюджетной системы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7. Для обеспечения интеграции Реестра УБП и НУБП в процесс кассового обслуживания исполнения бюджетов бюджетной системы Российской Федерации Федеральным казначейством: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целях выявления причин методологического характера, препятствующих включению УБП субъекта Российской Федерации (муниципального образования) в Реестр УБП и НУБП, проведен мониторинг соответствия отдельных полномочий финансовых органов, УБП, организаций субъектов Российской Федерации (местных бюджетов) законодательным актам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целях определения единого подхода по урегулированию проблем, выявленных по результатам проведенного мониторинга, Федеральным казначейством направлены в Минфин России предложения в проект письма в адрес финансовых органов. Предложения учтены Минфином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разработана «дорожная карта» по поэтапному внедрению Реестра УБП и НУБП в части осуществления ТОФК кассового обслуживания исполнения бюджетов субъектов Российской Федерации (муниципальных образований), территориальных государственных внебюджетных фондов;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подготовлены и направлены предложения в Минфин России </w:t>
      </w:r>
      <w:r>
        <w:rPr>
          <w:rFonts w:ascii="Times New Roman" w:hAnsi="Times New Roman"/>
          <w:color w:val="000000" w:themeColor="text1"/>
          <w:sz w:val="28"/>
          <w:szCs w:val="28"/>
        </w:rPr>
        <w:br/>
        <w:t>по вопросу включения в Реестр УБП и НУБП городских (сельских) поселений, являющихся административными центрами муниципального района, местная администрация которых в случаях, предусмотренных законодательством Российской Федерации, не образуется. Предложения учтены Минфином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до ТОФК доведены порядок и условия интеграции Реестра УБП </w:t>
      </w:r>
      <w:r>
        <w:rPr>
          <w:rFonts w:ascii="Times New Roman" w:hAnsi="Times New Roman"/>
          <w:color w:val="000000" w:themeColor="text1"/>
          <w:sz w:val="28"/>
          <w:szCs w:val="28"/>
        </w:rPr>
        <w:br/>
        <w:t>и НУБП в процесс кассового обслуживания исполнения бюджетов бюджетной системы Российской Федерации.</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8. В целях исполнения ТОФК с 1 января 2017 года функций </w:t>
      </w:r>
      <w:r>
        <w:rPr>
          <w:rFonts w:ascii="Times New Roman" w:hAnsi="Times New Roman"/>
          <w:color w:val="000000" w:themeColor="text1"/>
          <w:sz w:val="28"/>
          <w:szCs w:val="28"/>
        </w:rPr>
        <w:br/>
        <w:t xml:space="preserve">по контролю в соответствии с частью 5 статьи 99 Федерального закона </w:t>
      </w:r>
      <w:r>
        <w:rPr>
          <w:rFonts w:ascii="Times New Roman" w:hAnsi="Times New Roman"/>
          <w:color w:val="000000" w:themeColor="text1"/>
          <w:sz w:val="28"/>
          <w:szCs w:val="28"/>
        </w:rPr>
        <w:br/>
        <w:t>№ 44-ФЗ в случае передачи им финансовыми органами субъектов Российской Федерации (муниципальных образований) полномочий</w:t>
      </w:r>
      <w:r>
        <w:rPr>
          <w:rFonts w:ascii="Times New Roman" w:hAnsi="Times New Roman"/>
          <w:color w:val="000000" w:themeColor="text1"/>
          <w:sz w:val="28"/>
          <w:szCs w:val="28"/>
        </w:rPr>
        <w:br/>
        <w:t>по контролю была проделана следующая работа.</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Разработаны:</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«дорожная карта» по организации осуществления ТОФК контроля </w:t>
      </w:r>
      <w:r>
        <w:rPr>
          <w:rFonts w:ascii="Times New Roman" w:hAnsi="Times New Roman"/>
          <w:color w:val="000000" w:themeColor="text1"/>
          <w:sz w:val="28"/>
          <w:szCs w:val="28"/>
        </w:rPr>
        <w:br/>
        <w:t>в сфере закупок в случае передачи им финансовыми органами субъектов Российской Федерации (муниципальных образований) полномочий</w:t>
      </w:r>
      <w:r>
        <w:rPr>
          <w:rFonts w:ascii="Times New Roman" w:hAnsi="Times New Roman"/>
          <w:color w:val="000000" w:themeColor="text1"/>
          <w:sz w:val="28"/>
          <w:szCs w:val="28"/>
        </w:rPr>
        <w:br/>
        <w:t>по контролю;</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примерное соглашение о передаче полномочия финансового органа субъекта Российской Федерации (муниципального образования) </w:t>
      </w:r>
      <w:r>
        <w:rPr>
          <w:rFonts w:ascii="Times New Roman" w:hAnsi="Times New Roman"/>
          <w:color w:val="000000" w:themeColor="text1"/>
          <w:sz w:val="28"/>
          <w:szCs w:val="28"/>
        </w:rPr>
        <w:br/>
        <w:t>на осуществление контроля, предусмотренного частью 5 статьи 99 Федерального закона № 44-ФЗ, ТОФК;</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примерное соглашение о передаче полномочия органа управления государственного внебюджетного фонда на осуществление контроля, предусмотренного частью 5 статьи 99 Федерального закона № 44-ФЗ, ТОФК;</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методические рекомендации по организации осуществления ТОФК контроля в сфере закупок в случае передачи им финансовыми органами субъектов Российской Федерации (муниципальных образований), органами управления государственными внебюджетными фондами полномочий </w:t>
      </w:r>
      <w:r>
        <w:rPr>
          <w:rFonts w:ascii="Times New Roman" w:hAnsi="Times New Roman"/>
          <w:color w:val="000000" w:themeColor="text1"/>
          <w:sz w:val="28"/>
          <w:szCs w:val="28"/>
        </w:rPr>
        <w:br/>
        <w:t>по контролю;</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примерный регламент информационного взаимодействия между ТОФК и субъектами контроля при осуществлении полномочий по контролю в сфере закупок.</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Проводились мониторинги обращений финансовых органов субъектов Российской Федерации (муниципальных образований) (наличия заключенных соглашений с финансовыми органами субъектов Российской Федерации (муниципальных образований) о передаче полномочий ТОФК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по осуществлению контроля в сфере закупок.</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состоянию на 1 января 2017 года соглашения с ТОФК о передаче полномочий по контролю в сфере закупок заключили:</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− 19 субъектов Российской Федерации;</w:t>
      </w:r>
    </w:p>
    <w:p>
      <w:pPr>
        <w:widowControl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− 4 319 муниципальных образований в 45 субъектах Российской Федерации.</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8</w:t>
      </w:r>
    </w:p>
    <w:p>
      <w:pPr>
        <w:pStyle w:val="aff0"/>
        <w:spacing w:before="120" w:after="12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Мониторинг обращений финансовых органов субъектов Российской Федерации и наличия заключенных соглашений с финансовыми органами субъектов Российской Федерации о передаче полномочий ТОФК по осуществлению контроля в сфере закупок</w:t>
      </w:r>
    </w:p>
    <w:p>
      <w:pPr>
        <w:spacing w:line="36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390984" cy="2767054"/>
            <wp:effectExtent l="0" t="0" r="635" b="0"/>
            <wp:docPr id="91" name="Диаграмма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9</w:t>
      </w:r>
    </w:p>
    <w:p>
      <w:pPr>
        <w:pStyle w:val="aff0"/>
        <w:spacing w:before="120" w:after="12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Мониторинг обращений финансовых органов муниципальных образований и наличия заключенных соглашений с финансовыми органами муниципальных образований о передаче полномочий ТОФК по осуществлению контроля в сфере закупок</w:t>
      </w:r>
    </w:p>
    <w:p>
      <w:pPr>
        <w:spacing w:line="360" w:lineRule="atLeast"/>
        <w:ind w:firstLine="142"/>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929808" cy="2210462"/>
            <wp:effectExtent l="0" t="0" r="4445" b="0"/>
            <wp:docPr id="90" name="Диаграмма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9. Федеральным казначейством в соответствии с приказом Федерального казначейства от 22 декабря 2011 г. № 616 «О предоставлении информации о результатах осуществления территориальными органами Федерального казначейства кассового обслуживания исполнения бюджетов субъектов Российской Федерации (местных бюджетов), а также </w:t>
      </w:r>
      <w:r>
        <w:rPr>
          <w:rFonts w:ascii="Times New Roman" w:hAnsi="Times New Roman"/>
          <w:color w:val="000000" w:themeColor="text1"/>
          <w:sz w:val="28"/>
          <w:szCs w:val="28"/>
        </w:rPr>
        <w:br/>
        <w:t>о количестве лицевых счетов, открытых автономным и бюджетным учреждениям бюджетов субъектов Российской Федерации (местных бюджетов) в территориальных органах Федерального казначейства» проведен ряд мониторингов в части вопросов кассового обслуживания исполнения бюджетов субъектов Российской Федерации (местных бюджетов).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9.1. В рамках осуществления приведения соглашений и регламентов </w:t>
      </w:r>
      <w:r>
        <w:rPr>
          <w:rFonts w:ascii="Times New Roman" w:hAnsi="Times New Roman"/>
          <w:color w:val="000000" w:themeColor="text1"/>
          <w:sz w:val="28"/>
          <w:szCs w:val="28"/>
        </w:rPr>
        <w:br/>
        <w:t>в соответствие с бюджетным законодательством Российской Федерации выполнена следующая работа.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результатам проведенного Федеральным казначейством мониторинга установлено, что отдельными субъектами Российской Федерации нарушается бюджетное законодательство Российской Федерации.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соответствии с Бюджетным кодексом составление и организацию исполнения местных бюджетов осуществляют органы (должностные лица) местных администраций муниципальных образований.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Бюджетным кодексом не предусмотрена возможность исполнения отдельных бюджетных полномочий финансовых органов муниципальных образований финансовыми органами субъектов Российской Федерации, равно как и передача отдельных бюджетных полномочий субъекта Российской Федерации (муниципального образования) уполномоченному органу субъекта Российской Федерации (муниципального образования).</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color w:val="000000" w:themeColor="text1"/>
          <w:sz w:val="28"/>
          <w:szCs w:val="28"/>
        </w:rPr>
        <w:t>При этом в настоящее время в Тюменской области закончены мероприятия, направленные на устранение нарушения бюджетного законодательства Российской Федерации в части передачи бюджетных полномочий</w:t>
      </w:r>
      <w:r>
        <w:rPr>
          <w:rFonts w:ascii="Times New Roman" w:hAnsi="Times New Roman"/>
          <w:bCs/>
          <w:color w:val="000000" w:themeColor="text1"/>
          <w:sz w:val="28"/>
          <w:szCs w:val="28"/>
        </w:rPr>
        <w:t>.</w:t>
      </w:r>
    </w:p>
    <w:p>
      <w:pPr>
        <w:pStyle w:val="ConsPlusNormal"/>
        <w:spacing w:line="360" w:lineRule="atLeast"/>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Вместе с тем в Чеченской Республике в нарушение положений Бюджетного кодекса </w:t>
      </w:r>
      <w:r>
        <w:rPr>
          <w:rFonts w:ascii="Times New Roman" w:eastAsia="Calibri" w:hAnsi="Times New Roman" w:cs="Times New Roman"/>
          <w:color w:val="000000" w:themeColor="text1"/>
          <w:sz w:val="28"/>
          <w:szCs w:val="28"/>
          <w:lang w:eastAsia="en-US"/>
        </w:rPr>
        <w:t>составление и организацию исполнения местных бюджетов осуществляют районные финансовые управления, подведомственные Министерству финансов Чеченской Республики.</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color w:val="000000" w:themeColor="text1"/>
          <w:sz w:val="28"/>
          <w:szCs w:val="28"/>
        </w:rPr>
        <w:t xml:space="preserve">9.2. В рамках осуществления </w:t>
      </w:r>
      <w:r>
        <w:rPr>
          <w:rFonts w:ascii="Times New Roman" w:hAnsi="Times New Roman"/>
          <w:bCs/>
          <w:color w:val="000000" w:themeColor="text1"/>
          <w:sz w:val="28"/>
          <w:szCs w:val="28"/>
        </w:rPr>
        <w:t>мониторинга кассового обслуживания исполнения бюджета субъекта Российской Федерации,</w:t>
      </w:r>
      <w:r>
        <w:rPr>
          <w:rFonts w:ascii="Times New Roman" w:hAnsi="Times New Roman"/>
          <w:color w:val="000000" w:themeColor="text1"/>
          <w:sz w:val="28"/>
          <w:szCs w:val="28"/>
        </w:rPr>
        <w:t xml:space="preserve"> </w:t>
      </w:r>
      <w:r>
        <w:rPr>
          <w:rFonts w:ascii="Times New Roman" w:hAnsi="Times New Roman"/>
          <w:bCs/>
          <w:color w:val="000000" w:themeColor="text1"/>
          <w:sz w:val="28"/>
          <w:szCs w:val="28"/>
        </w:rPr>
        <w:t>ГВФ РФ</w:t>
      </w:r>
      <w:r>
        <w:rPr>
          <w:rFonts w:ascii="Times New Roman" w:hAnsi="Times New Roman"/>
          <w:color w:val="000000" w:themeColor="text1"/>
          <w:sz w:val="28"/>
          <w:szCs w:val="28"/>
        </w:rPr>
        <w:t>, т</w:t>
      </w:r>
      <w:r>
        <w:rPr>
          <w:rFonts w:ascii="Times New Roman" w:hAnsi="Times New Roman"/>
          <w:bCs/>
          <w:color w:val="000000" w:themeColor="text1"/>
          <w:sz w:val="28"/>
          <w:szCs w:val="28"/>
        </w:rPr>
        <w:t xml:space="preserve">ерриториальных государственных внебюджетных фондов, </w:t>
      </w:r>
      <w:r>
        <w:rPr>
          <w:rFonts w:ascii="Times New Roman" w:hAnsi="Times New Roman"/>
          <w:color w:val="000000" w:themeColor="text1"/>
          <w:sz w:val="28"/>
          <w:szCs w:val="28"/>
        </w:rPr>
        <w:t xml:space="preserve">а открытия </w:t>
      </w:r>
      <w:r>
        <w:rPr>
          <w:rFonts w:ascii="Times New Roman" w:hAnsi="Times New Roman"/>
          <w:color w:val="000000" w:themeColor="text1"/>
          <w:sz w:val="28"/>
          <w:szCs w:val="28"/>
        </w:rPr>
        <w:lastRenderedPageBreak/>
        <w:t>также лицевых счетов автономным и бюджетным учреждениям бюджетов субъектов Российской Федерации (местных бюджетов) проведена следующая работа.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результатам мониторинга количество субъектов Российской Федерации, высшим исполнительным органом государственной власти которых выбран порядок кассового обслуживания исполнения бюджета субъекта Российской Федерации:</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с открытием лицевого счета бюджета финансовому органу – </w:t>
      </w:r>
      <w:r>
        <w:rPr>
          <w:rFonts w:ascii="Times New Roman" w:hAnsi="Times New Roman"/>
          <w:bCs/>
          <w:color w:val="000000" w:themeColor="text1"/>
          <w:sz w:val="28"/>
          <w:szCs w:val="28"/>
        </w:rPr>
        <w:br/>
        <w:t>18 субъектов Российской Федерации;</w:t>
      </w:r>
    </w:p>
    <w:p>
      <w:pPr>
        <w:pStyle w:val="ConsPlusNormal"/>
        <w:spacing w:line="360" w:lineRule="atLeast"/>
        <w:ind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 с открытием лицевых счетов в соответствии с соглашением </w:t>
      </w:r>
      <w:r>
        <w:rPr>
          <w:rFonts w:ascii="Times New Roman" w:hAnsi="Times New Roman" w:cs="Times New Roman"/>
          <w:bCs/>
          <w:color w:val="000000" w:themeColor="text1"/>
          <w:sz w:val="28"/>
          <w:szCs w:val="28"/>
        </w:rPr>
        <w:br/>
      </w:r>
      <w:r>
        <w:rPr>
          <w:rFonts w:ascii="Times New Roman" w:hAnsi="Times New Roman" w:cs="Times New Roman"/>
          <w:color w:val="000000" w:themeColor="text1"/>
          <w:sz w:val="28"/>
          <w:szCs w:val="28"/>
        </w:rPr>
        <w:t xml:space="preserve">об осуществлении ТОФК отдельных функций по исполнению бюджета субъекта Российской Федерации (местного бюджета) при кассовом обслуживании им исполнения бюджета, заключенного между ТОФК </w:t>
      </w:r>
      <w:r>
        <w:rPr>
          <w:rFonts w:ascii="Times New Roman" w:hAnsi="Times New Roman" w:cs="Times New Roman"/>
          <w:color w:val="000000" w:themeColor="text1"/>
          <w:sz w:val="28"/>
          <w:szCs w:val="28"/>
        </w:rPr>
        <w:br/>
        <w:t xml:space="preserve">и высшим исполнительным органом государственной власти субъекта Российской Федерации (местной администрацией муниципального образования), </w:t>
      </w:r>
      <w:r>
        <w:rPr>
          <w:rFonts w:ascii="Times New Roman" w:hAnsi="Times New Roman" w:cs="Times New Roman"/>
          <w:bCs/>
          <w:color w:val="000000" w:themeColor="text1"/>
          <w:sz w:val="28"/>
          <w:szCs w:val="28"/>
        </w:rPr>
        <w:t>лицевых счетов УБП уровня субъекта Российской Федерации – 37 субъектов Российской Федерации;</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применяют «смешанный» вариант </w:t>
      </w:r>
      <w:r>
        <w:rPr>
          <w:rFonts w:ascii="Times New Roman" w:hAnsi="Times New Roman"/>
          <w:color w:val="000000" w:themeColor="text1"/>
          <w:sz w:val="28"/>
          <w:szCs w:val="28"/>
        </w:rPr>
        <w:t xml:space="preserve">кассового обслуживания </w:t>
      </w:r>
      <w:r>
        <w:rPr>
          <w:rFonts w:ascii="Times New Roman" w:hAnsi="Times New Roman"/>
          <w:bCs/>
          <w:color w:val="000000" w:themeColor="text1"/>
          <w:sz w:val="28"/>
          <w:szCs w:val="28"/>
        </w:rPr>
        <w:t xml:space="preserve">– </w:t>
      </w:r>
      <w:r>
        <w:rPr>
          <w:rFonts w:ascii="Times New Roman" w:hAnsi="Times New Roman"/>
          <w:bCs/>
          <w:color w:val="000000" w:themeColor="text1"/>
          <w:sz w:val="28"/>
          <w:szCs w:val="28"/>
        </w:rPr>
        <w:br/>
        <w:t>30</w:t>
      </w:r>
      <w:r>
        <w:rPr>
          <w:rFonts w:ascii="Times New Roman" w:hAnsi="Times New Roman"/>
          <w:b/>
          <w:bCs/>
          <w:color w:val="000000" w:themeColor="text1"/>
          <w:sz w:val="28"/>
          <w:szCs w:val="28"/>
        </w:rPr>
        <w:t xml:space="preserve"> </w:t>
      </w:r>
      <w:r>
        <w:rPr>
          <w:rFonts w:ascii="Times New Roman" w:hAnsi="Times New Roman"/>
          <w:bCs/>
          <w:color w:val="000000" w:themeColor="text1"/>
          <w:sz w:val="28"/>
          <w:szCs w:val="28"/>
        </w:rPr>
        <w:t>субъектов Российской Федерации.</w:t>
      </w:r>
    </w:p>
    <w:p>
      <w:pPr>
        <w:spacing w:before="120" w:after="120" w:line="240" w:lineRule="auto"/>
        <w:ind w:firstLine="709"/>
        <w:jc w:val="right"/>
        <w:rPr>
          <w:rFonts w:ascii="Times New Roman" w:hAnsi="Times New Roman"/>
          <w:bCs/>
          <w:color w:val="000000" w:themeColor="text1"/>
          <w:sz w:val="28"/>
          <w:szCs w:val="28"/>
        </w:rPr>
      </w:pPr>
      <w:r>
        <w:rPr>
          <w:rFonts w:ascii="Times New Roman" w:hAnsi="Times New Roman"/>
          <w:bCs/>
          <w:color w:val="000000" w:themeColor="text1"/>
          <w:sz w:val="28"/>
          <w:szCs w:val="28"/>
        </w:rPr>
        <w:t>Диаграмма 10</w:t>
      </w:r>
    </w:p>
    <w:p>
      <w:pPr>
        <w:spacing w:line="360" w:lineRule="atLeast"/>
        <w:ind w:hanging="142"/>
        <w:jc w:val="center"/>
        <w:rPr>
          <w:rFonts w:ascii="Times New Roman" w:hAnsi="Times New Roman"/>
          <w:bCs/>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072932" cy="3180522"/>
            <wp:effectExtent l="0" t="0" r="0" b="1270"/>
            <wp:docPr id="89" name="Диаграмма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 xml:space="preserve">Всего в </w:t>
      </w:r>
      <w:r>
        <w:rPr>
          <w:rFonts w:ascii="Times New Roman" w:hAnsi="Times New Roman"/>
          <w:color w:val="000000" w:themeColor="text1"/>
          <w:sz w:val="28"/>
          <w:szCs w:val="28"/>
        </w:rPr>
        <w:t>ТОФК открыто 25 345 лицевых счетов УБП субъектов Российской Федерации (диаграмма 11),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главных распорядителей (распорядителей) бюджетных средств (01) – 1 664 (6,6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лицевых счетов получателей бюджетных средств (03) – 10 170 </w:t>
      </w:r>
      <w:r>
        <w:rPr>
          <w:rFonts w:ascii="Times New Roman" w:hAnsi="Times New Roman"/>
          <w:color w:val="000000" w:themeColor="text1"/>
          <w:sz w:val="28"/>
          <w:szCs w:val="28"/>
        </w:rPr>
        <w:br/>
        <w:t>(40,1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для учета операций со средствами, поступающими во временное распоряжение получателей бюджетных средств (05), – 5 146 (20,3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главных администраторов источников внутреннего финансирования дефицита бюджета (06) – 14 (0,05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администраторов источников внутреннего финансирования дефицита бюджета (08) – 85 (0,3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лицевых счетов иных получателей бюджетных средств (10) – </w:t>
      </w:r>
      <w:r>
        <w:rPr>
          <w:rFonts w:ascii="Times New Roman" w:hAnsi="Times New Roman"/>
          <w:color w:val="000000" w:themeColor="text1"/>
          <w:sz w:val="28"/>
          <w:szCs w:val="28"/>
        </w:rPr>
        <w:br/>
        <w:t>10 (0,05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для учета операций по переданным полномочиям получателя бюджетных средств (14) – 8 256 (32,6 процента).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11</w:t>
      </w:r>
    </w:p>
    <w:p>
      <w:pPr>
        <w:spacing w:line="36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367131" cy="4651513"/>
            <wp:effectExtent l="0" t="0" r="24130" b="0"/>
            <wp:docPr id="88" name="Диаграмма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по состоянию на 1 января 2017 года в ТОФК </w:t>
      </w:r>
      <w:r>
        <w:rPr>
          <w:rFonts w:ascii="Times New Roman" w:hAnsi="Times New Roman"/>
          <w:color w:val="000000" w:themeColor="text1"/>
          <w:sz w:val="28"/>
          <w:szCs w:val="28"/>
        </w:rPr>
        <w:br/>
        <w:t>(за исключением МОУ ФК) открыто 1 966 лицевых счета по переданным полномочиям получателя средств федерального бюджета.</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lastRenderedPageBreak/>
        <w:t xml:space="preserve">Количество муниципальных образований на территории субъекта Российской Федерации, имеющих самостоятельный бюджет, по состоянию на 1 января 2017 года составило 22 553 единицы, что меньше, чем </w:t>
      </w:r>
      <w:r>
        <w:rPr>
          <w:rFonts w:ascii="Times New Roman" w:hAnsi="Times New Roman"/>
          <w:bCs/>
          <w:color w:val="000000" w:themeColor="text1"/>
          <w:sz w:val="28"/>
          <w:szCs w:val="28"/>
        </w:rPr>
        <w:br/>
        <w:t>на 1 января 2016 года на 260 единиц (на 1,2 процента).</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Снижение количества муниципальных образований обусловлено,</w:t>
      </w:r>
      <w:r>
        <w:rPr>
          <w:rFonts w:ascii="Times New Roman" w:hAnsi="Times New Roman"/>
          <w:bCs/>
          <w:color w:val="000000" w:themeColor="text1"/>
          <w:sz w:val="28"/>
          <w:szCs w:val="28"/>
        </w:rPr>
        <w:br/>
        <w:t>в основном, проведением реорганизационных мероприятий по объединению муниципальных образований.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К</w:t>
      </w:r>
      <w:r>
        <w:rPr>
          <w:rFonts w:ascii="Times New Roman" w:hAnsi="Times New Roman"/>
          <w:color w:val="000000" w:themeColor="text1"/>
          <w:sz w:val="28"/>
          <w:szCs w:val="28"/>
        </w:rPr>
        <w:t>оличество муниципальных образований Российской Федерации, местной администрацией которых выбран порядок кассового обслуживания исполнения бюджета муниципального образования:</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с открытием лицевого счета бюджета финансовому органу – 6 243 (27,7 %) муниципальных образований;</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с открытием лицевых счетов в соответствии с соглашением </w:t>
      </w:r>
      <w:r>
        <w:rPr>
          <w:rFonts w:ascii="Times New Roman" w:hAnsi="Times New Roman" w:cs="Times New Roman"/>
          <w:bCs/>
          <w:color w:val="000000" w:themeColor="text1"/>
          <w:sz w:val="28"/>
          <w:szCs w:val="28"/>
        </w:rPr>
        <w:br/>
        <w:t xml:space="preserve">об осуществлении ТОФК отдельных функций по исполнению бюджета субъекта Российской Федерации (местного бюджета) при кассовом обслуживании им исполнения бюджета, заключенного между ТОФК </w:t>
      </w:r>
      <w:r>
        <w:rPr>
          <w:rFonts w:ascii="Times New Roman" w:hAnsi="Times New Roman" w:cs="Times New Roman"/>
          <w:bCs/>
          <w:color w:val="000000" w:themeColor="text1"/>
          <w:sz w:val="28"/>
          <w:szCs w:val="28"/>
        </w:rPr>
        <w:br/>
        <w:t>и высшим исполнительным органом государственной власти субъекта Российской Федерации (местной администрацией муниципального образования) – 11 429 (50,7 %) муниципальных образований;</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применяют «смешанный» вариант </w:t>
      </w:r>
      <w:r>
        <w:rPr>
          <w:rFonts w:ascii="Times New Roman" w:hAnsi="Times New Roman"/>
          <w:color w:val="000000" w:themeColor="text1"/>
          <w:sz w:val="28"/>
          <w:szCs w:val="28"/>
        </w:rPr>
        <w:t xml:space="preserve">кассового обслуживания </w:t>
      </w:r>
      <w:r>
        <w:rPr>
          <w:rFonts w:ascii="Times New Roman" w:hAnsi="Times New Roman"/>
          <w:bCs/>
          <w:color w:val="000000" w:themeColor="text1"/>
          <w:sz w:val="28"/>
          <w:szCs w:val="28"/>
        </w:rPr>
        <w:t>– 4 881 (21,6 %) муниципальное образование.</w:t>
      </w:r>
    </w:p>
    <w:p>
      <w:pPr>
        <w:spacing w:before="120" w:after="120" w:line="240" w:lineRule="auto"/>
        <w:jc w:val="right"/>
        <w:rPr>
          <w:rFonts w:ascii="Times New Roman" w:hAnsi="Times New Roman"/>
          <w:bCs/>
          <w:color w:val="000000" w:themeColor="text1"/>
          <w:sz w:val="28"/>
          <w:szCs w:val="28"/>
        </w:rPr>
      </w:pPr>
      <w:r>
        <w:rPr>
          <w:rFonts w:ascii="Times New Roman" w:hAnsi="Times New Roman"/>
          <w:bCs/>
          <w:color w:val="000000" w:themeColor="text1"/>
          <w:sz w:val="28"/>
          <w:szCs w:val="28"/>
        </w:rPr>
        <w:t>Диаграмма 12</w:t>
      </w:r>
    </w:p>
    <w:p>
      <w:pPr>
        <w:spacing w:line="360" w:lineRule="atLeast"/>
        <w:jc w:val="center"/>
        <w:rPr>
          <w:rFonts w:ascii="Times New Roman" w:hAnsi="Times New Roman"/>
          <w:bCs/>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4723075" cy="3411110"/>
            <wp:effectExtent l="0" t="0" r="1905" b="0"/>
            <wp:docPr id="87" name="Диаграмма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pPr>
        <w:pageBreakBefore/>
        <w:spacing w:before="120" w:after="120" w:line="240" w:lineRule="auto"/>
        <w:jc w:val="right"/>
        <w:rPr>
          <w:rFonts w:ascii="Times New Roman" w:hAnsi="Times New Roman"/>
          <w:bCs/>
          <w:color w:val="000000" w:themeColor="text1"/>
          <w:sz w:val="28"/>
          <w:szCs w:val="28"/>
        </w:rPr>
      </w:pPr>
      <w:r>
        <w:rPr>
          <w:rFonts w:ascii="Times New Roman" w:hAnsi="Times New Roman"/>
          <w:bCs/>
          <w:color w:val="000000" w:themeColor="text1"/>
          <w:sz w:val="28"/>
          <w:szCs w:val="28"/>
        </w:rPr>
        <w:lastRenderedPageBreak/>
        <w:t>Таблица 2</w:t>
      </w:r>
    </w:p>
    <w:p>
      <w:pPr>
        <w:spacing w:before="120" w:after="12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 xml:space="preserve">Динамика смены вариантов кассового обслуживания по состоянию </w:t>
      </w:r>
      <w:r>
        <w:rPr>
          <w:rFonts w:ascii="Times New Roman" w:hAnsi="Times New Roman"/>
          <w:b/>
          <w:bCs/>
          <w:color w:val="000000" w:themeColor="text1"/>
          <w:sz w:val="28"/>
          <w:szCs w:val="28"/>
        </w:rPr>
        <w:br/>
        <w:t>на 1 января 2017 года</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2013"/>
        <w:gridCol w:w="1274"/>
        <w:gridCol w:w="1311"/>
        <w:gridCol w:w="677"/>
        <w:gridCol w:w="1277"/>
        <w:gridCol w:w="1418"/>
        <w:gridCol w:w="850"/>
      </w:tblGrid>
      <w:tr>
        <w:trPr>
          <w:jc w:val="center"/>
        </w:trPr>
        <w:tc>
          <w:tcPr>
            <w:tcW w:w="229" w:type="pct"/>
            <w:vMerge w:val="restart"/>
            <w:shd w:val="clear" w:color="auto" w:fill="auto"/>
            <w:vAlign w:val="center"/>
          </w:tcPr>
          <w:p>
            <w:pPr>
              <w:tabs>
                <w:tab w:val="left" w:pos="-250"/>
                <w:tab w:val="left" w:pos="-108"/>
              </w:tabs>
              <w:spacing w:after="0" w:line="240" w:lineRule="auto"/>
              <w:ind w:hanging="108"/>
              <w:jc w:val="center"/>
              <w:rPr>
                <w:rFonts w:ascii="Times New Roman" w:hAnsi="Times New Roman"/>
                <w:b/>
                <w:bCs/>
                <w:color w:val="000000" w:themeColor="text1"/>
              </w:rPr>
            </w:pPr>
            <w:r>
              <w:rPr>
                <w:rFonts w:ascii="Times New Roman" w:hAnsi="Times New Roman"/>
                <w:b/>
                <w:bCs/>
                <w:color w:val="000000" w:themeColor="text1"/>
              </w:rPr>
              <w:t>№</w:t>
            </w:r>
          </w:p>
          <w:p>
            <w:pPr>
              <w:tabs>
                <w:tab w:val="left" w:pos="-250"/>
                <w:tab w:val="left" w:pos="-108"/>
              </w:tabs>
              <w:spacing w:after="0" w:line="240" w:lineRule="auto"/>
              <w:ind w:hanging="108"/>
              <w:jc w:val="center"/>
              <w:rPr>
                <w:rFonts w:ascii="Times New Roman" w:hAnsi="Times New Roman"/>
                <w:b/>
                <w:bCs/>
                <w:color w:val="000000" w:themeColor="text1"/>
              </w:rPr>
            </w:pPr>
            <w:r>
              <w:rPr>
                <w:rFonts w:ascii="Times New Roman" w:hAnsi="Times New Roman"/>
                <w:b/>
                <w:bCs/>
                <w:color w:val="000000" w:themeColor="text1"/>
              </w:rPr>
              <w:t>п/п</w:t>
            </w:r>
          </w:p>
        </w:tc>
        <w:tc>
          <w:tcPr>
            <w:tcW w:w="1089" w:type="pct"/>
            <w:vMerge w:val="restart"/>
            <w:shd w:val="clear" w:color="auto" w:fill="auto"/>
            <w:vAlign w:val="center"/>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Вариант кассового обслуживания</w:t>
            </w:r>
          </w:p>
        </w:tc>
        <w:tc>
          <w:tcPr>
            <w:tcW w:w="1764" w:type="pct"/>
            <w:gridSpan w:val="3"/>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Количество субъектов Российской Федерации</w:t>
            </w:r>
          </w:p>
        </w:tc>
        <w:tc>
          <w:tcPr>
            <w:tcW w:w="1918" w:type="pct"/>
            <w:gridSpan w:val="3"/>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Количество муниципальных образований</w:t>
            </w:r>
          </w:p>
        </w:tc>
      </w:tr>
      <w:tr>
        <w:trPr>
          <w:trHeight w:val="288"/>
          <w:jc w:val="center"/>
        </w:trPr>
        <w:tc>
          <w:tcPr>
            <w:tcW w:w="229" w:type="pct"/>
            <w:vMerge/>
            <w:shd w:val="clear" w:color="auto" w:fill="auto"/>
          </w:tcPr>
          <w:p>
            <w:pPr>
              <w:tabs>
                <w:tab w:val="left" w:pos="334"/>
              </w:tabs>
              <w:spacing w:after="0" w:line="240" w:lineRule="auto"/>
              <w:jc w:val="center"/>
              <w:rPr>
                <w:rFonts w:ascii="Times New Roman" w:hAnsi="Times New Roman"/>
                <w:b/>
                <w:bCs/>
                <w:color w:val="000000" w:themeColor="text1"/>
              </w:rPr>
            </w:pPr>
          </w:p>
        </w:tc>
        <w:tc>
          <w:tcPr>
            <w:tcW w:w="1089" w:type="pct"/>
            <w:vMerge/>
            <w:shd w:val="clear" w:color="auto" w:fill="auto"/>
          </w:tcPr>
          <w:p>
            <w:pPr>
              <w:spacing w:after="0" w:line="240" w:lineRule="auto"/>
              <w:jc w:val="center"/>
              <w:rPr>
                <w:rFonts w:ascii="Times New Roman" w:hAnsi="Times New Roman"/>
                <w:b/>
                <w:bCs/>
                <w:color w:val="000000" w:themeColor="text1"/>
              </w:rPr>
            </w:pPr>
          </w:p>
        </w:tc>
        <w:tc>
          <w:tcPr>
            <w:tcW w:w="689"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01.01.2016</w:t>
            </w:r>
          </w:p>
        </w:tc>
        <w:tc>
          <w:tcPr>
            <w:tcW w:w="709"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01.01.2017</w:t>
            </w:r>
          </w:p>
        </w:tc>
        <w:tc>
          <w:tcPr>
            <w:tcW w:w="365"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w:t>
            </w:r>
          </w:p>
        </w:tc>
        <w:tc>
          <w:tcPr>
            <w:tcW w:w="691"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01.01.2016</w:t>
            </w:r>
          </w:p>
        </w:tc>
        <w:tc>
          <w:tcPr>
            <w:tcW w:w="767"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01.01.2017</w:t>
            </w:r>
          </w:p>
        </w:tc>
        <w:tc>
          <w:tcPr>
            <w:tcW w:w="460" w:type="pct"/>
            <w:shd w:val="clear" w:color="auto" w:fill="auto"/>
          </w:tcPr>
          <w:p>
            <w:pPr>
              <w:spacing w:after="0" w:line="240" w:lineRule="auto"/>
              <w:jc w:val="center"/>
              <w:rPr>
                <w:rFonts w:ascii="Times New Roman" w:hAnsi="Times New Roman"/>
                <w:b/>
                <w:bCs/>
                <w:color w:val="000000" w:themeColor="text1"/>
              </w:rPr>
            </w:pPr>
            <w:r>
              <w:rPr>
                <w:rFonts w:ascii="Times New Roman" w:hAnsi="Times New Roman"/>
                <w:b/>
                <w:bCs/>
                <w:color w:val="000000" w:themeColor="text1"/>
              </w:rPr>
              <w:t>+/-</w:t>
            </w:r>
          </w:p>
        </w:tc>
      </w:tr>
      <w:tr>
        <w:trPr>
          <w:trHeight w:val="1029"/>
          <w:jc w:val="center"/>
        </w:trPr>
        <w:tc>
          <w:tcPr>
            <w:tcW w:w="229" w:type="pct"/>
            <w:shd w:val="clear" w:color="auto" w:fill="auto"/>
            <w:vAlign w:val="center"/>
          </w:tcPr>
          <w:p>
            <w:pPr>
              <w:tabs>
                <w:tab w:val="left" w:pos="334"/>
              </w:tabs>
              <w:spacing w:after="0" w:line="240" w:lineRule="auto"/>
              <w:ind w:left="-108" w:right="-108"/>
              <w:jc w:val="center"/>
              <w:rPr>
                <w:rFonts w:ascii="Times New Roman" w:hAnsi="Times New Roman"/>
                <w:bCs/>
                <w:color w:val="000000" w:themeColor="text1"/>
                <w:sz w:val="24"/>
                <w:szCs w:val="24"/>
              </w:rPr>
            </w:pPr>
            <w:r>
              <w:rPr>
                <w:rFonts w:ascii="Times New Roman" w:hAnsi="Times New Roman"/>
                <w:bCs/>
                <w:color w:val="000000" w:themeColor="text1"/>
                <w:sz w:val="24"/>
                <w:szCs w:val="24"/>
              </w:rPr>
              <w:t>1.</w:t>
            </w:r>
          </w:p>
        </w:tc>
        <w:tc>
          <w:tcPr>
            <w:tcW w:w="1089" w:type="pct"/>
            <w:shd w:val="clear" w:color="auto" w:fill="auto"/>
          </w:tcPr>
          <w:p>
            <w:pPr>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С открытием лицевого счета бюджета финансовому органу</w:t>
            </w:r>
          </w:p>
        </w:tc>
        <w:tc>
          <w:tcPr>
            <w:tcW w:w="68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22</w:t>
            </w:r>
          </w:p>
        </w:tc>
        <w:tc>
          <w:tcPr>
            <w:tcW w:w="70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18</w:t>
            </w:r>
          </w:p>
        </w:tc>
        <w:tc>
          <w:tcPr>
            <w:tcW w:w="365"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691"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6 823</w:t>
            </w:r>
          </w:p>
        </w:tc>
        <w:tc>
          <w:tcPr>
            <w:tcW w:w="767"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6 243</w:t>
            </w:r>
          </w:p>
        </w:tc>
        <w:tc>
          <w:tcPr>
            <w:tcW w:w="460"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-580</w:t>
            </w:r>
          </w:p>
        </w:tc>
      </w:tr>
      <w:tr>
        <w:trPr>
          <w:jc w:val="center"/>
        </w:trPr>
        <w:tc>
          <w:tcPr>
            <w:tcW w:w="229" w:type="pct"/>
            <w:shd w:val="clear" w:color="auto" w:fill="auto"/>
            <w:vAlign w:val="center"/>
          </w:tcPr>
          <w:p>
            <w:pPr>
              <w:tabs>
                <w:tab w:val="left" w:pos="334"/>
              </w:tabs>
              <w:spacing w:after="0" w:line="240" w:lineRule="auto"/>
              <w:ind w:left="-108" w:right="-108"/>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1089" w:type="pct"/>
            <w:shd w:val="clear" w:color="auto" w:fill="auto"/>
          </w:tcPr>
          <w:p>
            <w:pPr>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С открытием счетов в соответствии с Соглашением об отдельных функциях по кассовому обслуживанию исполнения бюджетов субъектов Российской Федерации (местных бюджетов)</w:t>
            </w:r>
          </w:p>
        </w:tc>
        <w:tc>
          <w:tcPr>
            <w:tcW w:w="68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37</w:t>
            </w:r>
          </w:p>
        </w:tc>
        <w:tc>
          <w:tcPr>
            <w:tcW w:w="70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37</w:t>
            </w:r>
          </w:p>
        </w:tc>
        <w:tc>
          <w:tcPr>
            <w:tcW w:w="365"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0</w:t>
            </w:r>
          </w:p>
        </w:tc>
        <w:tc>
          <w:tcPr>
            <w:tcW w:w="691"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11 699</w:t>
            </w:r>
          </w:p>
        </w:tc>
        <w:tc>
          <w:tcPr>
            <w:tcW w:w="767"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11 429</w:t>
            </w:r>
          </w:p>
        </w:tc>
        <w:tc>
          <w:tcPr>
            <w:tcW w:w="460"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-270</w:t>
            </w:r>
          </w:p>
        </w:tc>
      </w:tr>
      <w:tr>
        <w:trPr>
          <w:jc w:val="center"/>
        </w:trPr>
        <w:tc>
          <w:tcPr>
            <w:tcW w:w="229" w:type="pct"/>
            <w:shd w:val="clear" w:color="auto" w:fill="auto"/>
            <w:vAlign w:val="center"/>
          </w:tcPr>
          <w:p>
            <w:pPr>
              <w:tabs>
                <w:tab w:val="left" w:pos="334"/>
              </w:tabs>
              <w:spacing w:after="0" w:line="240" w:lineRule="auto"/>
              <w:ind w:left="-108" w:right="-108"/>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1089" w:type="pct"/>
            <w:shd w:val="clear" w:color="auto" w:fill="auto"/>
          </w:tcPr>
          <w:p>
            <w:pPr>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«Смешанный» вариант кассового обслуживания</w:t>
            </w:r>
          </w:p>
        </w:tc>
        <w:tc>
          <w:tcPr>
            <w:tcW w:w="68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26</w:t>
            </w:r>
          </w:p>
        </w:tc>
        <w:tc>
          <w:tcPr>
            <w:tcW w:w="709"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30</w:t>
            </w:r>
          </w:p>
        </w:tc>
        <w:tc>
          <w:tcPr>
            <w:tcW w:w="365"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691"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4 422</w:t>
            </w:r>
          </w:p>
        </w:tc>
        <w:tc>
          <w:tcPr>
            <w:tcW w:w="767"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4 881</w:t>
            </w:r>
          </w:p>
        </w:tc>
        <w:tc>
          <w:tcPr>
            <w:tcW w:w="460" w:type="pct"/>
            <w:shd w:val="clear" w:color="auto" w:fill="auto"/>
            <w:vAlign w:val="center"/>
          </w:tcPr>
          <w:p>
            <w:pPr>
              <w:spacing w:after="0" w:line="240" w:lineRule="auto"/>
              <w:jc w:val="right"/>
              <w:rPr>
                <w:rFonts w:ascii="Times New Roman" w:hAnsi="Times New Roman"/>
                <w:bCs/>
                <w:color w:val="000000" w:themeColor="text1"/>
                <w:sz w:val="24"/>
                <w:szCs w:val="24"/>
              </w:rPr>
            </w:pPr>
            <w:r>
              <w:rPr>
                <w:rFonts w:ascii="Times New Roman" w:hAnsi="Times New Roman"/>
                <w:bCs/>
                <w:color w:val="000000" w:themeColor="text1"/>
                <w:sz w:val="24"/>
                <w:szCs w:val="24"/>
              </w:rPr>
              <w:t>+459</w:t>
            </w:r>
          </w:p>
        </w:tc>
      </w:tr>
    </w:tbl>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Субъекты Российской Федерации, в которых по состоянию </w:t>
      </w:r>
      <w:r>
        <w:rPr>
          <w:rFonts w:ascii="Times New Roman" w:hAnsi="Times New Roman" w:cs="Times New Roman"/>
          <w:bCs/>
          <w:color w:val="000000" w:themeColor="text1"/>
          <w:sz w:val="28"/>
          <w:szCs w:val="28"/>
        </w:rPr>
        <w:br/>
        <w:t xml:space="preserve">на 1 января 2017 года «смешанный» вариант кассового обслуживания исполнения бюджета субъекта Российской Федерации был изменен </w:t>
      </w:r>
      <w:r>
        <w:rPr>
          <w:rFonts w:ascii="Times New Roman" w:hAnsi="Times New Roman" w:cs="Times New Roman"/>
          <w:bCs/>
          <w:color w:val="000000" w:themeColor="text1"/>
          <w:sz w:val="28"/>
          <w:szCs w:val="28"/>
        </w:rPr>
        <w:br/>
        <w:t>на порядок кассового обслуживания с открытием лицевого счета бюджета финансовому органу (по сравнению с 1 января 2016 года):</w:t>
      </w:r>
    </w:p>
    <w:p>
      <w:pPr>
        <w:pStyle w:val="ConsPlusNormal"/>
        <w:tabs>
          <w:tab w:val="left" w:pos="993"/>
        </w:tabs>
        <w:spacing w:line="360" w:lineRule="atLeast"/>
        <w:ind w:left="709" w:firstLine="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Курская область.</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Субъекты Российской Федерации, в которых по состоянию </w:t>
      </w:r>
      <w:r>
        <w:rPr>
          <w:rFonts w:ascii="Times New Roman" w:hAnsi="Times New Roman" w:cs="Times New Roman"/>
          <w:bCs/>
          <w:color w:val="000000" w:themeColor="text1"/>
          <w:sz w:val="28"/>
          <w:szCs w:val="28"/>
        </w:rPr>
        <w:br/>
        <w:t>на 1 января 2017 года порядок кассового обслуживания исполнения бюджета субъекта Российской Федерации с открытием лицевого счета бюджета финансовому органу</w:t>
      </w:r>
      <w:r>
        <w:rPr>
          <w:rFonts w:ascii="Times New Roman" w:hAnsi="Times New Roman" w:cs="Times New Roman"/>
          <w:b/>
          <w:bCs/>
          <w:color w:val="000000" w:themeColor="text1"/>
          <w:sz w:val="28"/>
          <w:szCs w:val="28"/>
        </w:rPr>
        <w:t xml:space="preserve"> </w:t>
      </w:r>
      <w:r>
        <w:rPr>
          <w:rFonts w:ascii="Times New Roman" w:hAnsi="Times New Roman" w:cs="Times New Roman"/>
          <w:bCs/>
          <w:color w:val="000000" w:themeColor="text1"/>
          <w:sz w:val="28"/>
          <w:szCs w:val="28"/>
        </w:rPr>
        <w:t>был изменен (по сравнению с 1 января 2016 года) на «смешанный вариант» кассового обслуживания исполнения бюджета субъекта Российской Федерации:</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Республика Саха (Якутия);</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Белгородская область;</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lastRenderedPageBreak/>
        <w:t>– Брянская область;</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Иркутская область;</w:t>
      </w:r>
    </w:p>
    <w:p>
      <w:pPr>
        <w:pStyle w:val="ConsPlusNormal"/>
        <w:spacing w:line="360" w:lineRule="atLeast"/>
        <w:ind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Липецкая область.</w:t>
      </w:r>
    </w:p>
    <w:p>
      <w:pPr>
        <w:pStyle w:val="a5"/>
        <w:spacing w:before="120" w:after="120" w:line="240" w:lineRule="auto"/>
        <w:ind w:left="0"/>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13</w:t>
      </w:r>
    </w:p>
    <w:p>
      <w:pPr>
        <w:spacing w:line="360" w:lineRule="atLeast"/>
        <w:jc w:val="center"/>
        <w:outlineLvl w:val="0"/>
        <w:rPr>
          <w:rFonts w:ascii="Times New Roman" w:hAnsi="Times New Roman"/>
          <w:bCs/>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406887" cy="3546282"/>
            <wp:effectExtent l="0" t="0" r="0" b="0"/>
            <wp:docPr id="86" name="Диаграмма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pPr>
        <w:spacing w:after="0" w:line="360" w:lineRule="atLeast"/>
        <w:ind w:firstLine="709"/>
        <w:jc w:val="both"/>
        <w:outlineLvl w:val="0"/>
        <w:rPr>
          <w:rFonts w:ascii="Times New Roman" w:hAnsi="Times New Roman"/>
          <w:color w:val="000000" w:themeColor="text1"/>
          <w:sz w:val="28"/>
          <w:szCs w:val="28"/>
        </w:rPr>
      </w:pPr>
      <w:r>
        <w:rPr>
          <w:rFonts w:ascii="Times New Roman" w:hAnsi="Times New Roman"/>
          <w:bCs/>
          <w:color w:val="000000" w:themeColor="text1"/>
          <w:sz w:val="28"/>
          <w:szCs w:val="28"/>
        </w:rPr>
        <w:t xml:space="preserve">Всего в </w:t>
      </w:r>
      <w:r>
        <w:rPr>
          <w:rFonts w:ascii="Times New Roman" w:hAnsi="Times New Roman"/>
          <w:color w:val="000000" w:themeColor="text1"/>
          <w:sz w:val="28"/>
          <w:szCs w:val="28"/>
        </w:rPr>
        <w:t xml:space="preserve">ТОФК по состоянию на </w:t>
      </w:r>
      <w:r>
        <w:rPr>
          <w:rFonts w:ascii="Times New Roman" w:hAnsi="Times New Roman"/>
          <w:bCs/>
          <w:color w:val="000000" w:themeColor="text1"/>
          <w:sz w:val="28"/>
          <w:szCs w:val="28"/>
        </w:rPr>
        <w:t xml:space="preserve">1 января 2017 </w:t>
      </w:r>
      <w:r>
        <w:rPr>
          <w:rFonts w:ascii="Times New Roman" w:hAnsi="Times New Roman"/>
          <w:color w:val="000000" w:themeColor="text1"/>
          <w:sz w:val="28"/>
          <w:szCs w:val="28"/>
        </w:rPr>
        <w:t>года открыто 118 260 лицевых счетов УБП муниципальных образований (диаграмма 14),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главных распорядителей (распорядителей) бюджетных средств (01) – 14 431 (12,2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получателей бюджетных средств (03) – 58 069 (49,1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для учета операций со средствами, поступающими во временное распоряжение получателей бюджетных средств (05), – 34 649 (29,3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главных администраторов источников внутреннего финансирования дефицита бюджета (06) – 921 (0,8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администраторов источников внутреннего финансирования дефицита бюджета (08) – 4 650 (3,9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иных получателей бюджетных средств (10) – 91 (0,08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лицевых счетов для учета операций по переданным полномочиям получателя бюджетных средств (14) – 5 212 (4,4 процента)</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14</w:t>
      </w:r>
    </w:p>
    <w:p>
      <w:pPr>
        <w:spacing w:after="0" w:line="240" w:lineRule="auto"/>
        <w:jc w:val="center"/>
        <w:rPr>
          <w:rFonts w:ascii="Times New Roman" w:hAnsi="Times New Roman"/>
          <w:noProof/>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581815" cy="4277802"/>
            <wp:effectExtent l="0" t="0" r="0" b="8890"/>
            <wp:docPr id="85" name="Диаграмма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Общее количество лицевых счетов УБП муниципальных образований по состоянию на </w:t>
      </w:r>
      <w:r>
        <w:rPr>
          <w:rFonts w:ascii="Times New Roman" w:hAnsi="Times New Roman"/>
          <w:bCs/>
          <w:color w:val="000000" w:themeColor="text1"/>
          <w:sz w:val="28"/>
          <w:szCs w:val="28"/>
        </w:rPr>
        <w:t xml:space="preserve">1 января 2017 </w:t>
      </w:r>
      <w:r>
        <w:rPr>
          <w:rFonts w:ascii="Times New Roman" w:hAnsi="Times New Roman"/>
          <w:color w:val="000000" w:themeColor="text1"/>
          <w:sz w:val="28"/>
          <w:szCs w:val="28"/>
        </w:rPr>
        <w:t>года увеличилось по сравнению с 1 января 2016 года на 537 единиц (на 0,5 %),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увеличилось количество лицевых счетов, открытых УБП местных бюджетов в соответствии с соглашением об осуществлении ТОФК отдельных функций по исполнению бюджета субъекта Российской Федерации (местного бюджета) при кассовом обслуживании им исполнения бюджета, заключенного между ТОФК и высшим исполнительным органом государственной власти субъекта Российской Федерации (местной администрацией муниципального образования), с 92 953 до 93 264 </w:t>
      </w:r>
      <w:r>
        <w:rPr>
          <w:rFonts w:ascii="Times New Roman" w:hAnsi="Times New Roman"/>
          <w:color w:val="000000" w:themeColor="text1"/>
          <w:sz w:val="28"/>
          <w:szCs w:val="28"/>
        </w:rPr>
        <w:br/>
        <w:t>или на 311 единиц (0,3 %) в основном за счет увеличения лицевых счетов для учета операций со средствами, поступившими во временное распоряжение получателей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уменьшилось количество лицевых счетов, открытых УБП муниципальных образований в соответствии с законодательством Российской Федерации (без заключения соответствующего соглашения) </w:t>
      </w:r>
      <w:r>
        <w:rPr>
          <w:rFonts w:ascii="Times New Roman" w:hAnsi="Times New Roman"/>
          <w:color w:val="000000" w:themeColor="text1"/>
          <w:sz w:val="28"/>
          <w:szCs w:val="28"/>
        </w:rPr>
        <w:br/>
        <w:t>с 25 114 до 24 996 или на 118 единиц (0,5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Количество поселений, передавших отдельные полномочия</w:t>
      </w:r>
      <w:r>
        <w:rPr>
          <w:rFonts w:ascii="Times New Roman" w:hAnsi="Times New Roman"/>
          <w:color w:val="000000" w:themeColor="text1"/>
          <w:sz w:val="28"/>
          <w:szCs w:val="28"/>
        </w:rPr>
        <w:br/>
        <w:t xml:space="preserve">по организации исполнения бюджета поселения (в том числе в части </w:t>
      </w:r>
      <w:r>
        <w:rPr>
          <w:rFonts w:ascii="Times New Roman" w:hAnsi="Times New Roman"/>
          <w:color w:val="000000" w:themeColor="text1"/>
          <w:sz w:val="28"/>
          <w:szCs w:val="28"/>
        </w:rPr>
        <w:lastRenderedPageBreak/>
        <w:t>информационного взаимодействия) финансовому органу муниципального района составило 7 168 единиц.</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положениями статьи 30 Федерального закона </w:t>
      </w:r>
      <w:r>
        <w:rPr>
          <w:rFonts w:ascii="Times New Roman" w:hAnsi="Times New Roman"/>
          <w:color w:val="000000" w:themeColor="text1"/>
          <w:sz w:val="28"/>
          <w:szCs w:val="28"/>
        </w:rPr>
        <w:br/>
        <w:t>№ 83-ФЗ ТОФК заключены соглашения об открытии и ведении лицевых счетов для учета операций со средствами бюджетных учреждений: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 высшим органом исполнительной власти субъекта Российской Федерации – 43, что на 1 единицу (2,3 %) меньше, чем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 местными администрациями – 4 129, что на 501 единиц (12,1 %) меньше, чем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заключены 2 400 соглашений об открытии в учреждениях Банка России счетов для проведения операций со средствами муниципальных бюджетных учреждений, лицевые счета которым открываются и ведутся в финансовом органе муниципального образования, что на 545 соглашений меньше, чем на 1 января 2016 года, за счет перевода муниципальных бюджетных учреждений на обслуживание в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положениями статьи 2 Федерального закона </w:t>
      </w:r>
      <w:r>
        <w:rPr>
          <w:rFonts w:ascii="Times New Roman" w:hAnsi="Times New Roman"/>
          <w:color w:val="000000" w:themeColor="text1"/>
          <w:sz w:val="28"/>
          <w:szCs w:val="28"/>
        </w:rPr>
        <w:br/>
        <w:t>от 3 ноября 2006 г. № 174-ФЗ «Об автономных учреждениях» ТОФК заключены соглашения об открытии и ведении лицевых счетов для учета операций со средствами автономных учреждений: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 органом исполнительной власти субъекта Российской Федерации, осуществляющим функции и полномочия учредителя автономного учреждения – 303;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 органом исполнительной власти муниципального образования, осуществляющим функции и полномочия учредителя автономного учреждения – 939.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заключено 226 соглашений с местными администрациями об открытии в учреждении Банка России счетов для проведения операций со средствами муниципальных автономных учреждений, лицевые счета которым открываются и ведутся в финансовом органе муниципального образования.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реализации положений постановления Правительства Российской Федерации от 29 ноября 2014 г. № 1275 «О предоставлении</w:t>
      </w:r>
      <w:r>
        <w:rPr>
          <w:rFonts w:ascii="Times New Roman" w:hAnsi="Times New Roman"/>
          <w:color w:val="000000" w:themeColor="text1"/>
          <w:sz w:val="28"/>
          <w:szCs w:val="28"/>
        </w:rPr>
        <w:br/>
        <w:t xml:space="preserve">из федерального бюджета бюджету Калининградской области иных межбюджетных трансфертов на обеспечение поддержки юридических лиц, осуществляющих деятельность на территории Калининградской области, </w:t>
      </w:r>
      <w:r>
        <w:rPr>
          <w:rFonts w:ascii="Times New Roman" w:hAnsi="Times New Roman"/>
          <w:color w:val="000000" w:themeColor="text1"/>
          <w:sz w:val="28"/>
          <w:szCs w:val="28"/>
        </w:rPr>
        <w:br/>
        <w:t xml:space="preserve">и резидентов Особой экономической зоны в Калининградской области» </w:t>
      </w:r>
      <w:r>
        <w:rPr>
          <w:rFonts w:ascii="Times New Roman" w:hAnsi="Times New Roman"/>
          <w:color w:val="000000" w:themeColor="text1"/>
          <w:sz w:val="28"/>
          <w:szCs w:val="28"/>
        </w:rPr>
        <w:br/>
        <w:t xml:space="preserve">по состоянию на </w:t>
      </w:r>
      <w:r>
        <w:rPr>
          <w:rFonts w:ascii="Times New Roman" w:hAnsi="Times New Roman"/>
          <w:bCs/>
          <w:color w:val="000000" w:themeColor="text1"/>
          <w:sz w:val="28"/>
          <w:szCs w:val="28"/>
        </w:rPr>
        <w:t xml:space="preserve">1 января 2017 </w:t>
      </w:r>
      <w:r>
        <w:rPr>
          <w:rFonts w:ascii="Times New Roman" w:hAnsi="Times New Roman"/>
          <w:color w:val="000000" w:themeColor="text1"/>
          <w:sz w:val="28"/>
          <w:szCs w:val="28"/>
        </w:rPr>
        <w:t>года в ТОФК открыты 299 лицевых счетов иным юридическим лицам Калининградской области.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По состоянию на </w:t>
      </w:r>
      <w:r>
        <w:rPr>
          <w:rFonts w:ascii="Times New Roman" w:hAnsi="Times New Roman"/>
          <w:bCs/>
          <w:color w:val="000000" w:themeColor="text1"/>
          <w:sz w:val="28"/>
          <w:szCs w:val="28"/>
        </w:rPr>
        <w:t xml:space="preserve">1 января 2017 </w:t>
      </w:r>
      <w:r>
        <w:rPr>
          <w:rFonts w:ascii="Times New Roman" w:hAnsi="Times New Roman"/>
          <w:color w:val="000000" w:themeColor="text1"/>
          <w:sz w:val="28"/>
          <w:szCs w:val="28"/>
        </w:rPr>
        <w:t xml:space="preserve">года в ТОФК открыты 90 236 соответствующих лицевых счетов бюджетным и автономным учреждениям субъектов Российской Федерации и муниципальным бюджетным </w:t>
      </w:r>
      <w:r>
        <w:rPr>
          <w:rFonts w:ascii="Times New Roman" w:hAnsi="Times New Roman"/>
          <w:color w:val="000000" w:themeColor="text1"/>
          <w:sz w:val="28"/>
          <w:szCs w:val="28"/>
        </w:rPr>
        <w:br/>
        <w:t xml:space="preserve">и автономным учреждениям, что на 3 385 единиц (3,8 %) меньше, чем </w:t>
      </w:r>
      <w:r>
        <w:rPr>
          <w:rFonts w:ascii="Times New Roman" w:hAnsi="Times New Roman"/>
          <w:color w:val="000000" w:themeColor="text1"/>
          <w:sz w:val="28"/>
          <w:szCs w:val="28"/>
        </w:rPr>
        <w:br/>
        <w:t>на 1 января 2016 года.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3</w:t>
      </w:r>
    </w:p>
    <w:p>
      <w:pPr>
        <w:spacing w:before="120" w:after="120" w:line="240" w:lineRule="auto"/>
        <w:ind w:firstLine="709"/>
        <w:jc w:val="center"/>
        <w:rPr>
          <w:rFonts w:ascii="Times New Roman" w:eastAsia="Times New Roman" w:hAnsi="Times New Roman"/>
          <w:color w:val="000000" w:themeColor="text1"/>
          <w:lang w:eastAsia="ru-RU"/>
        </w:rPr>
      </w:pPr>
      <w:r>
        <w:rPr>
          <w:rFonts w:ascii="Times New Roman" w:hAnsi="Times New Roman"/>
          <w:b/>
          <w:color w:val="000000" w:themeColor="text1"/>
          <w:sz w:val="28"/>
          <w:szCs w:val="28"/>
        </w:rPr>
        <w:t xml:space="preserve">Информация о количестве лицевых счетов, открытых автономным и бюджетным учреждениям в ТОФК по состоянию </w:t>
      </w:r>
      <w:r>
        <w:rPr>
          <w:rFonts w:ascii="Times New Roman" w:hAnsi="Times New Roman"/>
          <w:b/>
          <w:color w:val="000000" w:themeColor="text1"/>
          <w:sz w:val="28"/>
          <w:szCs w:val="28"/>
        </w:rPr>
        <w:br/>
        <w:t>на 1 января 2017 года</w:t>
      </w:r>
    </w:p>
    <w:tbl>
      <w:tblPr>
        <w:tblW w:w="5141" w:type="pct"/>
        <w:jc w:val="center"/>
        <w:tblLayout w:type="fixed"/>
        <w:tblLook w:val="04A0" w:firstRow="1" w:lastRow="0" w:firstColumn="1" w:lastColumn="0" w:noHBand="0" w:noVBand="1"/>
      </w:tblPr>
      <w:tblGrid>
        <w:gridCol w:w="1048"/>
        <w:gridCol w:w="1135"/>
        <w:gridCol w:w="1134"/>
        <w:gridCol w:w="566"/>
        <w:gridCol w:w="1134"/>
        <w:gridCol w:w="1134"/>
        <w:gridCol w:w="708"/>
        <w:gridCol w:w="1134"/>
        <w:gridCol w:w="1134"/>
        <w:gridCol w:w="568"/>
      </w:tblGrid>
      <w:tr>
        <w:trPr>
          <w:trHeight w:val="333"/>
          <w:jc w:val="center"/>
        </w:trPr>
        <w:tc>
          <w:tcPr>
            <w:tcW w:w="54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Виды лицевых счетов</w:t>
            </w:r>
          </w:p>
        </w:tc>
        <w:tc>
          <w:tcPr>
            <w:tcW w:w="4460" w:type="pct"/>
            <w:gridSpan w:val="9"/>
            <w:tcBorders>
              <w:top w:val="single" w:sz="8" w:space="0" w:color="auto"/>
              <w:left w:val="nil"/>
              <w:bottom w:val="single" w:sz="8" w:space="0" w:color="auto"/>
              <w:right w:val="single" w:sz="8" w:space="0" w:color="000000"/>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Количество лицевых счетов</w:t>
            </w:r>
          </w:p>
        </w:tc>
      </w:tr>
      <w:tr>
        <w:trPr>
          <w:trHeight w:val="274"/>
          <w:jc w:val="center"/>
        </w:trPr>
        <w:tc>
          <w:tcPr>
            <w:tcW w:w="540" w:type="pct"/>
            <w:vMerge/>
            <w:tcBorders>
              <w:top w:val="single" w:sz="8" w:space="0" w:color="auto"/>
              <w:left w:val="single" w:sz="8" w:space="0" w:color="auto"/>
              <w:bottom w:val="single" w:sz="8" w:space="0" w:color="000000"/>
              <w:right w:val="single" w:sz="8" w:space="0" w:color="auto"/>
            </w:tcBorders>
            <w:vAlign w:val="center"/>
            <w:hideMark/>
          </w:tcPr>
          <w:p>
            <w:pPr>
              <w:spacing w:after="0" w:line="240" w:lineRule="auto"/>
              <w:jc w:val="center"/>
              <w:rPr>
                <w:rFonts w:ascii="Times New Roman" w:hAnsi="Times New Roman"/>
                <w:color w:val="000000" w:themeColor="text1"/>
                <w:sz w:val="20"/>
                <w:szCs w:val="20"/>
              </w:rPr>
            </w:pPr>
          </w:p>
        </w:tc>
        <w:tc>
          <w:tcPr>
            <w:tcW w:w="1170" w:type="pct"/>
            <w:gridSpan w:val="2"/>
            <w:tcBorders>
              <w:top w:val="single" w:sz="8" w:space="0" w:color="auto"/>
              <w:left w:val="nil"/>
              <w:bottom w:val="single" w:sz="8" w:space="0" w:color="auto"/>
              <w:right w:val="single" w:sz="8" w:space="0" w:color="000000"/>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Бюджеты субъектов Российской Федерации</w:t>
            </w:r>
          </w:p>
        </w:tc>
        <w:tc>
          <w:tcPr>
            <w:tcW w:w="292" w:type="pct"/>
            <w:vMerge w:val="restart"/>
            <w:tcBorders>
              <w:top w:val="nil"/>
              <w:left w:val="nil"/>
              <w:bottom w:val="single" w:sz="8" w:space="0" w:color="000000"/>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w:t>
            </w:r>
          </w:p>
        </w:tc>
        <w:tc>
          <w:tcPr>
            <w:tcW w:w="1170" w:type="pct"/>
            <w:gridSpan w:val="2"/>
            <w:tcBorders>
              <w:top w:val="single" w:sz="8" w:space="0" w:color="auto"/>
              <w:left w:val="nil"/>
              <w:bottom w:val="single" w:sz="8" w:space="0" w:color="auto"/>
              <w:right w:val="single" w:sz="8" w:space="0" w:color="000000"/>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Местные бюджеты</w:t>
            </w:r>
          </w:p>
        </w:tc>
        <w:tc>
          <w:tcPr>
            <w:tcW w:w="365" w:type="pct"/>
            <w:vMerge w:val="restart"/>
            <w:tcBorders>
              <w:top w:val="nil"/>
              <w:left w:val="nil"/>
              <w:bottom w:val="single" w:sz="8" w:space="0" w:color="000000"/>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w:t>
            </w:r>
          </w:p>
        </w:tc>
        <w:tc>
          <w:tcPr>
            <w:tcW w:w="1170" w:type="pct"/>
            <w:gridSpan w:val="2"/>
            <w:tcBorders>
              <w:top w:val="single" w:sz="8" w:space="0" w:color="auto"/>
              <w:left w:val="nil"/>
              <w:bottom w:val="single" w:sz="8" w:space="0" w:color="auto"/>
              <w:right w:val="single" w:sz="8" w:space="0" w:color="000000"/>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Итого</w:t>
            </w:r>
          </w:p>
        </w:tc>
        <w:tc>
          <w:tcPr>
            <w:tcW w:w="293" w:type="pct"/>
            <w:vMerge w:val="restart"/>
            <w:tcBorders>
              <w:top w:val="nil"/>
              <w:left w:val="nil"/>
              <w:bottom w:val="single" w:sz="8" w:space="0" w:color="000000"/>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445"/>
          <w:jc w:val="center"/>
        </w:trPr>
        <w:tc>
          <w:tcPr>
            <w:tcW w:w="540" w:type="pct"/>
            <w:vMerge/>
            <w:tcBorders>
              <w:top w:val="single" w:sz="8" w:space="0" w:color="auto"/>
              <w:left w:val="single" w:sz="8" w:space="0" w:color="auto"/>
              <w:bottom w:val="single" w:sz="8" w:space="0" w:color="000000"/>
              <w:right w:val="single" w:sz="8" w:space="0" w:color="auto"/>
            </w:tcBorders>
            <w:vAlign w:val="center"/>
            <w:hideMark/>
          </w:tcPr>
          <w:p>
            <w:pPr>
              <w:spacing w:after="0" w:line="240" w:lineRule="auto"/>
              <w:jc w:val="center"/>
              <w:rPr>
                <w:rFonts w:ascii="Times New Roman" w:hAnsi="Times New Roman"/>
                <w:color w:val="000000" w:themeColor="text1"/>
                <w:sz w:val="20"/>
                <w:szCs w:val="20"/>
              </w:rPr>
            </w:pP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01.01.2017</w:t>
            </w:r>
          </w:p>
        </w:tc>
        <w:tc>
          <w:tcPr>
            <w:tcW w:w="292" w:type="pct"/>
            <w:vMerge/>
            <w:tcBorders>
              <w:top w:val="nil"/>
              <w:left w:val="nil"/>
              <w:bottom w:val="single" w:sz="8" w:space="0" w:color="000000"/>
              <w:right w:val="single" w:sz="8" w:space="0" w:color="auto"/>
            </w:tcBorders>
            <w:vAlign w:val="center"/>
            <w:hideMark/>
          </w:tcPr>
          <w:p>
            <w:pPr>
              <w:spacing w:after="0" w:line="240" w:lineRule="auto"/>
              <w:jc w:val="center"/>
              <w:rPr>
                <w:rFonts w:ascii="Times New Roman" w:hAnsi="Times New Roman"/>
                <w:color w:val="000000" w:themeColor="text1"/>
                <w:sz w:val="20"/>
                <w:szCs w:val="20"/>
              </w:rPr>
            </w:pP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01.01.2017</w:t>
            </w:r>
          </w:p>
        </w:tc>
        <w:tc>
          <w:tcPr>
            <w:tcW w:w="365" w:type="pct"/>
            <w:vMerge/>
            <w:tcBorders>
              <w:top w:val="nil"/>
              <w:left w:val="nil"/>
              <w:bottom w:val="single" w:sz="8" w:space="0" w:color="000000"/>
              <w:right w:val="single" w:sz="8" w:space="0" w:color="auto"/>
            </w:tcBorders>
            <w:vAlign w:val="center"/>
            <w:hideMark/>
          </w:tcPr>
          <w:p>
            <w:pPr>
              <w:spacing w:after="0" w:line="240" w:lineRule="auto"/>
              <w:jc w:val="center"/>
              <w:rPr>
                <w:rFonts w:ascii="Times New Roman" w:hAnsi="Times New Roman"/>
                <w:color w:val="000000" w:themeColor="text1"/>
                <w:sz w:val="20"/>
                <w:szCs w:val="20"/>
              </w:rPr>
            </w:pP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01.01.2017</w:t>
            </w:r>
          </w:p>
        </w:tc>
        <w:tc>
          <w:tcPr>
            <w:tcW w:w="293" w:type="pct"/>
            <w:vMerge/>
            <w:tcBorders>
              <w:top w:val="nil"/>
              <w:left w:val="nil"/>
              <w:bottom w:val="single" w:sz="8" w:space="0" w:color="000000"/>
              <w:right w:val="single" w:sz="8" w:space="0" w:color="auto"/>
            </w:tcBorders>
            <w:vAlign w:val="center"/>
            <w:hideMark/>
          </w:tcPr>
          <w:p>
            <w:pPr>
              <w:spacing w:after="0" w:line="240" w:lineRule="auto"/>
              <w:jc w:val="center"/>
              <w:rPr>
                <w:rFonts w:ascii="Times New Roman" w:hAnsi="Times New Roman"/>
                <w:color w:val="000000" w:themeColor="text1"/>
                <w:sz w:val="20"/>
                <w:szCs w:val="20"/>
              </w:rPr>
            </w:pP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20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7 820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7 277</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-9,3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35 663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34 247</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43 483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41 524</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-4,5</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21</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7 068</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6 808</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-6,3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32 412</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31 438</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39 480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38 246</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-3,1</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1 916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1 843</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-7,3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454</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392</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-13,7</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2 370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2 235</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-5,7</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30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1 089</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1 048</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-5,8</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2 749</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2 911</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5,9</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3 838</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3 959</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3,2</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31</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1 190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1 193</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-1,4</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2 823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2 905</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2,9</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4 013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4 098</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2,1</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32</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136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151</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23</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-23,3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166</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174</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4,8</w:t>
            </w:r>
          </w:p>
        </w:tc>
      </w:tr>
      <w:tr>
        <w:trPr>
          <w:trHeight w:val="274"/>
          <w:jc w:val="center"/>
        </w:trPr>
        <w:tc>
          <w:tcPr>
            <w:tcW w:w="540" w:type="pct"/>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Итого</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19 219</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18 320</w:t>
            </w:r>
          </w:p>
        </w:tc>
        <w:tc>
          <w:tcPr>
            <w:tcW w:w="292"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-4,7</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74 131</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71 916</w:t>
            </w:r>
          </w:p>
        </w:tc>
        <w:tc>
          <w:tcPr>
            <w:tcW w:w="36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93 350</w:t>
            </w:r>
          </w:p>
        </w:tc>
        <w:tc>
          <w:tcPr>
            <w:tcW w:w="585"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90 236</w:t>
            </w:r>
          </w:p>
        </w:tc>
        <w:tc>
          <w:tcPr>
            <w:tcW w:w="293" w:type="pct"/>
            <w:tcBorders>
              <w:top w:val="nil"/>
              <w:left w:val="nil"/>
              <w:bottom w:val="single" w:sz="8" w:space="0" w:color="auto"/>
              <w:right w:val="single" w:sz="8" w:space="0" w:color="auto"/>
            </w:tcBorders>
            <w:shd w:val="clear" w:color="auto" w:fill="auto"/>
            <w:noWrap/>
            <w:vAlign w:val="center"/>
            <w:hideMark/>
          </w:tcPr>
          <w:p>
            <w:pPr>
              <w:spacing w:after="0" w:line="240" w:lineRule="auto"/>
              <w:jc w:val="right"/>
              <w:rPr>
                <w:rFonts w:ascii="Times New Roman" w:hAnsi="Times New Roman"/>
                <w:b/>
                <w:color w:val="000000" w:themeColor="text1"/>
                <w:sz w:val="20"/>
                <w:szCs w:val="20"/>
              </w:rPr>
            </w:pPr>
            <w:r>
              <w:rPr>
                <w:rFonts w:ascii="Times New Roman" w:hAnsi="Times New Roman"/>
                <w:b/>
                <w:color w:val="000000" w:themeColor="text1"/>
                <w:sz w:val="20"/>
                <w:szCs w:val="20"/>
              </w:rPr>
              <w:t>-3,3</w:t>
            </w:r>
          </w:p>
        </w:tc>
      </w:tr>
    </w:tbl>
    <w:p>
      <w:pPr>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Во исполнение статьи 148 Бюджетного кодекса с 1 января 2014 года осуществлен перевод на кассовое обслуживание исполнения бюджетов ГВФ РФ ТОФК, а также обеспечено кассовое обслуживание исполнения бюджетов 85 территориальных фондов обязательного медицинского страхования, включая бюджеты территориальных государственных внебюджетных фондов на территории Республики Крым и города федерального значения Севастополя.</w:t>
      </w:r>
    </w:p>
    <w:p>
      <w:pPr>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rPr>
        <w:t xml:space="preserve">По состоянию на 1 января 2017 года кассовое обслуживание исполнения бюджетов государственных внебюджетных фондов во всех субъектах Российской </w:t>
      </w:r>
      <w:r>
        <w:rPr>
          <w:rFonts w:ascii="Times New Roman" w:hAnsi="Times New Roman"/>
          <w:color w:val="000000" w:themeColor="text1"/>
          <w:sz w:val="28"/>
          <w:szCs w:val="28"/>
          <w:lang w:eastAsia="ar-SA"/>
        </w:rPr>
        <w:t>Федерации, включая Республику Крым и город федерального значения Севастополь, осуществляется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ar-SA"/>
        </w:rPr>
        <w:t>УБП</w:t>
      </w:r>
      <w:r>
        <w:rPr>
          <w:rFonts w:ascii="Times New Roman" w:hAnsi="Times New Roman"/>
          <w:color w:val="000000" w:themeColor="text1"/>
          <w:sz w:val="28"/>
          <w:szCs w:val="28"/>
        </w:rPr>
        <w:t xml:space="preserve"> ГВФ РФ</w:t>
      </w:r>
      <w:r>
        <w:rPr>
          <w:rFonts w:ascii="Times New Roman" w:hAnsi="Times New Roman"/>
          <w:bCs/>
          <w:color w:val="000000" w:themeColor="text1"/>
          <w:sz w:val="28"/>
          <w:szCs w:val="28"/>
        </w:rPr>
        <w:t xml:space="preserve"> в </w:t>
      </w:r>
      <w:r>
        <w:rPr>
          <w:rFonts w:ascii="Times New Roman" w:hAnsi="Times New Roman"/>
          <w:color w:val="000000" w:themeColor="text1"/>
          <w:sz w:val="28"/>
          <w:szCs w:val="28"/>
        </w:rPr>
        <w:t>ТОФК открыты 4 756 лицевых счетов,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УБП </w:t>
      </w:r>
      <w:r>
        <w:rPr>
          <w:rFonts w:ascii="Times New Roman" w:hAnsi="Times New Roman"/>
          <w:color w:val="000000" w:themeColor="text1"/>
          <w:sz w:val="28"/>
          <w:szCs w:val="28"/>
          <w:lang w:eastAsia="ar-SA"/>
        </w:rPr>
        <w:t>Пенсионного Фонда Российской Федерации (далее – ПФ РФ)</w:t>
      </w:r>
      <w:r>
        <w:rPr>
          <w:rFonts w:ascii="Times New Roman" w:hAnsi="Times New Roman"/>
          <w:color w:val="000000" w:themeColor="text1"/>
          <w:sz w:val="28"/>
          <w:szCs w:val="28"/>
        </w:rPr>
        <w:t xml:space="preserve"> – 3 813,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территориального органа ГВФ РФ (12) – 82 (2,15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главных распорядителей (распорядителей) бюджетных средств (01) – 80 (2,1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лицевых счетов получателей бюджетных средств (03) – 1 835 (48,12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лицевых счетов для учета операций со средствами, поступающими </w:t>
      </w:r>
      <w:r>
        <w:rPr>
          <w:rFonts w:ascii="Times New Roman" w:hAnsi="Times New Roman"/>
          <w:color w:val="000000" w:themeColor="text1"/>
          <w:sz w:val="28"/>
          <w:szCs w:val="28"/>
        </w:rPr>
        <w:br/>
        <w:t>во временное распоряжение получателей бюджетных средств (05), – 1 813 (47,55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администраторов источников внутреннего финансирования дефицита бюджета (08) – 3 (0,08 процента);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15</w:t>
      </w:r>
    </w:p>
    <w:p>
      <w:pPr>
        <w:spacing w:after="0" w:line="240" w:lineRule="auto"/>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5820355" cy="4182386"/>
            <wp:effectExtent l="0" t="0" r="0" b="8890"/>
            <wp:docPr id="84"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УБП ФСС РФ – 743,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главных распорядителей (распорядителей) бюджетных средств (01) – 86 (11,6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получателей бюджетных средств (03) – 483 (65,0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лицевых счетов для учета операций со средствами, поступающими </w:t>
      </w:r>
      <w:r>
        <w:rPr>
          <w:rFonts w:ascii="Times New Roman" w:hAnsi="Times New Roman"/>
          <w:color w:val="000000" w:themeColor="text1"/>
          <w:sz w:val="28"/>
          <w:szCs w:val="28"/>
        </w:rPr>
        <w:br/>
        <w:t xml:space="preserve">во временное распоряжение получателей бюджетных средств (05), – </w:t>
      </w:r>
      <w:r>
        <w:rPr>
          <w:rFonts w:ascii="Times New Roman" w:hAnsi="Times New Roman"/>
          <w:color w:val="000000" w:themeColor="text1"/>
          <w:sz w:val="28"/>
          <w:szCs w:val="28"/>
        </w:rPr>
        <w:br/>
        <w:t>86 (11,6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администраторов источников внутреннего финансирования дефицита бюджета (08) – 86 (11,6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лицевых счетов иных получателей бюджетных средств (10) – </w:t>
      </w:r>
      <w:r>
        <w:rPr>
          <w:rFonts w:ascii="Times New Roman" w:hAnsi="Times New Roman"/>
          <w:color w:val="000000" w:themeColor="text1"/>
          <w:sz w:val="28"/>
          <w:szCs w:val="28"/>
        </w:rPr>
        <w:br/>
        <w:t>1 (0,2 процента);</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16</w:t>
      </w:r>
    </w:p>
    <w:p>
      <w:pPr>
        <w:spacing w:after="0" w:line="240" w:lineRule="auto"/>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5719445" cy="4459605"/>
            <wp:effectExtent l="0" t="0" r="0" b="0"/>
            <wp:docPr id="8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УБП Федерального фонда обязательного медицинского страхования (далее – ФФОМС) – 4,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главных распорядителей (распорядителей) бюджетных средств (01) – 1 (25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получателей бюджетных средств (03) – 1 (25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лицевых счетов для учета операций со средствами, поступающими </w:t>
      </w:r>
      <w:r>
        <w:rPr>
          <w:rFonts w:ascii="Times New Roman" w:hAnsi="Times New Roman"/>
          <w:color w:val="000000" w:themeColor="text1"/>
          <w:sz w:val="28"/>
          <w:szCs w:val="28"/>
        </w:rPr>
        <w:br/>
        <w:t>во временное распоряжение получателей бюджетных средств (05), – 1 (25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администраторов источников внутреннего финансирования дефицита бюджета (08) – 1 (25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УБП территориальных государственных внебюджетных фондов </w:t>
      </w:r>
      <w:r>
        <w:rPr>
          <w:rFonts w:ascii="Times New Roman" w:hAnsi="Times New Roman"/>
          <w:color w:val="000000" w:themeColor="text1"/>
          <w:sz w:val="28"/>
          <w:szCs w:val="28"/>
        </w:rPr>
        <w:br/>
        <w:t>в ТОФК открыты 279 лицевых счетов, 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главных распорядителей (распорядителей) бюджетных средств (01) – 16 (5,7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получателей бюджетных средств (03) – 140 (50,2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лицевых счетов для учета операций со средствами, поступающими </w:t>
      </w:r>
      <w:r>
        <w:rPr>
          <w:rFonts w:ascii="Times New Roman" w:hAnsi="Times New Roman"/>
          <w:color w:val="000000" w:themeColor="text1"/>
          <w:sz w:val="28"/>
          <w:szCs w:val="28"/>
        </w:rPr>
        <w:br/>
        <w:t xml:space="preserve">во временное распоряжение получателей бюджетных средств (05), – </w:t>
      </w:r>
      <w:r>
        <w:rPr>
          <w:rFonts w:ascii="Times New Roman" w:hAnsi="Times New Roman"/>
          <w:color w:val="000000" w:themeColor="text1"/>
          <w:sz w:val="28"/>
          <w:szCs w:val="28"/>
        </w:rPr>
        <w:br/>
        <w:t>85 (30,5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главных администраторов источников внутреннего финансирования дефицита бюджета (06) – 1 (0,3 процента);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лицевых счетов администраторов источников внутреннего финансирования дефицита бюджета (08) – 37 (13,3 процента).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17</w:t>
      </w:r>
    </w:p>
    <w:p>
      <w:pPr>
        <w:suppressAutoHyphens/>
        <w:spacing w:line="360" w:lineRule="atLeast"/>
        <w:jc w:val="center"/>
        <w:rPr>
          <w:rFonts w:ascii="Times New Roman" w:hAnsi="Times New Roman"/>
          <w:color w:val="000000" w:themeColor="text1"/>
          <w:sz w:val="28"/>
          <w:szCs w:val="28"/>
          <w:lang w:eastAsia="ar-SA"/>
        </w:rPr>
      </w:pPr>
      <w:r>
        <w:rPr>
          <w:rFonts w:ascii="Times New Roman" w:hAnsi="Times New Roman"/>
          <w:noProof/>
          <w:color w:val="000000" w:themeColor="text1"/>
          <w:sz w:val="28"/>
          <w:szCs w:val="28"/>
          <w:lang w:eastAsia="ru-RU"/>
        </w:rPr>
        <w:drawing>
          <wp:inline distT="0" distB="0" distL="0" distR="0">
            <wp:extent cx="5822950" cy="4382135"/>
            <wp:effectExtent l="0" t="0" r="6350" b="0"/>
            <wp:docPr id="81"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ar-SA"/>
        </w:rPr>
        <w:t>Соотношение количества лицевых счетов, открытых УБП государственных внебюджетных фондов в ТОФК, в разрезе государственных</w:t>
      </w:r>
      <w:r>
        <w:rPr>
          <w:rFonts w:ascii="Times New Roman" w:hAnsi="Times New Roman"/>
          <w:color w:val="000000" w:themeColor="text1"/>
          <w:sz w:val="28"/>
          <w:szCs w:val="28"/>
        </w:rPr>
        <w:t xml:space="preserve"> внебюджетных фондов, приведено на диаграмме.</w:t>
      </w:r>
    </w:p>
    <w:p>
      <w:pPr>
        <w:pageBreakBefore/>
        <w:suppressAutoHyphens/>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18</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375081" cy="3498574"/>
            <wp:effectExtent l="0" t="0" r="0" b="6985"/>
            <wp:docPr id="80" name="Диаграмма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1.1.4. Обеспечение территориальными органами Федерального казначейства наличными денежными средствами организаций сектора государственного управления</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 2016 году на процесс обеспечения наличными денежными средствами организаций сектора государственного управления оказывали существенное влияние внешние факторы.</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 сложившихся реалиях, когда проводимые Банком России мероприятия, направленные на создание стабильной банковской системы, связаны подчас с отзывом лицензии на осуществление банковской деятельности у значительного количества кредитных организаций, основной задачей стоящей перед ТОФК стало обеспечение сохранности средств организаций сектора государственного управления с сохранением достигнутого уровня обслуживания клиентов.</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Процесс обеспечения ТОФК в 2016 году наличными денежными средствами организаций сектора государственного управления осуществлялся в условиях реализации приоритетной модели взаимодействия ПАО «Сбербанк России» и Федерального казначейства </w:t>
      </w:r>
      <w:r>
        <w:rPr>
          <w:rFonts w:ascii="Times New Roman" w:hAnsi="Times New Roman"/>
          <w:color w:val="000000" w:themeColor="text1"/>
          <w:sz w:val="28"/>
          <w:szCs w:val="28"/>
          <w:lang w:eastAsia="ar-SA"/>
        </w:rPr>
        <w:br/>
        <w:t>при обеспечении наличными денежными средствами организаций сектора государственного управления в 2015–2017 годах (далее – Приоритетная модель), одобренной соглашением о сотрудничестве между ПАО «Сбербанк России» и Федеральным казначейством.</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bCs/>
          <w:color w:val="000000" w:themeColor="text1"/>
          <w:sz w:val="28"/>
          <w:szCs w:val="28"/>
          <w:lang w:eastAsia="ar-SA"/>
        </w:rPr>
        <w:lastRenderedPageBreak/>
        <w:t xml:space="preserve">Благодаря реализации Приоритетной модели качественно вырос уровень предлагаемых ПАО «Сбербанк России» </w:t>
      </w:r>
      <w:r>
        <w:rPr>
          <w:rFonts w:ascii="Times New Roman" w:hAnsi="Times New Roman"/>
          <w:color w:val="000000" w:themeColor="text1"/>
          <w:sz w:val="28"/>
          <w:szCs w:val="28"/>
          <w:lang w:eastAsia="ar-SA"/>
        </w:rPr>
        <w:t xml:space="preserve">банковских сервисов, услуг и продуктов, что послужило импульсом полномасштабного использования ТОФК таких автоматизированных систем, как «Сбербанк Корпорация» </w:t>
      </w:r>
      <w:r>
        <w:rPr>
          <w:rFonts w:ascii="Times New Roman" w:hAnsi="Times New Roman"/>
          <w:color w:val="000000" w:themeColor="text1"/>
          <w:sz w:val="28"/>
          <w:szCs w:val="28"/>
          <w:lang w:eastAsia="ar-SA"/>
        </w:rPr>
        <w:br/>
        <w:t>и «Сбербанк Бизнес Онлайн».</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 рамках «пилотного» проекта на базе ТОФК проведена апробация новой для бюджетной сферы технологии «самоинкассация».</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Новый сервис «самоинкассация» позволяет осуществлять внесение денежных средств с помощью устройств самообслуживания в режиме реального времени без использования бумажных форм документов.</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Федеральным казначейством и ПАО «Сбербанк России» будет продолжена работа по адаптации </w:t>
      </w:r>
      <w:r>
        <w:rPr>
          <w:rFonts w:ascii="Times New Roman" w:hAnsi="Times New Roman"/>
          <w:color w:val="000000" w:themeColor="text1"/>
          <w:sz w:val="28"/>
          <w:szCs w:val="28"/>
          <w:lang w:eastAsia="ar-SA"/>
        </w:rPr>
        <w:t>технологии «самоинкассация»</w:t>
      </w:r>
      <w:r>
        <w:rPr>
          <w:rFonts w:ascii="Times New Roman" w:hAnsi="Times New Roman"/>
          <w:color w:val="000000" w:themeColor="text1"/>
          <w:sz w:val="28"/>
          <w:szCs w:val="28"/>
          <w:lang w:eastAsia="ar-SA"/>
        </w:rPr>
        <w:br/>
        <w:t>к бюджетной сфере.</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Также будет продолжена работа полномасштабного внедрения банковских технологий и банковской инфраструктуры в рамках Приоритетной модели.</w:t>
      </w:r>
    </w:p>
    <w:p>
      <w:pPr>
        <w:suppressAutoHyphens/>
        <w:autoSpaceDE w:val="0"/>
        <w:autoSpaceDN w:val="0"/>
        <w:adjustRightInd w:val="0"/>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Одновременно продолжается сотрудничество Федерального казначейства с иными кредитными организациями (принимающими участие в аукционах на предоставление услуг) при обеспечении наличными денежными средствами.</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В рамках Межведомственного плана мероприятий по реализации вопросов взаимодействия Федерального казначейства и Центрального банка Российской Федерации на 2016−2017 годы Федеральным казначейством продолжена работа, направленная на исключение случаев дублирования электронного документооборота документами на бумажном носителе </w:t>
      </w:r>
      <w:r>
        <w:rPr>
          <w:rFonts w:ascii="Times New Roman" w:hAnsi="Times New Roman"/>
          <w:color w:val="000000" w:themeColor="text1"/>
          <w:sz w:val="28"/>
          <w:szCs w:val="28"/>
          <w:lang w:eastAsia="ar-SA"/>
        </w:rPr>
        <w:br/>
        <w:t>в финансовой сфере.</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В 2016 году Федеральным казначейством согласованы с Центральным банком Российской Федерации проекты форм электронных документов </w:t>
      </w:r>
      <w:r>
        <w:rPr>
          <w:rFonts w:ascii="Times New Roman" w:hAnsi="Times New Roman"/>
          <w:color w:val="000000" w:themeColor="text1"/>
          <w:sz w:val="28"/>
          <w:szCs w:val="28"/>
          <w:lang w:eastAsia="ar-SA"/>
        </w:rPr>
        <w:br/>
        <w:t>для взноса/получения наличных денежных средств организациями сектора государственного управления и бизнес-процесс электронного документооборота при совершении кассовых операций организациями сектора государственного управления.</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В 2017 году запланирована работа по проведению эксперимента </w:t>
      </w:r>
      <w:r>
        <w:rPr>
          <w:rFonts w:ascii="Times New Roman" w:hAnsi="Times New Roman"/>
          <w:color w:val="000000" w:themeColor="text1"/>
          <w:sz w:val="28"/>
          <w:szCs w:val="28"/>
          <w:lang w:eastAsia="ar-SA"/>
        </w:rPr>
        <w:br/>
        <w:t xml:space="preserve">по использованию универсального документа для обеспечения наличными денежными средствами/универсального электронного документа </w:t>
      </w:r>
      <w:r>
        <w:rPr>
          <w:rFonts w:ascii="Times New Roman" w:hAnsi="Times New Roman"/>
          <w:color w:val="000000" w:themeColor="text1"/>
          <w:sz w:val="28"/>
          <w:szCs w:val="28"/>
          <w:lang w:eastAsia="ar-SA"/>
        </w:rPr>
        <w:br/>
        <w:t>для внесения наличных денежных средств.</w:t>
      </w:r>
    </w:p>
    <w:p>
      <w:pPr>
        <w:suppressAutoHyphens/>
        <w:autoSpaceDE w:val="0"/>
        <w:autoSpaceDN w:val="0"/>
        <w:adjustRightInd w:val="0"/>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Эти и другие направления деятельности в рамках обеспечения наличными денежными средствами создают социальные и технические </w:t>
      </w:r>
      <w:r>
        <w:rPr>
          <w:rFonts w:ascii="Times New Roman" w:hAnsi="Times New Roman"/>
          <w:color w:val="000000" w:themeColor="text1"/>
          <w:sz w:val="28"/>
          <w:szCs w:val="28"/>
          <w:lang w:eastAsia="ar-SA"/>
        </w:rPr>
        <w:lastRenderedPageBreak/>
        <w:t>предпосылки для минимизации наличного денежного обращения в секторе государственного управления.</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1.1.5. Порядок формирования и ведения Реестра участников бюджетного процесса, а также юридических лиц, не являющихся участниками бюджетного процесса</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выполнения мероприятий по реализации положений приказа </w:t>
      </w:r>
      <w:r>
        <w:rPr>
          <w:rFonts w:ascii="Times New Roman" w:hAnsi="Times New Roman"/>
          <w:color w:val="000000" w:themeColor="text1"/>
          <w:sz w:val="28"/>
          <w:szCs w:val="28"/>
          <w:lang w:eastAsia="ar-SA"/>
        </w:rPr>
        <w:t>Министерства финансов Российской Федерации от 23 декабря 2014 г. № 163н «О Порядке формирования и ведения реестра участников бюджетного процесса, а также юридических лиц, не являющихся участниками бюджетного процесса» (далее – Приказ № 163н)</w:t>
      </w:r>
      <w:r>
        <w:rPr>
          <w:rFonts w:ascii="Times New Roman" w:hAnsi="Times New Roman"/>
          <w:color w:val="000000" w:themeColor="text1"/>
          <w:sz w:val="28"/>
          <w:szCs w:val="28"/>
        </w:rPr>
        <w:t xml:space="preserve"> в 2016 году проведена масштабная работа с финансовыми органами субъектов Российской Федерации (муниципальных образований), органами управления территориальными государственными внебюджетными фондами по решению методологических вопросов и вопросов, связанных </w:t>
      </w:r>
      <w:r>
        <w:rPr>
          <w:rFonts w:ascii="Times New Roman" w:hAnsi="Times New Roman"/>
          <w:color w:val="000000" w:themeColor="text1"/>
          <w:sz w:val="28"/>
          <w:szCs w:val="28"/>
        </w:rPr>
        <w:br/>
        <w:t>с апробацией применения в бюджетном процессе уровня субъекта Российской Федерации, муниципального образования данных, содержащихся в Реестре УБП и НУБП.</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целях совершенствования процесса включения информации и документов об организациях в Реестр УБП и НУБП проведены мероприятия по внесению изменений в Приказ № 163н.</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Результатом осуществления указанных мероприятий стало утверждение приказа </w:t>
      </w:r>
      <w:r>
        <w:rPr>
          <w:rFonts w:ascii="Times New Roman" w:hAnsi="Times New Roman"/>
          <w:color w:val="000000" w:themeColor="text1"/>
          <w:sz w:val="28"/>
          <w:szCs w:val="28"/>
          <w:lang w:eastAsia="ar-SA"/>
        </w:rPr>
        <w:t xml:space="preserve">Минфина России от 3 ноября 2016 г. № 203н </w:t>
      </w:r>
      <w:r>
        <w:rPr>
          <w:rFonts w:ascii="Times New Roman" w:hAnsi="Times New Roman"/>
          <w:color w:val="000000" w:themeColor="text1"/>
          <w:sz w:val="28"/>
          <w:szCs w:val="28"/>
          <w:lang w:eastAsia="ar-SA"/>
        </w:rPr>
        <w:br/>
        <w:t xml:space="preserve">«О внесении изменений в приказ Министерства финансов Российской Федерации от 23 декабря 2014 г. № 163н «О Порядке формирования </w:t>
      </w:r>
      <w:r>
        <w:rPr>
          <w:rFonts w:ascii="Times New Roman" w:hAnsi="Times New Roman"/>
          <w:color w:val="000000" w:themeColor="text1"/>
          <w:sz w:val="28"/>
          <w:szCs w:val="28"/>
          <w:lang w:eastAsia="ar-SA"/>
        </w:rPr>
        <w:br/>
        <w:t>и ведения реестра участников бюджетного процесса, а также юридических лиц, не являющихся участниками бюджетного процесса» (далее – приказ Минфина России № 203н)</w:t>
      </w:r>
      <w:r>
        <w:rPr>
          <w:rFonts w:ascii="Times New Roman" w:hAnsi="Times New Roman"/>
          <w:color w:val="000000" w:themeColor="text1"/>
          <w:sz w:val="28"/>
          <w:szCs w:val="28"/>
        </w:rPr>
        <w:t>.</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2017 году будет продолжена работа по оптимизации процесса включения данных об организациях в Реестр УБП и НУБП.</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1.1.6. Открытие и ведение лицевых счетов распорядителей </w:t>
      </w:r>
      <w:r>
        <w:rPr>
          <w:rFonts w:ascii="Times New Roman" w:hAnsi="Times New Roman"/>
          <w:b/>
          <w:color w:val="000000" w:themeColor="text1"/>
          <w:sz w:val="28"/>
          <w:szCs w:val="28"/>
        </w:rPr>
        <w:br/>
        <w:t>и получателей средств бюджета Союзного государства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кассового облуживания исполнения бюджета Союзного государства Федеральное казначейство приняло участие в разработке </w:t>
      </w:r>
      <w:r>
        <w:rPr>
          <w:rFonts w:ascii="Times New Roman" w:hAnsi="Times New Roman"/>
          <w:color w:val="000000" w:themeColor="text1"/>
          <w:sz w:val="28"/>
          <w:szCs w:val="28"/>
        </w:rPr>
        <w:br/>
        <w:t>и согласовании проектов нормативных документов, регулирующих бюджетный процесс Союзного государства, в 2016 году были утверждены: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постановление Совета Министров Союзного государства </w:t>
      </w:r>
      <w:r>
        <w:rPr>
          <w:rFonts w:ascii="Times New Roman" w:hAnsi="Times New Roman"/>
          <w:color w:val="000000" w:themeColor="text1"/>
          <w:sz w:val="28"/>
          <w:szCs w:val="28"/>
        </w:rPr>
        <w:br/>
        <w:t xml:space="preserve">от 22 декабря 2016 г. № 34 «О Временном порядке исполнения бюджета Союзного государства через территориальные органы Федерального </w:t>
      </w:r>
      <w:r>
        <w:rPr>
          <w:rFonts w:ascii="Times New Roman" w:hAnsi="Times New Roman"/>
          <w:color w:val="000000" w:themeColor="text1"/>
          <w:sz w:val="28"/>
          <w:szCs w:val="28"/>
        </w:rPr>
        <w:lastRenderedPageBreak/>
        <w:t>казначейства и органы государственного казначейства Республики Беларусь»;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постановление Совета Министров Союзного государства </w:t>
      </w:r>
      <w:r>
        <w:rPr>
          <w:rFonts w:ascii="Times New Roman" w:hAnsi="Times New Roman"/>
          <w:color w:val="000000" w:themeColor="text1"/>
          <w:sz w:val="28"/>
          <w:szCs w:val="28"/>
        </w:rPr>
        <w:br/>
        <w:t xml:space="preserve">от 29 декабря 2016 г. № 37 «О порядке применения мер принуждения </w:t>
      </w:r>
      <w:r>
        <w:rPr>
          <w:rFonts w:ascii="Times New Roman" w:hAnsi="Times New Roman"/>
          <w:color w:val="000000" w:themeColor="text1"/>
          <w:sz w:val="28"/>
          <w:szCs w:val="28"/>
        </w:rPr>
        <w:br/>
        <w:t xml:space="preserve">за использование средств бюджета Союзного государства не по целевому назначению и (или) с нарушением НПА Союзного государства </w:t>
      </w:r>
      <w:r>
        <w:rPr>
          <w:rFonts w:ascii="Times New Roman" w:hAnsi="Times New Roman"/>
          <w:color w:val="000000" w:themeColor="text1"/>
          <w:sz w:val="28"/>
          <w:szCs w:val="28"/>
        </w:rPr>
        <w:br/>
        <w:t>и или государств-участников Договора о создании Союзного государства».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Федеральным казначейством был подготовлен </w:t>
      </w:r>
      <w:r>
        <w:rPr>
          <w:rFonts w:ascii="Times New Roman" w:hAnsi="Times New Roman"/>
          <w:color w:val="000000" w:themeColor="text1"/>
          <w:sz w:val="28"/>
          <w:szCs w:val="28"/>
        </w:rPr>
        <w:br/>
        <w:t>и согласован с Постоянным Комитетом Союзного государства и Минфина России проект порядка открытия и ведения лицевых счетов по учету средств бюджета Союзного государства, доведения объемов финансирования, кассового обслуживания исполнения бюджета Союзного государства и санкционирования расходов получателей средств бюджета Союзного государства на территории Российской Федерации.</w:t>
      </w:r>
    </w:p>
    <w:p>
      <w:pPr>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Порядок открытия и ведения лицевых счетов по учету средств бюджета Союзного государства, доведения объемов финансирования, кассового обслуживания исполнения бюджета Союзного государства </w:t>
      </w:r>
      <w:r>
        <w:rPr>
          <w:rFonts w:ascii="Times New Roman" w:hAnsi="Times New Roman"/>
          <w:color w:val="000000" w:themeColor="text1"/>
          <w:sz w:val="28"/>
          <w:szCs w:val="28"/>
        </w:rPr>
        <w:br/>
        <w:t xml:space="preserve">и санкционирования расходов получателей средств бюджета Союзного государства на территории Российской Федерации утвержден распоряжением Государственного секретаря Союзного государства </w:t>
      </w:r>
      <w:r>
        <w:rPr>
          <w:rFonts w:ascii="Times New Roman" w:hAnsi="Times New Roman"/>
          <w:color w:val="000000" w:themeColor="text1"/>
          <w:sz w:val="28"/>
          <w:szCs w:val="28"/>
        </w:rPr>
        <w:br/>
        <w:t>от 28 декабря 2016 г. 60-ргс.</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1.1.7. Кассовое обслуживание исполнения бюджетов бюджетной системы Российской Федерации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1 января 2017 года в органах Федерального казначейства ведется обслуживание 367 321 лицевого счета УБП, из них </w:t>
      </w:r>
      <w:r>
        <w:rPr>
          <w:rFonts w:ascii="Times New Roman" w:hAnsi="Times New Roman"/>
          <w:color w:val="000000" w:themeColor="text1"/>
          <w:sz w:val="28"/>
          <w:szCs w:val="28"/>
        </w:rPr>
        <w:br/>
        <w:t>в разрезе бюджетов бюджетной системы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42 366 лицевых счетов УБП федерального уровня;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35 286 лицевых счетов УБП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172 378 лицевых счетов УБП муниципальных образований;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4 766 лицевых счетов УБП ГВФ РФ;</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363 лицевых счета УБП территориальных ГВФ РФ;</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112 162 лицевых счета, предназначенных для отражения операций со средствами организаций, а также бюджетных (автономных) учреждений.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состоянию на 1 января 2017 года в органах Федерального казначейства бюджетным и автономным учреждениям открыто: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102 254 лицевых счета,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из них федеральным бюджетным и федеральным автономным учреждениям – 11 203 лицевых счета,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федеральным автономным учреждениям – 10 610 лицевых счетов, </w:t>
      </w:r>
      <w:r>
        <w:rPr>
          <w:rFonts w:ascii="Times New Roman" w:hAnsi="Times New Roman"/>
          <w:color w:val="000000" w:themeColor="text1"/>
          <w:sz w:val="28"/>
          <w:szCs w:val="28"/>
        </w:rPr>
        <w:br/>
        <w:t>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5 647 лицевых счетов, предназначенных для учета операций </w:t>
      </w:r>
      <w:r>
        <w:rPr>
          <w:rFonts w:ascii="Times New Roman" w:hAnsi="Times New Roman"/>
          <w:color w:val="000000" w:themeColor="text1"/>
          <w:sz w:val="28"/>
          <w:szCs w:val="28"/>
        </w:rPr>
        <w:br/>
        <w:t>со средствами, полученными в виде субсидий на выполнение государственного задания, а также от оказания платных услуг;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4 565 лицевых счетов, предназначенных для учета операций </w:t>
      </w:r>
      <w:r>
        <w:rPr>
          <w:rFonts w:ascii="Times New Roman" w:hAnsi="Times New Roman"/>
          <w:color w:val="000000" w:themeColor="text1"/>
          <w:sz w:val="28"/>
          <w:szCs w:val="28"/>
        </w:rPr>
        <w:br/>
        <w:t>со средствами, полученными в виде субсидий на иные цели, а также бюджетных инвестиций;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398 лицевых счетов бюджетного учреждения для учета операций </w:t>
      </w:r>
      <w:r>
        <w:rPr>
          <w:rFonts w:ascii="Times New Roman" w:hAnsi="Times New Roman"/>
          <w:color w:val="000000" w:themeColor="text1"/>
          <w:sz w:val="28"/>
          <w:szCs w:val="28"/>
        </w:rPr>
        <w:br/>
        <w:t>со средствами обязательного медицинского страхования;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федеральным бюджетным учреждениям – 593 лицевых счета, </w:t>
      </w:r>
      <w:r>
        <w:rPr>
          <w:rFonts w:ascii="Times New Roman" w:hAnsi="Times New Roman"/>
          <w:color w:val="000000" w:themeColor="text1"/>
          <w:sz w:val="28"/>
          <w:szCs w:val="28"/>
        </w:rPr>
        <w:br/>
        <w:t>из них: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321 лицевой счет, предназначенный для учета операций </w:t>
      </w:r>
      <w:r>
        <w:rPr>
          <w:rFonts w:ascii="Times New Roman" w:hAnsi="Times New Roman"/>
          <w:color w:val="000000" w:themeColor="text1"/>
          <w:sz w:val="28"/>
          <w:szCs w:val="28"/>
        </w:rPr>
        <w:br/>
        <w:t>со средствами, полученными в виде субсидий на выполнение государственного задания, а также от оказания платных услуг;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249 лицевых счетов, предназначенных для учета операций </w:t>
      </w:r>
      <w:r>
        <w:rPr>
          <w:rFonts w:ascii="Times New Roman" w:hAnsi="Times New Roman"/>
          <w:color w:val="000000" w:themeColor="text1"/>
          <w:sz w:val="28"/>
          <w:szCs w:val="28"/>
        </w:rPr>
        <w:br/>
        <w:t>со средствами, полученными в виде субсидий на иные цели, а также бюджетных инвестиций;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23 лицевых счета автономного учреждения для учета операций </w:t>
      </w:r>
      <w:r>
        <w:rPr>
          <w:rFonts w:ascii="Times New Roman" w:hAnsi="Times New Roman"/>
          <w:color w:val="000000" w:themeColor="text1"/>
          <w:sz w:val="28"/>
          <w:szCs w:val="28"/>
        </w:rPr>
        <w:br/>
        <w:t>со средствами обязательного медицинского страхования.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Обеспечены подключение к </w:t>
      </w:r>
      <w:r>
        <w:rPr>
          <w:rFonts w:ascii="Times New Roman" w:hAnsi="Times New Roman"/>
          <w:color w:val="000000" w:themeColor="text1"/>
          <w:sz w:val="28"/>
          <w:szCs w:val="28"/>
          <w:lang w:eastAsia="ru-RU"/>
        </w:rPr>
        <w:t>ГИИС «Электронный бюджет»</w:t>
      </w:r>
      <w:r>
        <w:rPr>
          <w:rFonts w:ascii="Times New Roman" w:hAnsi="Times New Roman"/>
          <w:color w:val="000000" w:themeColor="text1"/>
          <w:sz w:val="28"/>
          <w:szCs w:val="28"/>
        </w:rPr>
        <w:t xml:space="preserve"> и работа «пилотных» главных распорядителей бюджетных средств и «пилотных» ТОФК в части учета бюджетных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Обеспечено проведение апробации учета ТОФК бюджетных обязательств получателей средств федерального бюджета в ГИИС «Электронный бюджет». Проведено обучение ГРБС, получателей средств федерального бюджета и ТОФК по работе с бюджетными обязательствами </w:t>
      </w:r>
      <w:r>
        <w:rPr>
          <w:rFonts w:ascii="Times New Roman" w:hAnsi="Times New Roman"/>
          <w:color w:val="000000" w:themeColor="text1"/>
          <w:sz w:val="28"/>
          <w:szCs w:val="28"/>
        </w:rPr>
        <w:br/>
        <w:t>в ГИИС «Электронный бюджет».</w:t>
      </w:r>
    </w:p>
    <w:p>
      <w:pPr>
        <w:spacing w:after="0" w:line="360" w:lineRule="atLeast"/>
        <w:ind w:firstLine="709"/>
        <w:jc w:val="both"/>
        <w:rPr>
          <w:rFonts w:ascii="Times New Roman" w:hAnsi="Times New Roman"/>
          <w:i/>
          <w:color w:val="000000" w:themeColor="text1"/>
          <w:sz w:val="28"/>
          <w:szCs w:val="28"/>
        </w:rPr>
      </w:pPr>
      <w:r>
        <w:rPr>
          <w:rFonts w:ascii="Times New Roman" w:hAnsi="Times New Roman"/>
          <w:color w:val="000000" w:themeColor="text1"/>
          <w:sz w:val="28"/>
          <w:szCs w:val="28"/>
        </w:rPr>
        <w:t>Федеральным казначейством в 2016 году проведены подготовительные мероприятия по централизации операций клиентов закрытого контура ТОФК на базе МОУ ФК.</w:t>
      </w:r>
    </w:p>
    <w:p>
      <w:pPr>
        <w:pStyle w:val="21"/>
        <w:tabs>
          <w:tab w:val="left" w:pos="0"/>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1.1.8. Ведение Реестра участников бюджетного процесса, а также юридических лиц, не являющихся участниками бюджетного процесса</w:t>
      </w:r>
    </w:p>
    <w:p>
      <w:pPr>
        <w:suppressAutoHyphens/>
        <w:autoSpaceDE w:val="0"/>
        <w:autoSpaceDN w:val="0"/>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 соответствии с Приказом № 163н Федеральным казначейством проводится работа по формированию и ведению Реестра УБП и НУБП.</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По состоянию на 1 января 2017 года в Реестр УБП и НУБП внесена информация о 25 857 организациях федерального уровня, а также уровня бюджетов государственных внебюджетных фондов, в том числе о 109 </w:t>
      </w:r>
      <w:r>
        <w:rPr>
          <w:rFonts w:ascii="Times New Roman" w:hAnsi="Times New Roman"/>
          <w:color w:val="000000" w:themeColor="text1"/>
          <w:sz w:val="28"/>
          <w:szCs w:val="28"/>
          <w:lang w:eastAsia="ar-SA"/>
        </w:rPr>
        <w:lastRenderedPageBreak/>
        <w:t>Уполномоченных организациях</w:t>
      </w:r>
      <w:r>
        <w:rPr>
          <w:rFonts w:ascii="Times New Roman" w:hAnsi="Times New Roman"/>
          <w:color w:val="000000" w:themeColor="text1"/>
          <w:sz w:val="28"/>
          <w:szCs w:val="28"/>
          <w:vertAlign w:val="superscript"/>
          <w:lang w:eastAsia="ar-SA"/>
        </w:rPr>
        <w:footnoteReference w:customMarkFollows="1" w:id="3"/>
        <w:sym w:font="Symbol" w:char="F02A"/>
      </w:r>
      <w:r>
        <w:rPr>
          <w:rFonts w:ascii="Times New Roman" w:hAnsi="Times New Roman"/>
          <w:color w:val="000000" w:themeColor="text1"/>
          <w:sz w:val="28"/>
          <w:szCs w:val="28"/>
          <w:lang w:eastAsia="ar-SA"/>
        </w:rPr>
        <w:t xml:space="preserve"> и о 25 748 подведомственных организациях:</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8 393 – федеральные органы государственной власти и их территориальные органы;</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7 639 – казенные учреждения;</w:t>
      </w:r>
    </w:p>
    <w:p>
      <w:pPr>
        <w:tabs>
          <w:tab w:val="left" w:pos="7663"/>
        </w:tabs>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5 969 – бюджетные учреждения;</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369 – автономные учреждения;</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882 – унитарные предприятия, государственные корпорации, иные юридические лица;</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2 102 – организации бюджета ПФ РФ;</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502 – организации бюджета Фонда Социального Страхования Российской Федерации (далее – ФСС РФ);</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1 – организация ФФОМС.</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В течение 2016 года с ГРБС, о</w:t>
      </w:r>
      <w:r>
        <w:rPr>
          <w:rFonts w:ascii="Times New Roman" w:hAnsi="Times New Roman"/>
          <w:color w:val="000000" w:themeColor="text1"/>
          <w:sz w:val="28"/>
          <w:szCs w:val="28"/>
          <w:lang w:eastAsia="ru-RU"/>
        </w:rPr>
        <w:t xml:space="preserve">рганами ГВФ РФ, федеральными органами государственной власти (государственными органами), осуществляющими права собственника имущества федеральных государственных унитарных предприятий, Центральным банком Российской Федерации, государственными корпорациями </w:t>
      </w:r>
      <w:r>
        <w:rPr>
          <w:rFonts w:ascii="Times New Roman" w:hAnsi="Times New Roman"/>
          <w:color w:val="000000" w:themeColor="text1"/>
          <w:sz w:val="28"/>
          <w:szCs w:val="28"/>
          <w:lang w:eastAsia="ru-RU"/>
        </w:rPr>
        <w:br/>
        <w:t xml:space="preserve">и государственными компаниями, </w:t>
      </w:r>
      <w:r>
        <w:rPr>
          <w:rFonts w:ascii="Times New Roman" w:hAnsi="Times New Roman"/>
          <w:color w:val="000000" w:themeColor="text1"/>
          <w:sz w:val="28"/>
          <w:szCs w:val="28"/>
        </w:rPr>
        <w:t>ТОФК</w:t>
      </w:r>
      <w:r>
        <w:rPr>
          <w:rFonts w:ascii="Times New Roman" w:hAnsi="Times New Roman"/>
          <w:color w:val="000000" w:themeColor="text1"/>
          <w:sz w:val="28"/>
          <w:szCs w:val="28"/>
          <w:lang w:eastAsia="ar-SA"/>
        </w:rPr>
        <w:t xml:space="preserve"> проводилась работа </w:t>
      </w:r>
      <w:r>
        <w:rPr>
          <w:rFonts w:ascii="Times New Roman" w:hAnsi="Times New Roman"/>
          <w:color w:val="000000" w:themeColor="text1"/>
          <w:sz w:val="28"/>
          <w:szCs w:val="28"/>
          <w:lang w:eastAsia="ar-SA"/>
        </w:rPr>
        <w:br/>
        <w:t>по координации действий, направленных на обеспечение корректного формирования Реестра УБП и НУБП.</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Кроме того, издан приказ Минфина России № 203н.</w:t>
      </w:r>
    </w:p>
    <w:p>
      <w:pPr>
        <w:pStyle w:val="21"/>
        <w:pageBreakBefore/>
        <w:tabs>
          <w:tab w:val="left" w:pos="0"/>
          <w:tab w:val="left" w:pos="993"/>
          <w:tab w:val="left" w:pos="1276"/>
        </w:tabs>
        <w:spacing w:line="240" w:lineRule="auto"/>
        <w:ind w:firstLine="709"/>
        <w:jc w:val="both"/>
        <w:rPr>
          <w:b/>
          <w:color w:val="000000" w:themeColor="text1"/>
          <w:sz w:val="28"/>
          <w:szCs w:val="28"/>
        </w:rPr>
      </w:pPr>
      <w:r>
        <w:rPr>
          <w:b/>
          <w:color w:val="000000" w:themeColor="text1"/>
          <w:sz w:val="28"/>
          <w:szCs w:val="28"/>
        </w:rPr>
        <w:lastRenderedPageBreak/>
        <w:t>1.1.9. Ведение Реестра государственных заданий на оказание государственных услуг (выполнение работ)</w:t>
      </w:r>
    </w:p>
    <w:p>
      <w:pPr>
        <w:autoSpaceDE w:val="0"/>
        <w:autoSpaceDN w:val="0"/>
        <w:adjustRightInd w:val="0"/>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rPr>
        <w:t xml:space="preserve">В целях реализации </w:t>
      </w:r>
      <w:hyperlink r:id="rId30" w:history="1">
        <w:r>
          <w:rPr>
            <w:rFonts w:ascii="Times New Roman" w:hAnsi="Times New Roman"/>
            <w:color w:val="000000" w:themeColor="text1"/>
            <w:sz w:val="28"/>
            <w:szCs w:val="28"/>
          </w:rPr>
          <w:t>пункта 9</w:t>
        </w:r>
      </w:hyperlink>
      <w:r>
        <w:rPr>
          <w:rFonts w:ascii="Times New Roman" w:hAnsi="Times New Roman"/>
          <w:color w:val="000000" w:themeColor="text1"/>
          <w:sz w:val="28"/>
          <w:szCs w:val="28"/>
        </w:rPr>
        <w:t xml:space="preserve"> Положения о формировании государственного задания на оказание государственных услуг (выполнение работ) в отношении федеральных государственных учреждений </w:t>
      </w:r>
      <w:r>
        <w:rPr>
          <w:rFonts w:ascii="Times New Roman" w:hAnsi="Times New Roman"/>
          <w:color w:val="000000" w:themeColor="text1"/>
          <w:sz w:val="28"/>
          <w:szCs w:val="28"/>
        </w:rPr>
        <w:br/>
        <w:t xml:space="preserve">и финансовом обеспечении выполнения государственного задания, утвержденного постановлением Правительства Российской Федерации </w:t>
      </w:r>
      <w:r>
        <w:rPr>
          <w:rFonts w:ascii="Times New Roman" w:hAnsi="Times New Roman"/>
          <w:color w:val="000000" w:themeColor="text1"/>
          <w:sz w:val="28"/>
          <w:szCs w:val="28"/>
        </w:rPr>
        <w:br/>
        <w:t xml:space="preserve">от 26 июня 2015 г. № 640 «О порядке формирования государственного задания на оказание государственных услуг (выполнение работ) </w:t>
      </w:r>
      <w:r>
        <w:rPr>
          <w:rFonts w:ascii="Times New Roman" w:hAnsi="Times New Roman"/>
          <w:color w:val="000000" w:themeColor="text1"/>
          <w:sz w:val="28"/>
          <w:szCs w:val="28"/>
        </w:rPr>
        <w:br/>
        <w:t xml:space="preserve">в отношении федеральных государственных учреждений и финансового обеспечения выполнения государственного задания», обеспечено ведение Реестра государственных заданий на оказание государственных услуг (выполнение работ) (далее – Реестр государственных заданий), порядок ведения и размещения на Официальном сайте ГМУ и </w:t>
      </w:r>
      <w:r>
        <w:rPr>
          <w:rFonts w:ascii="Times New Roman" w:hAnsi="Times New Roman"/>
          <w:color w:val="000000" w:themeColor="text1"/>
          <w:sz w:val="28"/>
          <w:szCs w:val="28"/>
          <w:lang w:eastAsia="ru-RU"/>
        </w:rPr>
        <w:t xml:space="preserve">Едином портале, утвержденного приказом Минфина России от 16 ноября 2015 г. № 177н </w:t>
      </w:r>
      <w:r>
        <w:rPr>
          <w:rFonts w:ascii="Times New Roman" w:hAnsi="Times New Roman"/>
          <w:color w:val="000000" w:themeColor="text1"/>
          <w:sz w:val="28"/>
          <w:szCs w:val="28"/>
          <w:lang w:eastAsia="ru-RU"/>
        </w:rPr>
        <w:br/>
        <w:t>«О порядке ведения реестра государственных заданий на оказание государственных услуг (выполнение работ)».</w:t>
      </w:r>
    </w:p>
    <w:p>
      <w:pPr>
        <w:autoSpaceDE w:val="0"/>
        <w:autoSpaceDN w:val="0"/>
        <w:adjustRightInd w:val="0"/>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По состоянию на 1 января 2017 года в подсистеме «Управление расходами» ГИИС «Электронный бюджет» в Реестр государственных заданий включены информация и документы о 2 274 государственных заданиях, сформированных на 2016 год. </w:t>
      </w:r>
    </w:p>
    <w:p>
      <w:pPr>
        <w:autoSpaceDE w:val="0"/>
        <w:autoSpaceDN w:val="0"/>
        <w:adjustRightInd w:val="0"/>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настоящее время ФОИВ (государственные органы), осуществляющие функции и полномочия учредителя в отношении федеральных бюджетных и автономных учреждений, ГРБС, в ведении которых находятся федеральные казенные учреждения, проводят работу </w:t>
      </w:r>
      <w:r>
        <w:rPr>
          <w:rFonts w:ascii="Times New Roman" w:hAnsi="Times New Roman"/>
          <w:color w:val="000000" w:themeColor="text1"/>
          <w:sz w:val="28"/>
          <w:szCs w:val="28"/>
          <w:lang w:eastAsia="ru-RU"/>
        </w:rPr>
        <w:br/>
        <w:t xml:space="preserve">по формированию и направлению в Федеральное казначейство отчетов </w:t>
      </w:r>
      <w:r>
        <w:rPr>
          <w:rFonts w:ascii="Times New Roman" w:hAnsi="Times New Roman"/>
          <w:color w:val="000000" w:themeColor="text1"/>
          <w:sz w:val="28"/>
          <w:szCs w:val="28"/>
          <w:lang w:eastAsia="ru-RU"/>
        </w:rPr>
        <w:br/>
        <w:t>о выполнении государственных заданий на оказание государственных услуг (выполнение работ).</w:t>
      </w:r>
    </w:p>
    <w:p>
      <w:pPr>
        <w:pStyle w:val="21"/>
        <w:tabs>
          <w:tab w:val="left" w:pos="0"/>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 xml:space="preserve">1.1.10. Ведение реестра банковских гарантий, в том числе закрытого реестра банковских гарантий </w:t>
      </w:r>
    </w:p>
    <w:p>
      <w:pPr>
        <w:pStyle w:val="21"/>
        <w:tabs>
          <w:tab w:val="left" w:pos="0"/>
          <w:tab w:val="left" w:pos="993"/>
          <w:tab w:val="left" w:pos="1276"/>
        </w:tabs>
        <w:spacing w:after="0" w:line="360" w:lineRule="atLeast"/>
        <w:ind w:firstLine="709"/>
        <w:jc w:val="both"/>
        <w:rPr>
          <w:rFonts w:eastAsiaTheme="minorEastAsia"/>
          <w:color w:val="000000" w:themeColor="text1"/>
          <w:sz w:val="28"/>
          <w:szCs w:val="28"/>
        </w:rPr>
      </w:pPr>
      <w:r>
        <w:rPr>
          <w:color w:val="000000" w:themeColor="text1"/>
          <w:sz w:val="28"/>
          <w:szCs w:val="28"/>
          <w:lang w:eastAsia="ar-SA"/>
        </w:rPr>
        <w:t xml:space="preserve">В соответствии с постановлением Правительства Российской Федерации от 8 ноября 2013 г. № 1005 «О банковских гарантиях, используемых для целей Федерального закона «О контрактной системе </w:t>
      </w:r>
      <w:r>
        <w:rPr>
          <w:color w:val="000000" w:themeColor="text1"/>
          <w:sz w:val="28"/>
          <w:szCs w:val="28"/>
          <w:lang w:eastAsia="ar-SA"/>
        </w:rPr>
        <w:br/>
        <w:t xml:space="preserve">в сфере закупок товаров, работ, услуг для обеспечения государственных </w:t>
      </w:r>
      <w:r>
        <w:rPr>
          <w:color w:val="000000" w:themeColor="text1"/>
          <w:sz w:val="28"/>
          <w:szCs w:val="28"/>
          <w:lang w:eastAsia="ar-SA"/>
        </w:rPr>
        <w:br/>
        <w:t xml:space="preserve">и муниципальных нужд» </w:t>
      </w:r>
      <w:r>
        <w:rPr>
          <w:rFonts w:eastAsiaTheme="minorEastAsia"/>
          <w:color w:val="000000" w:themeColor="text1"/>
          <w:sz w:val="28"/>
          <w:szCs w:val="28"/>
        </w:rPr>
        <w:t xml:space="preserve">Федеральное казначейство осуществляет ведение реестра банковских гарантий и его размещение в </w:t>
      </w:r>
      <w:r>
        <w:rPr>
          <w:color w:val="000000" w:themeColor="text1"/>
          <w:sz w:val="28"/>
          <w:szCs w:val="28"/>
        </w:rPr>
        <w:t>ЕИС</w:t>
      </w:r>
      <w:r>
        <w:rPr>
          <w:rFonts w:eastAsiaTheme="minorEastAsia"/>
          <w:color w:val="000000" w:themeColor="text1"/>
          <w:sz w:val="28"/>
          <w:szCs w:val="28"/>
        </w:rPr>
        <w:t>.</w:t>
      </w:r>
    </w:p>
    <w:p>
      <w:pPr>
        <w:suppressAutoHyphens/>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hAnsi="Times New Roman"/>
          <w:color w:val="000000" w:themeColor="text1"/>
          <w:sz w:val="28"/>
          <w:szCs w:val="28"/>
          <w:lang w:eastAsia="ar-SA"/>
        </w:rPr>
        <w:lastRenderedPageBreak/>
        <w:t xml:space="preserve">За весь период функционирования реестра банковских гарантий, </w:t>
      </w:r>
      <w:r>
        <w:rPr>
          <w:rFonts w:ascii="Times New Roman" w:hAnsi="Times New Roman"/>
          <w:color w:val="000000" w:themeColor="text1"/>
          <w:sz w:val="28"/>
          <w:szCs w:val="28"/>
          <w:lang w:eastAsia="ar-SA"/>
        </w:rPr>
        <w:br/>
        <w:t>в ЕИС опубликованы информация и документы о 932,8 тысячах банковских гарантий на общую сумму 2 425,7 млрд рублей.</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Вместе с тем с 11 января 2016 года Федеральное казначейство осуществляет ведение закрытого реестра банковских гарантий, порядок которого утвержден приказом Министерства финансов Российской Федерации от 22 октября 2015 г. № 164н «О порядке формирования </w:t>
      </w:r>
      <w:r>
        <w:rPr>
          <w:rFonts w:ascii="Times New Roman" w:hAnsi="Times New Roman"/>
          <w:color w:val="000000" w:themeColor="text1"/>
          <w:sz w:val="28"/>
          <w:szCs w:val="28"/>
          <w:lang w:eastAsia="ar-SA"/>
        </w:rPr>
        <w:br/>
        <w:t>и направления информации в целях формирования и ведения закрытого реестра банковских гарантий, а также направления Федеральным казначейством выписок и протоколов».</w:t>
      </w:r>
    </w:p>
    <w:p>
      <w:pPr>
        <w:autoSpaceDE w:val="0"/>
        <w:autoSpaceDN w:val="0"/>
        <w:adjustRightInd w:val="0"/>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За 2016 год в закрытый реестр банковских гарантий, предоставленных в качестве обеспечения заявок и (или) исполнения контрактов, если такие заявки или контракты содержат сведения, составляющие государственную тайну, включено 980 банковских гарантий на общую сумму 56 798 млн рублей.</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1.1.11. Совершенствование проведения валютных операций</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в 2016 году разработаны и согласованы </w:t>
      </w:r>
      <w:r>
        <w:rPr>
          <w:rFonts w:ascii="Times New Roman" w:hAnsi="Times New Roman"/>
          <w:color w:val="000000" w:themeColor="text1"/>
          <w:sz w:val="28"/>
          <w:szCs w:val="28"/>
        </w:rPr>
        <w:br/>
        <w:t>с Банком России и Министерством финансов Российской Федерации предложения по созданию системы единого счета Федерального казначейства в иностранных валютах, направленные на совершенствование осуществления платежей клиентов ТОФК в иностранной валюте.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Федеральным казначейством направлены в Министерство финансов Российской Федерации предложения по механизму зачисления </w:t>
      </w:r>
      <w:r>
        <w:rPr>
          <w:rFonts w:ascii="Times New Roman" w:hAnsi="Times New Roman"/>
          <w:color w:val="000000" w:themeColor="text1"/>
          <w:sz w:val="28"/>
          <w:szCs w:val="28"/>
        </w:rPr>
        <w:br/>
        <w:t xml:space="preserve">в доход федерального бюджета иностранной валюты, обращенной </w:t>
      </w:r>
      <w:r>
        <w:rPr>
          <w:rFonts w:ascii="Times New Roman" w:hAnsi="Times New Roman"/>
          <w:color w:val="000000" w:themeColor="text1"/>
          <w:sz w:val="28"/>
          <w:szCs w:val="28"/>
        </w:rPr>
        <w:br/>
        <w:t>в собственность государства и находящейся у ФОИВ.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усиления контроля за расходованием бюджетных средств </w:t>
      </w:r>
      <w:r>
        <w:rPr>
          <w:rFonts w:ascii="Times New Roman" w:hAnsi="Times New Roman"/>
          <w:color w:val="000000" w:themeColor="text1"/>
          <w:sz w:val="28"/>
          <w:szCs w:val="28"/>
        </w:rPr>
        <w:br/>
        <w:t xml:space="preserve">при совершении внешнеторговых сделок, а также реализации государственной программы Российской Федерации «Управление государственными финансами и регулирование финансовых рынков» (далее – Госпрограмма № 40) Федеральным казначейством в 2016 году направлены в Министерство финансов Российской Федерации предложения по внесению изменений в Федеральный закон от 10 декабря 2003 г. </w:t>
      </w:r>
      <w:r>
        <w:rPr>
          <w:rFonts w:ascii="Times New Roman" w:hAnsi="Times New Roman"/>
          <w:color w:val="000000" w:themeColor="text1"/>
          <w:sz w:val="28"/>
          <w:szCs w:val="28"/>
        </w:rPr>
        <w:br/>
        <w:t xml:space="preserve">№ 173-ФЗ «О валютном регулировании и валютном контроле» и </w:t>
      </w:r>
      <w:r>
        <w:rPr>
          <w:rFonts w:ascii="Times New Roman" w:eastAsia="Times New Roman" w:hAnsi="Times New Roman"/>
          <w:color w:val="000000" w:themeColor="text1"/>
          <w:spacing w:val="4"/>
          <w:sz w:val="28"/>
          <w:szCs w:val="28"/>
          <w:lang w:eastAsia="ru-RU"/>
        </w:rPr>
        <w:t>КоАП</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br/>
        <w:t xml:space="preserve">а также предложения для включения в пояснительную записку </w:t>
      </w:r>
      <w:r>
        <w:rPr>
          <w:rFonts w:ascii="Times New Roman" w:hAnsi="Times New Roman"/>
          <w:color w:val="000000" w:themeColor="text1"/>
          <w:sz w:val="28"/>
          <w:szCs w:val="28"/>
        </w:rPr>
        <w:br/>
        <w:t xml:space="preserve">к федеральному закону «О внесении изменений в Федеральный закон </w:t>
      </w:r>
      <w:r>
        <w:rPr>
          <w:rFonts w:ascii="Times New Roman" w:hAnsi="Times New Roman"/>
          <w:color w:val="000000" w:themeColor="text1"/>
          <w:sz w:val="28"/>
          <w:szCs w:val="28"/>
        </w:rPr>
        <w:br/>
        <w:t xml:space="preserve">«О валютном регулировании и валютном контроле» и статью 15.25 Кодекса Российской Федерации об административных правонарушениях». </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lastRenderedPageBreak/>
        <w:t xml:space="preserve">1.1.12. Ведение Реестра соглашений (договоров) о предоставлении из федерального бюджета субсидий юридическим лицам, индивидуальным предпринимателям, физическим лицам-производителям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 </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1 января 2017 года 75 ГРБС в Реестр соглашений включены информация и документы о порядка 37 700 соглашениях (договорах) о предоставлении из федерального бюджета в установленном порядке субсидий, бюджетных инвестиций юридическим лицам, субсидий, субвенций, иных межбюджетных трансфертов, имеющих целевое назначение, бюджетам субъектов Российской Федерации, а также </w:t>
      </w:r>
      <w:r>
        <w:rPr>
          <w:rFonts w:ascii="Times New Roman" w:hAnsi="Times New Roman"/>
          <w:color w:val="000000" w:themeColor="text1"/>
          <w:sz w:val="28"/>
          <w:szCs w:val="28"/>
        </w:rPr>
        <w:br/>
        <w:t>о законодательных и иных НПА Российской Федерации, определяющих правила (порядки) предоставления субсидий, бюджетных инвестиций, межбюджетных трансфертов, в том числе:</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3 922 соглашения и НПА о предоставлении из федерального бюджета субсидий, субвенций и иных межбюджетных трансфертов, имеющих целевое назначение, бюджетам субъектов Российской Федерации;</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30 408 соглашений и НПА о предоставлении из федерального бюджета субсидий, грантов федеральных бюджетных учреждений (далее – ФБУ), из них:</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20 779 соглашений о предоставлении субсидий на финансовое обеспечение выполнения государственного задания на оказание государственных услуг (выполнение работ);</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7 522 соглашения о предоставлении субсидий на иные цели;</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49 соглашений на осуществление капитальных вложений в объекты капитального строительства государственной собственности </w:t>
      </w:r>
      <w:r>
        <w:rPr>
          <w:rFonts w:ascii="Times New Roman" w:hAnsi="Times New Roman"/>
          <w:color w:val="000000" w:themeColor="text1"/>
          <w:sz w:val="28"/>
          <w:szCs w:val="28"/>
        </w:rPr>
        <w:br/>
        <w:t>и на приобретение объектов недвижимого имущества в государственную собственность ФБУ;</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2 058 соглашений о предоставлении грантов в форме субсидий ФБУ;</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823 соглашения о предоставлении из федерального бюджета субсидий, грантов федеральных автономных учреждений (далее – ФАУ), </w:t>
      </w:r>
      <w:r>
        <w:rPr>
          <w:rFonts w:ascii="Times New Roman" w:hAnsi="Times New Roman"/>
          <w:color w:val="000000" w:themeColor="text1"/>
          <w:sz w:val="28"/>
          <w:szCs w:val="28"/>
        </w:rPr>
        <w:br/>
        <w:t>из них:</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537 соглашений на предоставление ФАУ субсидий на финансовое обеспечение выполнения государственного задания на оказание государственных услуг (выполнение работ);</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263 соглашения на предоставление ФАУ субсидий на иные цели;</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соглашения на осуществление капитальных вложений в объекты капитального строительства государственной собственности </w:t>
      </w:r>
      <w:r>
        <w:rPr>
          <w:rFonts w:ascii="Times New Roman" w:hAnsi="Times New Roman"/>
          <w:color w:val="000000" w:themeColor="text1"/>
          <w:sz w:val="28"/>
          <w:szCs w:val="28"/>
        </w:rPr>
        <w:br/>
        <w:t>и на приобретение объектов недвижимого имущества в государственную собственность ФАУ;</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19 соглашений о предоставлении ФАУ грантов в форме субсидий.</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588 соглашений о представлении субсидий иным некоммерческим организациям, не являющимся федеральными государственными учреждениями;</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1 964 соглашения о предоставлении субсидий юридическим лицам (кроме некоммерческих организаций), индивидуальным предпринимателям, физическим лицам-производителям товаров, работ, услуг, в том числе грантов;</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3 соглашения о предоставлении субсидий на осуществление капитальных вложений в объекты капитального строительства государственной собственности государственным унитарным предприятиям;</w:t>
      </w:r>
    </w:p>
    <w:p>
      <w:pPr>
        <w:tabs>
          <w:tab w:val="left" w:pos="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19 соглашений о предоставлении субсидий государственным корпорациям (компаниям).</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1.1.13. Реализация мероприятий «Дорожной карты» организации исполнения Федерального закона «О федеральном бюджете на 2016 год», утвержденной Первым заместителем Министра финансов Российской Федерации Т.Г. Нестеренко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установленные сроки, 9 июня 2016 года, проведен отзыв с лицевых счетов получателей средств федерального бюджета неиспользованных </w:t>
      </w:r>
      <w:r>
        <w:rPr>
          <w:rFonts w:ascii="Times New Roman" w:hAnsi="Times New Roman"/>
          <w:color w:val="000000" w:themeColor="text1"/>
          <w:sz w:val="28"/>
          <w:szCs w:val="28"/>
        </w:rPr>
        <w:br/>
        <w:t xml:space="preserve">на начало 2016 года ЛБО на исполнение государственных контрактов, </w:t>
      </w:r>
      <w:r>
        <w:rPr>
          <w:rFonts w:ascii="Times New Roman" w:hAnsi="Times New Roman"/>
          <w:color w:val="000000" w:themeColor="text1"/>
          <w:sz w:val="28"/>
          <w:szCs w:val="28"/>
        </w:rPr>
        <w:br/>
        <w:t>в пределах которых были увеличены бюджетные ассигнования текущего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Отозвано указанных ЛБО в размере 25,91 млрд рублей,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ГРБС – 19,38 млрд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Федеральным казначейством – 6,54 млрд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Обеспечено приостановление операций на лицевых счетах главных распорядителей (распорядителей) бюджетных средств по доведению ЛБО на предоставление субсидий бюджетам субъектов Российской Федерации </w:t>
      </w:r>
      <w:r>
        <w:rPr>
          <w:rFonts w:ascii="Times New Roman" w:hAnsi="Times New Roman"/>
          <w:color w:val="000000" w:themeColor="text1"/>
          <w:sz w:val="28"/>
          <w:szCs w:val="28"/>
        </w:rPr>
        <w:br/>
        <w:t xml:space="preserve">и операций по постановке на учет соответствующих бюджетных обязательств на лицевых счетах получателей бюджетных средств (лицевых </w:t>
      </w:r>
      <w:r>
        <w:rPr>
          <w:rFonts w:ascii="Times New Roman" w:hAnsi="Times New Roman"/>
          <w:color w:val="000000" w:themeColor="text1"/>
          <w:sz w:val="28"/>
          <w:szCs w:val="28"/>
        </w:rPr>
        <w:lastRenderedPageBreak/>
        <w:t>счетах для учета операций по переданным полномочиям получателя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состоянию на 15 августа 2016 года всего заблокировано средств</w:t>
      </w:r>
      <w:r>
        <w:rPr>
          <w:rFonts w:ascii="Times New Roman" w:hAnsi="Times New Roman"/>
          <w:color w:val="000000" w:themeColor="text1"/>
          <w:sz w:val="28"/>
          <w:szCs w:val="28"/>
        </w:rPr>
        <w:br/>
        <w:t>в связи с приостановлением операций на лицевых счетах ГРБС</w:t>
      </w:r>
      <w:r>
        <w:rPr>
          <w:rFonts w:ascii="Times New Roman" w:hAnsi="Times New Roman"/>
          <w:color w:val="000000" w:themeColor="text1"/>
          <w:sz w:val="28"/>
          <w:szCs w:val="28"/>
        </w:rPr>
        <w:br/>
        <w:t xml:space="preserve">по доведению ЛБО на предоставление субсидий в размере </w:t>
      </w:r>
      <w:r>
        <w:rPr>
          <w:rFonts w:ascii="Times New Roman" w:hAnsi="Times New Roman"/>
          <w:color w:val="000000" w:themeColor="text1"/>
          <w:sz w:val="28"/>
          <w:szCs w:val="28"/>
        </w:rPr>
        <w:br/>
        <w:t>45,46 млрд рублей.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 30 сентября по 12 октября 2016 года проведен отзыв ЛБО, предусмотренных на осуществление закупок товаров, выполнения работ, оказания услуг, со счетов, открытых получателям средств федерального бюджета, в соответствии с положениями пункта 11.1 Постановления № 1456.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Всего отозвано ЛБО, не связанных бюджетными обязательствами </w:t>
      </w:r>
      <w:r>
        <w:rPr>
          <w:rFonts w:ascii="Times New Roman" w:hAnsi="Times New Roman"/>
          <w:color w:val="000000" w:themeColor="text1"/>
          <w:sz w:val="28"/>
          <w:szCs w:val="28"/>
        </w:rPr>
        <w:br/>
        <w:t>до 30 сентября 2016 года, – 10,47 млрд рублей.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1.1.14. Отдельные вопросы по обеспечению исполнения федерального бюджета. Резервный фонд и Фонд национального благосостояния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поддержания макроэкономической устойчивости российской экономики в Российской Федерации созданы Резервный фонд и Фонд национального благосостояния, предусматривавшие сбережение дополнительных нефтегазовых доходов федерального бюджета в этих фондах при благоприятной внешней конъюнктуре и компенсацию потерь </w:t>
      </w:r>
      <w:r>
        <w:rPr>
          <w:rFonts w:ascii="Times New Roman" w:eastAsia="Times New Roman" w:hAnsi="Times New Roman"/>
          <w:color w:val="000000" w:themeColor="text1"/>
          <w:sz w:val="28"/>
          <w:szCs w:val="28"/>
          <w:lang w:eastAsia="ru-RU"/>
        </w:rPr>
        <w:br/>
        <w:t>за счет средств суверенных фондов при ухудшении конъюнктуры.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положениями Бюджетного кодекса Резервный фонд создан с целью обеспечения сбалансированности (покрытия дефицита) федерального бюджета, Фонд национального благосостояния – </w:t>
      </w:r>
      <w:r>
        <w:rPr>
          <w:rFonts w:ascii="Times New Roman" w:eastAsia="Times New Roman" w:hAnsi="Times New Roman"/>
          <w:color w:val="000000" w:themeColor="text1"/>
          <w:sz w:val="28"/>
          <w:szCs w:val="28"/>
          <w:lang w:eastAsia="ru-RU"/>
        </w:rPr>
        <w:br/>
        <w:t>для обеспечения софинансирования добровольных пенсионных накоплений граждан Российской Федерации, а также обеспечения сбалансированности (покрытия дефицита) бюджета ПФ РФ.</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состоянию на 1 января 2016 года объем Резервного фонда и Фонда национального благосостояния составил 3 640,57 млрд рублей </w:t>
      </w:r>
      <w:r>
        <w:rPr>
          <w:rFonts w:ascii="Times New Roman" w:eastAsia="Times New Roman" w:hAnsi="Times New Roman"/>
          <w:color w:val="000000" w:themeColor="text1"/>
          <w:sz w:val="28"/>
          <w:szCs w:val="28"/>
          <w:lang w:eastAsia="ru-RU"/>
        </w:rPr>
        <w:br/>
        <w:t>и 5 227,18 млрд рублей, соответственно.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Федеральным законом</w:t>
      </w:r>
      <w:r>
        <w:rPr>
          <w:rFonts w:ascii="Times New Roman" w:eastAsia="Times New Roman" w:hAnsi="Times New Roman"/>
          <w:color w:val="000000" w:themeColor="text1"/>
          <w:sz w:val="24"/>
          <w:szCs w:val="24"/>
          <w:lang w:eastAsia="ru-RU"/>
        </w:rPr>
        <w:t xml:space="preserve"> </w:t>
      </w:r>
      <w:r>
        <w:rPr>
          <w:rFonts w:ascii="Times New Roman" w:eastAsia="Times New Roman" w:hAnsi="Times New Roman"/>
          <w:color w:val="000000" w:themeColor="text1"/>
          <w:sz w:val="28"/>
          <w:szCs w:val="28"/>
          <w:lang w:eastAsia="ru-RU"/>
        </w:rPr>
        <w:t xml:space="preserve">№ 359-ФЗ в 2016 году было предусмотрено использование Резервного фонда на покрытие дефицита федерального бюджета в объеме 2 136,90 млрд рублей, который в течение года был полностью израсходован в соответствии с приказами Минфина России </w:t>
      </w:r>
      <w:r>
        <w:rPr>
          <w:rFonts w:ascii="Times New Roman" w:eastAsia="Times New Roman" w:hAnsi="Times New Roman"/>
          <w:color w:val="000000" w:themeColor="text1"/>
          <w:sz w:val="28"/>
          <w:szCs w:val="28"/>
          <w:lang w:eastAsia="ru-RU"/>
        </w:rPr>
        <w:br/>
        <w:t xml:space="preserve">от 1 апреля 2016 г. № 104 «Об использовании средств Резервного фонда </w:t>
      </w:r>
      <w:r>
        <w:rPr>
          <w:rFonts w:ascii="Times New Roman" w:eastAsia="Times New Roman" w:hAnsi="Times New Roman"/>
          <w:color w:val="000000" w:themeColor="text1"/>
          <w:sz w:val="28"/>
          <w:szCs w:val="28"/>
          <w:lang w:eastAsia="ru-RU"/>
        </w:rPr>
        <w:br/>
        <w:t xml:space="preserve">в 2016 году на финансирование дефицита федерального бюджета» </w:t>
      </w:r>
      <w:r>
        <w:rPr>
          <w:rFonts w:ascii="Times New Roman" w:eastAsia="Times New Roman" w:hAnsi="Times New Roman"/>
          <w:color w:val="000000" w:themeColor="text1"/>
          <w:sz w:val="28"/>
          <w:szCs w:val="28"/>
          <w:lang w:eastAsia="ru-RU"/>
        </w:rPr>
        <w:br/>
        <w:t xml:space="preserve">и 30 ноября 2016 г. № 532 «Об использовании средств Резервного фонда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в валюте Российской Федерации на покрытие дефицита федерального бюджета в 2016 году».</w:t>
      </w:r>
    </w:p>
    <w:p>
      <w:pPr>
        <w:tabs>
          <w:tab w:val="left" w:pos="2835"/>
        </w:tabs>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Во исполнение Федерального закона от 30 апреля 2008 г. № 56-ФЗ </w:t>
      </w:r>
      <w:r>
        <w:rPr>
          <w:rFonts w:ascii="Times New Roman" w:eastAsia="Times New Roman" w:hAnsi="Times New Roman"/>
          <w:color w:val="000000" w:themeColor="text1"/>
          <w:sz w:val="28"/>
          <w:szCs w:val="28"/>
          <w:lang w:eastAsia="ru-RU"/>
        </w:rPr>
        <w:br/>
        <w:t xml:space="preserve">«О дополнительных страховых взносах на накопительную пенсию </w:t>
      </w:r>
      <w:r>
        <w:rPr>
          <w:rFonts w:ascii="Times New Roman" w:eastAsia="Times New Roman" w:hAnsi="Times New Roman"/>
          <w:color w:val="000000" w:themeColor="text1"/>
          <w:sz w:val="28"/>
          <w:szCs w:val="28"/>
          <w:lang w:eastAsia="ru-RU"/>
        </w:rPr>
        <w:br/>
        <w:t xml:space="preserve">и государственной поддержке формирования пенсионных накоплений», постановления Правительства Российской Федерации от 13 октября 2008 г. № 747 «Об утверждении Правил предоставления межбюджетных трансфертов из федерального бюджета бюджету Пенсионного фонда Российской Федерации на </w:t>
      </w:r>
      <w:proofErr w:type="spellStart"/>
      <w:r>
        <w:rPr>
          <w:rFonts w:ascii="Times New Roman" w:eastAsia="Times New Roman" w:hAnsi="Times New Roman"/>
          <w:color w:val="000000" w:themeColor="text1"/>
          <w:sz w:val="28"/>
          <w:szCs w:val="28"/>
          <w:lang w:eastAsia="ru-RU"/>
        </w:rPr>
        <w:t>софинансирование</w:t>
      </w:r>
      <w:proofErr w:type="spellEnd"/>
      <w:r>
        <w:rPr>
          <w:rFonts w:ascii="Times New Roman" w:eastAsia="Times New Roman" w:hAnsi="Times New Roman"/>
          <w:color w:val="000000" w:themeColor="text1"/>
          <w:sz w:val="28"/>
          <w:szCs w:val="28"/>
          <w:lang w:eastAsia="ru-RU"/>
        </w:rPr>
        <w:t xml:space="preserve"> формирования пенсионных накоплений застрахованных лиц, уплативших дополнительные страховые взносы на накопительную пенсию» и приказа Минфина России </w:t>
      </w:r>
      <w:r>
        <w:rPr>
          <w:rFonts w:ascii="Times New Roman" w:eastAsia="Times New Roman" w:hAnsi="Times New Roman"/>
          <w:color w:val="000000" w:themeColor="text1"/>
          <w:sz w:val="28"/>
          <w:szCs w:val="28"/>
          <w:lang w:eastAsia="ru-RU"/>
        </w:rPr>
        <w:br/>
        <w:t xml:space="preserve">от 14 февраля 2008 г. № 25н «Об утверждении Порядка взаимодействия Министерства финансов Российской Федерации и Федерального казначейства при проведении расчетов и перечислении средств в связи </w:t>
      </w:r>
      <w:r>
        <w:rPr>
          <w:rFonts w:ascii="Times New Roman" w:eastAsia="Times New Roman" w:hAnsi="Times New Roman"/>
          <w:color w:val="000000" w:themeColor="text1"/>
          <w:sz w:val="28"/>
          <w:szCs w:val="28"/>
          <w:lang w:eastAsia="ru-RU"/>
        </w:rPr>
        <w:br/>
        <w:t xml:space="preserve">с формированием и использованием нефтегазовых доходов федерального бюджета, нефтегазового трансферта, средств Резервного фонда и Фонда национального благосостояния» в апреле 2016 года средства Фонда национального благосостояния </w:t>
      </w:r>
      <w:r>
        <w:rPr>
          <w:rFonts w:ascii="Times New Roman" w:eastAsia="Times New Roman" w:hAnsi="Times New Roman"/>
          <w:bCs/>
          <w:color w:val="000000" w:themeColor="text1"/>
          <w:sz w:val="28"/>
          <w:szCs w:val="28"/>
          <w:lang w:eastAsia="ru-RU"/>
        </w:rPr>
        <w:t>были перечислены</w:t>
      </w:r>
      <w:r>
        <w:rPr>
          <w:rFonts w:ascii="Times New Roman" w:eastAsia="Times New Roman" w:hAnsi="Times New Roman"/>
          <w:color w:val="000000" w:themeColor="text1"/>
          <w:sz w:val="28"/>
          <w:szCs w:val="28"/>
          <w:lang w:eastAsia="ru-RU"/>
        </w:rPr>
        <w:t xml:space="preserve"> на софинансирование пенсионных накоплений в размере </w:t>
      </w:r>
      <w:r>
        <w:rPr>
          <w:rFonts w:ascii="Times New Roman" w:eastAsia="Times New Roman" w:hAnsi="Times New Roman"/>
          <w:bCs/>
          <w:color w:val="000000" w:themeColor="text1"/>
          <w:sz w:val="28"/>
          <w:szCs w:val="28"/>
          <w:lang w:eastAsia="ru-RU"/>
        </w:rPr>
        <w:t xml:space="preserve">6,79 млрд рублей. В августе 2016 года </w:t>
      </w:r>
      <w:r>
        <w:rPr>
          <w:rFonts w:ascii="Times New Roman" w:eastAsia="Times New Roman" w:hAnsi="Times New Roman"/>
          <w:bCs/>
          <w:color w:val="000000" w:themeColor="text1"/>
          <w:sz w:val="28"/>
          <w:szCs w:val="28"/>
          <w:lang w:eastAsia="ru-RU"/>
        </w:rPr>
        <w:br/>
        <w:t>в соответствии с указанным приказом Минфина России на счет по учету средств Фонда национального благосостояния был перечислен остаток средств федерального бюджета, неизрасходованный ПФ РФ, в сумме 19,96 млн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с учетом пополнения и использования средств </w:t>
      </w:r>
      <w:r>
        <w:rPr>
          <w:rFonts w:ascii="Times New Roman" w:eastAsia="Times New Roman" w:hAnsi="Times New Roman"/>
          <w:color w:val="000000" w:themeColor="text1"/>
          <w:sz w:val="28"/>
          <w:szCs w:val="28"/>
          <w:lang w:eastAsia="ru-RU"/>
        </w:rPr>
        <w:br/>
        <w:t xml:space="preserve">на 1 января 2017 года объем Резервного фонда составил </w:t>
      </w:r>
      <w:r>
        <w:rPr>
          <w:rFonts w:ascii="Times New Roman" w:eastAsia="Times New Roman" w:hAnsi="Times New Roman"/>
          <w:iCs/>
          <w:color w:val="000000" w:themeColor="text1"/>
          <w:sz w:val="28"/>
          <w:szCs w:val="28"/>
          <w:lang w:eastAsia="ru-RU"/>
        </w:rPr>
        <w:t>972,13 </w:t>
      </w:r>
      <w:r>
        <w:rPr>
          <w:rFonts w:ascii="Times New Roman" w:eastAsia="Times New Roman" w:hAnsi="Times New Roman"/>
          <w:color w:val="000000" w:themeColor="text1"/>
          <w:sz w:val="28"/>
          <w:szCs w:val="28"/>
          <w:lang w:eastAsia="ru-RU"/>
        </w:rPr>
        <w:t xml:space="preserve">млрд рублей, Фонда национального благосостояния – </w:t>
      </w:r>
      <w:r>
        <w:rPr>
          <w:rFonts w:ascii="Times New Roman" w:eastAsia="Times New Roman" w:hAnsi="Times New Roman"/>
          <w:iCs/>
          <w:color w:val="000000" w:themeColor="text1"/>
          <w:sz w:val="28"/>
          <w:szCs w:val="28"/>
          <w:lang w:eastAsia="ru-RU"/>
        </w:rPr>
        <w:t>4 359,16</w:t>
      </w:r>
      <w:r>
        <w:rPr>
          <w:rFonts w:ascii="Times New Roman" w:eastAsia="Times New Roman" w:hAnsi="Times New Roman"/>
          <w:color w:val="000000" w:themeColor="text1"/>
          <w:sz w:val="28"/>
          <w:szCs w:val="28"/>
          <w:lang w:eastAsia="ru-RU"/>
        </w:rPr>
        <w:t> млрд рублей.</w:t>
      </w:r>
    </w:p>
    <w:p>
      <w:pPr>
        <w:tabs>
          <w:tab w:val="right" w:pos="9639"/>
        </w:tabs>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4</w:t>
      </w:r>
    </w:p>
    <w:tbl>
      <w:tblPr>
        <w:tblW w:w="0" w:type="auto"/>
        <w:jc w:val="center"/>
        <w:tblInd w:w="10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ook w:val="04A0" w:firstRow="1" w:lastRow="0" w:firstColumn="1" w:lastColumn="0" w:noHBand="0" w:noVBand="1"/>
      </w:tblPr>
      <w:tblGrid>
        <w:gridCol w:w="4395"/>
        <w:gridCol w:w="2380"/>
        <w:gridCol w:w="2546"/>
      </w:tblGrid>
      <w:tr>
        <w:trPr>
          <w:trHeight w:val="687"/>
          <w:jc w:val="center"/>
        </w:trPr>
        <w:tc>
          <w:tcPr>
            <w:tcW w:w="4395" w:type="dxa"/>
            <w:tcBorders>
              <w:top w:val="single" w:sz="8" w:space="0" w:color="F79646"/>
              <w:left w:val="single" w:sz="8" w:space="0" w:color="F79646"/>
              <w:bottom w:val="single" w:sz="18" w:space="0" w:color="F79646"/>
              <w:right w:val="single" w:sz="8" w:space="0" w:color="F79646"/>
            </w:tcBorders>
            <w:vAlign w:val="center"/>
          </w:tcPr>
          <w:p>
            <w:pPr>
              <w:spacing w:after="0" w:line="240" w:lineRule="atLeast"/>
              <w:jc w:val="center"/>
              <w:rPr>
                <w:rFonts w:ascii="Times New Roman" w:hAnsi="Times New Roman"/>
                <w:b/>
                <w:bCs/>
                <w:color w:val="000000" w:themeColor="text1"/>
              </w:rPr>
            </w:pPr>
            <w:r>
              <w:rPr>
                <w:rFonts w:ascii="Times New Roman" w:hAnsi="Times New Roman"/>
                <w:b/>
                <w:bCs/>
                <w:color w:val="000000" w:themeColor="text1"/>
                <w:sz w:val="24"/>
                <w:szCs w:val="24"/>
              </w:rPr>
              <w:t>Наименование показателя</w:t>
            </w:r>
          </w:p>
        </w:tc>
        <w:tc>
          <w:tcPr>
            <w:tcW w:w="2380" w:type="dxa"/>
            <w:tcBorders>
              <w:top w:val="single" w:sz="8" w:space="0" w:color="F79646"/>
              <w:left w:val="single" w:sz="8" w:space="0" w:color="F79646"/>
              <w:bottom w:val="single" w:sz="18" w:space="0" w:color="F79646"/>
              <w:right w:val="single" w:sz="8" w:space="0" w:color="F79646"/>
            </w:tcBorders>
            <w:vAlign w:val="center"/>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Резервный фонд</w:t>
            </w:r>
          </w:p>
          <w:p>
            <w:pPr>
              <w:spacing w:after="0" w:line="240" w:lineRule="atLeast"/>
              <w:jc w:val="center"/>
              <w:rPr>
                <w:rFonts w:ascii="Times New Roman" w:hAnsi="Times New Roman"/>
                <w:b/>
                <w:bCs/>
                <w:color w:val="000000" w:themeColor="text1"/>
                <w:sz w:val="24"/>
                <w:szCs w:val="24"/>
              </w:rPr>
            </w:pPr>
            <w:r>
              <w:rPr>
                <w:rFonts w:ascii="Times New Roman" w:hAnsi="Times New Roman"/>
                <w:b/>
                <w:color w:val="000000" w:themeColor="text1"/>
                <w:sz w:val="24"/>
                <w:szCs w:val="24"/>
              </w:rPr>
              <w:t>(млрд рублей)</w:t>
            </w:r>
          </w:p>
        </w:tc>
        <w:tc>
          <w:tcPr>
            <w:tcW w:w="2546" w:type="dxa"/>
            <w:tcBorders>
              <w:top w:val="single" w:sz="8" w:space="0" w:color="F79646"/>
              <w:left w:val="single" w:sz="8" w:space="0" w:color="F79646"/>
              <w:bottom w:val="single" w:sz="18" w:space="0" w:color="F79646"/>
              <w:right w:val="single" w:sz="8" w:space="0" w:color="F79646"/>
            </w:tcBorders>
            <w:vAlign w:val="center"/>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Фонд национального благосостояния</w:t>
            </w:r>
          </w:p>
          <w:p>
            <w:pPr>
              <w:spacing w:after="0" w:line="240" w:lineRule="atLeast"/>
              <w:jc w:val="center"/>
              <w:rPr>
                <w:rFonts w:ascii="Times New Roman" w:hAnsi="Times New Roman"/>
                <w:b/>
                <w:bCs/>
                <w:color w:val="000000" w:themeColor="text1"/>
                <w:sz w:val="24"/>
                <w:szCs w:val="24"/>
              </w:rPr>
            </w:pPr>
            <w:r>
              <w:rPr>
                <w:rFonts w:ascii="Times New Roman" w:hAnsi="Times New Roman"/>
                <w:b/>
                <w:color w:val="000000" w:themeColor="text1"/>
                <w:sz w:val="24"/>
                <w:szCs w:val="24"/>
              </w:rPr>
              <w:t>(млрд рублей)</w:t>
            </w:r>
          </w:p>
        </w:tc>
      </w:tr>
      <w:tr>
        <w:trPr>
          <w:trHeight w:val="237"/>
          <w:jc w:val="center"/>
        </w:trPr>
        <w:tc>
          <w:tcPr>
            <w:tcW w:w="4395"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ind w:hanging="108"/>
              <w:rPr>
                <w:rFonts w:ascii="Times New Roman" w:hAnsi="Times New Roman"/>
                <w:bCs/>
                <w:color w:val="000000" w:themeColor="text1"/>
                <w:sz w:val="24"/>
                <w:szCs w:val="24"/>
              </w:rPr>
            </w:pPr>
            <w:r>
              <w:rPr>
                <w:rFonts w:ascii="Times New Roman" w:hAnsi="Times New Roman"/>
                <w:bCs/>
                <w:color w:val="000000" w:themeColor="text1"/>
                <w:sz w:val="24"/>
                <w:szCs w:val="24"/>
              </w:rPr>
              <w:t>Объем средств на 1 января 2016 года</w:t>
            </w:r>
          </w:p>
        </w:tc>
        <w:tc>
          <w:tcPr>
            <w:tcW w:w="2380"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3 640,57</w:t>
            </w:r>
          </w:p>
        </w:tc>
        <w:tc>
          <w:tcPr>
            <w:tcW w:w="2546"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5 227,18</w:t>
            </w:r>
          </w:p>
        </w:tc>
      </w:tr>
      <w:tr>
        <w:trPr>
          <w:trHeight w:val="255"/>
          <w:jc w:val="center"/>
        </w:trPr>
        <w:tc>
          <w:tcPr>
            <w:tcW w:w="4395"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ind w:hanging="108"/>
              <w:rPr>
                <w:rFonts w:ascii="Times New Roman" w:hAnsi="Times New Roman"/>
                <w:bCs/>
                <w:color w:val="000000" w:themeColor="text1"/>
                <w:sz w:val="24"/>
                <w:szCs w:val="24"/>
              </w:rPr>
            </w:pPr>
            <w:r>
              <w:rPr>
                <w:rFonts w:ascii="Times New Roman" w:hAnsi="Times New Roman"/>
                <w:bCs/>
                <w:color w:val="000000" w:themeColor="text1"/>
                <w:sz w:val="24"/>
                <w:szCs w:val="24"/>
              </w:rPr>
              <w:t>Пополнение средств</w:t>
            </w:r>
          </w:p>
        </w:tc>
        <w:tc>
          <w:tcPr>
            <w:tcW w:w="2380"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0,00</w:t>
            </w:r>
          </w:p>
        </w:tc>
        <w:tc>
          <w:tcPr>
            <w:tcW w:w="2546"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0,02</w:t>
            </w:r>
          </w:p>
        </w:tc>
      </w:tr>
      <w:tr>
        <w:trPr>
          <w:trHeight w:val="244"/>
          <w:jc w:val="center"/>
        </w:trPr>
        <w:tc>
          <w:tcPr>
            <w:tcW w:w="4395"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ind w:hanging="108"/>
              <w:rPr>
                <w:rFonts w:ascii="Times New Roman" w:hAnsi="Times New Roman"/>
                <w:bCs/>
                <w:color w:val="000000" w:themeColor="text1"/>
                <w:sz w:val="24"/>
                <w:szCs w:val="24"/>
              </w:rPr>
            </w:pPr>
            <w:r>
              <w:rPr>
                <w:rFonts w:ascii="Times New Roman" w:hAnsi="Times New Roman"/>
                <w:bCs/>
                <w:color w:val="000000" w:themeColor="text1"/>
                <w:sz w:val="24"/>
                <w:szCs w:val="24"/>
              </w:rPr>
              <w:t>Использование средств</w:t>
            </w:r>
          </w:p>
        </w:tc>
        <w:tc>
          <w:tcPr>
            <w:tcW w:w="2380"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2 136,90</w:t>
            </w:r>
          </w:p>
        </w:tc>
        <w:tc>
          <w:tcPr>
            <w:tcW w:w="2546"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6,79</w:t>
            </w:r>
          </w:p>
        </w:tc>
      </w:tr>
      <w:tr>
        <w:trPr>
          <w:trHeight w:val="233"/>
          <w:jc w:val="center"/>
        </w:trPr>
        <w:tc>
          <w:tcPr>
            <w:tcW w:w="4395"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ind w:hanging="108"/>
              <w:rPr>
                <w:rFonts w:ascii="Times New Roman" w:hAnsi="Times New Roman"/>
                <w:bCs/>
                <w:color w:val="000000" w:themeColor="text1"/>
                <w:sz w:val="24"/>
                <w:szCs w:val="24"/>
              </w:rPr>
            </w:pPr>
            <w:r>
              <w:rPr>
                <w:rFonts w:ascii="Times New Roman" w:hAnsi="Times New Roman"/>
                <w:bCs/>
                <w:color w:val="000000" w:themeColor="text1"/>
                <w:sz w:val="24"/>
                <w:szCs w:val="24"/>
              </w:rPr>
              <w:t>Объем средств на 1 января 2017 года</w:t>
            </w:r>
          </w:p>
        </w:tc>
        <w:tc>
          <w:tcPr>
            <w:tcW w:w="2380"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972,13</w:t>
            </w:r>
          </w:p>
        </w:tc>
        <w:tc>
          <w:tcPr>
            <w:tcW w:w="2546" w:type="dxa"/>
            <w:tcBorders>
              <w:top w:val="single" w:sz="8" w:space="0" w:color="F79646"/>
              <w:left w:val="single" w:sz="8" w:space="0" w:color="F79646"/>
              <w:bottom w:val="single" w:sz="8" w:space="0" w:color="F79646"/>
              <w:right w:val="single" w:sz="8" w:space="0" w:color="F79646"/>
            </w:tcBorders>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4 359,16</w:t>
            </w:r>
          </w:p>
        </w:tc>
      </w:tr>
      <w:tr>
        <w:trPr>
          <w:trHeight w:val="253"/>
          <w:jc w:val="center"/>
        </w:trPr>
        <w:tc>
          <w:tcPr>
            <w:tcW w:w="4395"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ind w:hanging="108"/>
              <w:rPr>
                <w:rFonts w:ascii="Times New Roman" w:hAnsi="Times New Roman"/>
                <w:bCs/>
                <w:color w:val="000000" w:themeColor="text1"/>
                <w:sz w:val="24"/>
                <w:szCs w:val="24"/>
              </w:rPr>
            </w:pPr>
            <w:r>
              <w:rPr>
                <w:rFonts w:ascii="Times New Roman" w:hAnsi="Times New Roman"/>
                <w:bCs/>
                <w:color w:val="000000" w:themeColor="text1"/>
                <w:sz w:val="24"/>
                <w:szCs w:val="24"/>
              </w:rPr>
              <w:t>Курсовая разница (на 1 января 2017 года)</w:t>
            </w:r>
          </w:p>
        </w:tc>
        <w:tc>
          <w:tcPr>
            <w:tcW w:w="2380"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- 531,54</w:t>
            </w:r>
          </w:p>
        </w:tc>
        <w:tc>
          <w:tcPr>
            <w:tcW w:w="2546" w:type="dxa"/>
            <w:tcBorders>
              <w:top w:val="single" w:sz="8" w:space="0" w:color="F79646"/>
              <w:left w:val="single" w:sz="8" w:space="0" w:color="F79646"/>
              <w:bottom w:val="single" w:sz="8" w:space="0" w:color="F79646"/>
              <w:right w:val="single" w:sz="8" w:space="0" w:color="F79646"/>
            </w:tcBorders>
            <w:shd w:val="clear" w:color="auto" w:fill="FDE4D0"/>
            <w:vAlign w:val="center"/>
          </w:tcPr>
          <w:p>
            <w:pPr>
              <w:spacing w:after="0"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- 861,26</w:t>
            </w:r>
          </w:p>
        </w:tc>
      </w:tr>
    </w:tbl>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Федеральное казначейство продолжило осуществление операций, связанных с управлением средствами Резервного фонда и Фонда национального благосостояния.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Средства Резервного фонда и Фонда национального благосостояния согласно положениям Бюджетного кодекса размещены в иностранную валюту на счетах в Банке России и в некоторые виды финансовых активов.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декабре 2016 года в соответствии с приказом Минфина России </w:t>
      </w:r>
      <w:r>
        <w:rPr>
          <w:rFonts w:ascii="Times New Roman" w:eastAsia="Times New Roman" w:hAnsi="Times New Roman"/>
          <w:color w:val="000000" w:themeColor="text1"/>
          <w:sz w:val="28"/>
          <w:szCs w:val="28"/>
          <w:lang w:eastAsia="ru-RU"/>
        </w:rPr>
        <w:br/>
        <w:t xml:space="preserve">от 28 декабря 2016 г. № 799 «О внесении изменений в Договоры </w:t>
      </w:r>
      <w:r>
        <w:rPr>
          <w:rFonts w:ascii="Times New Roman" w:eastAsia="Times New Roman" w:hAnsi="Times New Roman"/>
          <w:color w:val="000000" w:themeColor="text1"/>
          <w:sz w:val="28"/>
          <w:szCs w:val="28"/>
          <w:lang w:eastAsia="ru-RU"/>
        </w:rPr>
        <w:br/>
        <w:t xml:space="preserve">о размещении средств Фонда национального благосостояния на депозиты (Депозитные договоры) от 29 декабря 2009 г. № 42-7.4-22/30 </w:t>
      </w:r>
      <w:r>
        <w:rPr>
          <w:rFonts w:ascii="Times New Roman" w:eastAsia="Times New Roman" w:hAnsi="Times New Roman"/>
          <w:color w:val="000000" w:themeColor="text1"/>
          <w:sz w:val="28"/>
          <w:szCs w:val="28"/>
          <w:lang w:eastAsia="ru-RU"/>
        </w:rPr>
        <w:br/>
        <w:t xml:space="preserve">и № 42-7.4-29/31» заключены дополнительные соглашения о расторжении </w:t>
      </w:r>
      <w:r>
        <w:rPr>
          <w:rFonts w:ascii="Times New Roman" w:eastAsia="Times New Roman" w:hAnsi="Times New Roman"/>
          <w:color w:val="000000" w:themeColor="text1"/>
          <w:sz w:val="28"/>
          <w:szCs w:val="28"/>
          <w:lang w:eastAsia="ru-RU"/>
        </w:rPr>
        <w:br/>
        <w:t xml:space="preserve">к депозитным договорам с Внешэконобанком и проведены операции </w:t>
      </w:r>
      <w:r>
        <w:rPr>
          <w:rFonts w:ascii="Times New Roman" w:eastAsia="Times New Roman" w:hAnsi="Times New Roman"/>
          <w:color w:val="000000" w:themeColor="text1"/>
          <w:sz w:val="28"/>
          <w:szCs w:val="28"/>
          <w:lang w:eastAsia="ru-RU"/>
        </w:rPr>
        <w:br/>
        <w:t xml:space="preserve">по возврату сумм депозитов в совокупном объеме </w:t>
      </w:r>
      <w:r>
        <w:rPr>
          <w:rFonts w:ascii="Times New Roman" w:eastAsia="Times New Roman" w:hAnsi="Times New Roman"/>
          <w:bCs/>
          <w:color w:val="000000" w:themeColor="text1"/>
          <w:sz w:val="28"/>
          <w:szCs w:val="28"/>
          <w:lang w:eastAsia="ru-RU"/>
        </w:rPr>
        <w:t>15,98 </w:t>
      </w:r>
      <w:r>
        <w:rPr>
          <w:rFonts w:ascii="Times New Roman" w:eastAsia="Times New Roman" w:hAnsi="Times New Roman"/>
          <w:color w:val="000000" w:themeColor="text1"/>
          <w:sz w:val="28"/>
          <w:szCs w:val="28"/>
          <w:lang w:eastAsia="ru-RU"/>
        </w:rPr>
        <w:t xml:space="preserve">млрд рублей </w:t>
      </w:r>
      <w:r>
        <w:rPr>
          <w:rFonts w:ascii="Times New Roman" w:eastAsia="Times New Roman" w:hAnsi="Times New Roman"/>
          <w:color w:val="000000" w:themeColor="text1"/>
          <w:sz w:val="28"/>
          <w:szCs w:val="28"/>
          <w:lang w:eastAsia="ru-RU"/>
        </w:rPr>
        <w:br/>
        <w:t xml:space="preserve">и уплачены начисленные проценты в размере </w:t>
      </w:r>
      <w:r>
        <w:rPr>
          <w:rFonts w:ascii="Times New Roman" w:eastAsia="Times New Roman" w:hAnsi="Times New Roman"/>
          <w:bCs/>
          <w:color w:val="000000" w:themeColor="text1"/>
          <w:sz w:val="28"/>
          <w:szCs w:val="28"/>
          <w:lang w:eastAsia="ru-RU"/>
        </w:rPr>
        <w:t>0,28 </w:t>
      </w:r>
      <w:r>
        <w:rPr>
          <w:rFonts w:ascii="Times New Roman" w:eastAsia="Times New Roman" w:hAnsi="Times New Roman"/>
          <w:color w:val="000000" w:themeColor="text1"/>
          <w:sz w:val="28"/>
          <w:szCs w:val="28"/>
          <w:lang w:eastAsia="ru-RU"/>
        </w:rPr>
        <w:t>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Также в декабре 2016 года в соответствии с приказами Минфина России от 26 декабря 2016 г. № 696 «О размещении средств Фонда национального благосостояния на депозит в государственной корпорации «Банк развития и внешнеэкономической деятельности (Внешэкономбанк)», 26 декабря 2016 г. № 697 «О размещении средств Фонда национального благосостояния на депозит в государственной корпорации «Банк развития </w:t>
      </w:r>
      <w:r>
        <w:rPr>
          <w:rFonts w:ascii="Times New Roman" w:eastAsia="Times New Roman" w:hAnsi="Times New Roman"/>
          <w:color w:val="000000" w:themeColor="text1"/>
          <w:sz w:val="28"/>
          <w:szCs w:val="28"/>
          <w:lang w:eastAsia="ru-RU"/>
        </w:rPr>
        <w:br/>
        <w:t xml:space="preserve">и внешнеэкономической деятельности (Внешэкономбанк)» и 28 декабря 2016 г. № 800 «О размещении средств Фонда национального благосостояния на депозит в государственной корпорации «Банк развития </w:t>
      </w:r>
      <w:r>
        <w:rPr>
          <w:rFonts w:ascii="Times New Roman" w:eastAsia="Times New Roman" w:hAnsi="Times New Roman"/>
          <w:color w:val="000000" w:themeColor="text1"/>
          <w:sz w:val="28"/>
          <w:szCs w:val="28"/>
          <w:lang w:eastAsia="ru-RU"/>
        </w:rPr>
        <w:br/>
        <w:t>и внешнеэкономической деятельности (Внешэкономбанк)» Федеральным казначейством были заключены 3 договора о размещении средств Фонда национального благосостояния на депозиты во Внешэкономбанке в общей сумме 46,6 млрд рублей.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Всего в 2016 году на депозиты во Внешэкономбанке за счет средств Фонда национального благосостояния было размещено 19,18 млрд рублей.</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19</w:t>
      </w:r>
    </w:p>
    <w:p>
      <w:pPr>
        <w:widowControl w:val="0"/>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Структура Фонда национального благосостояния, млрд рублей</w:t>
      </w:r>
    </w:p>
    <w:p>
      <w:pPr>
        <w:spacing w:line="35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847536" cy="2202512"/>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50255" cy="2203536"/>
                    </a:xfrm>
                    <a:prstGeom prst="rect">
                      <a:avLst/>
                    </a:prstGeom>
                    <a:noFill/>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Средства Резервного фонда в 2016 году в финансовые активы </w:t>
      </w:r>
      <w:r>
        <w:rPr>
          <w:rFonts w:ascii="Times New Roman" w:eastAsia="Times New Roman" w:hAnsi="Times New Roman"/>
          <w:color w:val="000000" w:themeColor="text1"/>
          <w:sz w:val="28"/>
          <w:szCs w:val="28"/>
          <w:lang w:eastAsia="ru-RU"/>
        </w:rPr>
        <w:br/>
        <w:t>не размещались.</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При управлении средствами суверенных фондов в 2016 году Федеральным казначейством с Центральным банком Российской Федерации заключены: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12 дополнительных соглашений по пересмотру состава индекса </w:t>
      </w:r>
      <w:r>
        <w:rPr>
          <w:rFonts w:ascii="Times New Roman" w:eastAsia="Times New Roman" w:hAnsi="Times New Roman"/>
          <w:color w:val="000000" w:themeColor="text1"/>
          <w:sz w:val="28"/>
          <w:szCs w:val="28"/>
          <w:lang w:eastAsia="ru-RU"/>
        </w:rPr>
        <w:br/>
        <w:t xml:space="preserve">к договору банковского счета по учету средств Резервного фонда </w:t>
      </w:r>
      <w:r>
        <w:rPr>
          <w:rFonts w:ascii="Times New Roman" w:eastAsia="Times New Roman" w:hAnsi="Times New Roman"/>
          <w:color w:val="000000" w:themeColor="text1"/>
          <w:sz w:val="28"/>
          <w:szCs w:val="28"/>
          <w:lang w:eastAsia="ru-RU"/>
        </w:rPr>
        <w:br/>
        <w:t>в иностранной валюте;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12 дополнительных соглашений по пересмотру состава индекса </w:t>
      </w:r>
      <w:r>
        <w:rPr>
          <w:rFonts w:ascii="Times New Roman" w:eastAsia="Times New Roman" w:hAnsi="Times New Roman"/>
          <w:color w:val="000000" w:themeColor="text1"/>
          <w:sz w:val="28"/>
          <w:szCs w:val="28"/>
          <w:lang w:eastAsia="ru-RU"/>
        </w:rPr>
        <w:br/>
        <w:t>к договору банковского счета по учету средств Фонда национального благосостояния в иностранной валюте;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2 дополнительных соглашения к договорам банковского счета </w:t>
      </w:r>
      <w:r>
        <w:rPr>
          <w:rFonts w:ascii="Times New Roman" w:eastAsia="Times New Roman" w:hAnsi="Times New Roman"/>
          <w:color w:val="000000" w:themeColor="text1"/>
          <w:sz w:val="28"/>
          <w:szCs w:val="28"/>
          <w:lang w:eastAsia="ru-RU"/>
        </w:rPr>
        <w:br/>
        <w:t>по учету средств Резервного фонда и Фонда национального благосостояния – новые редакции договоров;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4 дополнительных соглашения к депозитным договорам </w:t>
      </w:r>
      <w:r>
        <w:rPr>
          <w:rFonts w:ascii="Times New Roman" w:eastAsia="Times New Roman" w:hAnsi="Times New Roman"/>
          <w:color w:val="000000" w:themeColor="text1"/>
          <w:sz w:val="28"/>
          <w:szCs w:val="28"/>
          <w:lang w:eastAsia="ru-RU"/>
        </w:rPr>
        <w:br/>
        <w:t>с Внешэкономбанком;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3 депозитных договора с Внешэкономбанком.</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 2016 году в федеральный бюджет всего было зачислено доходов </w:t>
      </w:r>
      <w:r>
        <w:rPr>
          <w:rFonts w:ascii="Times New Roman" w:eastAsia="Times New Roman" w:hAnsi="Times New Roman"/>
          <w:color w:val="000000" w:themeColor="text1"/>
          <w:sz w:val="28"/>
          <w:szCs w:val="28"/>
          <w:lang w:eastAsia="ru-RU"/>
        </w:rPr>
        <w:br/>
        <w:t>от управления средствами Резервного фонда и Фонда национального благосостояния в сумме 76,02 млрд рублей</w:t>
      </w:r>
      <w:r>
        <w:rPr>
          <w:rFonts w:ascii="Times New Roman" w:hAnsi="Times New Roman"/>
          <w:color w:val="000000" w:themeColor="text1"/>
          <w:sz w:val="28"/>
          <w:szCs w:val="28"/>
        </w:rPr>
        <w:t xml:space="preserve"> (схема 2).</w:t>
      </w:r>
    </w:p>
    <w:p>
      <w:pPr>
        <w:tabs>
          <w:tab w:val="left" w:pos="8089"/>
          <w:tab w:val="right" w:pos="9213"/>
        </w:tabs>
        <w:spacing w:before="120"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t>Схема 2</w:t>
      </w:r>
    </w:p>
    <w:p>
      <w:pPr>
        <w:widowControl w:val="0"/>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Доходы от управления средствами Резервного фонда и Фонда национального благосостояния</w:t>
      </w:r>
    </w:p>
    <w:p>
      <w:pPr>
        <w:spacing w:after="0" w:line="240" w:lineRule="auto"/>
        <w:jc w:val="both"/>
        <w:rPr>
          <w:rFonts w:ascii="Times New Roman" w:eastAsia="Times New Roman" w:hAnsi="Times New Roman"/>
          <w:bCs/>
          <w:color w:val="000000" w:themeColor="text1"/>
          <w:sz w:val="32"/>
          <w:szCs w:val="28"/>
          <w:lang w:eastAsia="ru-RU"/>
        </w:rPr>
      </w:pPr>
      <w:r>
        <w:rPr>
          <w:rFonts w:ascii="Times New Roman" w:eastAsia="Times New Roman" w:hAnsi="Times New Roman"/>
          <w:noProof/>
          <w:color w:val="000000" w:themeColor="text1"/>
          <w:sz w:val="24"/>
          <w:szCs w:val="24"/>
          <w:lang w:eastAsia="ru-RU"/>
        </w:rPr>
        <w:drawing>
          <wp:inline distT="0" distB="0" distL="0" distR="0">
            <wp:extent cx="5939859" cy="2743200"/>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2743168"/>
                    </a:xfrm>
                    <a:prstGeom prst="rect">
                      <a:avLst/>
                    </a:prstGeom>
                    <a:noFill/>
                    <a:ln>
                      <a:no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sz w:val="28"/>
          <w:szCs w:val="28"/>
          <w:lang w:eastAsia="ru-RU"/>
        </w:rPr>
        <w:t>Доходы в валюте Российской Федерации сложились за счет поступлений от управления средствами</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по счетам Резервного фонда – </w:t>
      </w:r>
      <w:r>
        <w:rPr>
          <w:rFonts w:ascii="Times New Roman" w:eastAsia="Times New Roman" w:hAnsi="Times New Roman"/>
          <w:iCs/>
          <w:color w:val="000000" w:themeColor="text1"/>
          <w:sz w:val="28"/>
          <w:szCs w:val="28"/>
          <w:lang w:eastAsia="ru-RU"/>
        </w:rPr>
        <w:t xml:space="preserve">проценты, поступившие от Банка России за пользование средствами на счетах в иностранных валютах – </w:t>
      </w:r>
      <w:r>
        <w:rPr>
          <w:rFonts w:ascii="Times New Roman" w:eastAsia="Times New Roman" w:hAnsi="Times New Roman"/>
          <w:color w:val="000000" w:themeColor="text1"/>
          <w:sz w:val="28"/>
          <w:szCs w:val="28"/>
          <w:lang w:eastAsia="ru-RU"/>
        </w:rPr>
        <w:t>26,4</w:t>
      </w:r>
      <w:r>
        <w:rPr>
          <w:rFonts w:ascii="Times New Roman" w:eastAsia="Times New Roman" w:hAnsi="Times New Roman"/>
          <w:bCs/>
          <w:color w:val="000000" w:themeColor="text1"/>
          <w:sz w:val="28"/>
          <w:szCs w:val="28"/>
          <w:lang w:eastAsia="ru-RU"/>
        </w:rPr>
        <w:t xml:space="preserve"> млрд рублей, </w:t>
      </w:r>
      <w:r>
        <w:rPr>
          <w:rFonts w:ascii="Times New Roman" w:eastAsia="Times New Roman" w:hAnsi="Times New Roman"/>
          <w:color w:val="000000" w:themeColor="text1"/>
          <w:sz w:val="28"/>
          <w:szCs w:val="28"/>
          <w:lang w:eastAsia="ru-RU"/>
        </w:rPr>
        <w:t xml:space="preserve">в том числе </w:t>
      </w:r>
      <w:r>
        <w:rPr>
          <w:rFonts w:ascii="Times New Roman" w:eastAsia="Times New Roman" w:hAnsi="Times New Roman"/>
          <w:iCs/>
          <w:color w:val="000000" w:themeColor="text1"/>
          <w:sz w:val="28"/>
          <w:szCs w:val="28"/>
          <w:lang w:eastAsia="ru-RU"/>
        </w:rPr>
        <w:t xml:space="preserve">за процентный период с 15 января 2015 года по 15 января 2016 года – 15,89 млрд рублей и за процентный период </w:t>
      </w:r>
      <w:r>
        <w:rPr>
          <w:rFonts w:ascii="Times New Roman" w:eastAsia="Times New Roman" w:hAnsi="Times New Roman"/>
          <w:iCs/>
          <w:color w:val="000000" w:themeColor="text1"/>
          <w:sz w:val="28"/>
          <w:szCs w:val="28"/>
          <w:lang w:eastAsia="ru-RU"/>
        </w:rPr>
        <w:br/>
        <w:t>с 15 января 2016 года по 15 декабря 2016 года – 10,51 млрд рублей</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счетам Фонда национального благосостояния – 49,61</w:t>
      </w:r>
      <w:r>
        <w:rPr>
          <w:rFonts w:ascii="Times New Roman" w:eastAsia="Times New Roman" w:hAnsi="Times New Roman"/>
          <w:bCs/>
          <w:color w:val="000000" w:themeColor="text1"/>
          <w:sz w:val="28"/>
          <w:szCs w:val="28"/>
          <w:lang w:eastAsia="ru-RU"/>
        </w:rPr>
        <w:t xml:space="preserve"> млрд рублей, </w:t>
      </w:r>
      <w:r>
        <w:rPr>
          <w:rFonts w:ascii="Times New Roman" w:eastAsia="Times New Roman" w:hAnsi="Times New Roman"/>
          <w:color w:val="000000" w:themeColor="text1"/>
          <w:sz w:val="28"/>
          <w:szCs w:val="28"/>
          <w:lang w:eastAsia="ru-RU"/>
        </w:rPr>
        <w:t>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проценты, поступившие от Банка России за пользование средствами на счетах в иностранных валютах, – 21,95</w:t>
      </w:r>
      <w:r>
        <w:rPr>
          <w:rFonts w:ascii="Times New Roman" w:eastAsia="Times New Roman" w:hAnsi="Times New Roman"/>
          <w:bCs/>
          <w:color w:val="000000" w:themeColor="text1"/>
          <w:sz w:val="28"/>
          <w:szCs w:val="28"/>
          <w:lang w:eastAsia="ru-RU"/>
        </w:rPr>
        <w:t xml:space="preserve"> млрд рублей, </w:t>
      </w:r>
      <w:r>
        <w:rPr>
          <w:rFonts w:ascii="Times New Roman" w:eastAsia="Times New Roman" w:hAnsi="Times New Roman"/>
          <w:color w:val="000000" w:themeColor="text1"/>
          <w:sz w:val="28"/>
          <w:szCs w:val="28"/>
          <w:lang w:eastAsia="ru-RU"/>
        </w:rPr>
        <w:t xml:space="preserve">в том числе </w:t>
      </w:r>
      <w:r>
        <w:rPr>
          <w:rFonts w:ascii="Times New Roman" w:eastAsia="Times New Roman" w:hAnsi="Times New Roman"/>
          <w:color w:val="000000" w:themeColor="text1"/>
          <w:sz w:val="28"/>
          <w:szCs w:val="28"/>
          <w:lang w:eastAsia="ru-RU"/>
        </w:rPr>
        <w:br/>
      </w:r>
      <w:r>
        <w:rPr>
          <w:rFonts w:ascii="Times New Roman" w:eastAsia="Times New Roman" w:hAnsi="Times New Roman"/>
          <w:iCs/>
          <w:color w:val="000000" w:themeColor="text1"/>
          <w:sz w:val="28"/>
          <w:szCs w:val="28"/>
          <w:lang w:eastAsia="ru-RU"/>
        </w:rPr>
        <w:t xml:space="preserve">за процентный период с 15 января 2015 года по 15 января 2016 года – 13,19 млрд рублей и за процентный период с 15 января 2016 года </w:t>
      </w:r>
      <w:r>
        <w:rPr>
          <w:rFonts w:ascii="Times New Roman" w:eastAsia="Times New Roman" w:hAnsi="Times New Roman"/>
          <w:iCs/>
          <w:color w:val="000000" w:themeColor="text1"/>
          <w:sz w:val="28"/>
          <w:szCs w:val="28"/>
          <w:lang w:eastAsia="ru-RU"/>
        </w:rPr>
        <w:br/>
        <w:t>по 15 декабря 2016 года – 8,76 млрд рублей</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проценты, поступившие от размещения средств на депозиты </w:t>
      </w:r>
      <w:r>
        <w:rPr>
          <w:rFonts w:ascii="Times New Roman" w:eastAsia="Times New Roman" w:hAnsi="Times New Roman"/>
          <w:color w:val="000000" w:themeColor="text1"/>
          <w:sz w:val="28"/>
          <w:szCs w:val="28"/>
          <w:lang w:eastAsia="ru-RU"/>
        </w:rPr>
        <w:br/>
        <w:t>во Внешэкономбанке, – 12,92</w:t>
      </w:r>
      <w:r>
        <w:rPr>
          <w:rFonts w:ascii="Times New Roman" w:eastAsia="Times New Roman" w:hAnsi="Times New Roman"/>
          <w:bCs/>
          <w:color w:val="000000" w:themeColor="text1"/>
          <w:sz w:val="28"/>
          <w:szCs w:val="28"/>
          <w:lang w:eastAsia="ru-RU"/>
        </w:rPr>
        <w:t> млрд рублей</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проценты, поступившие от размещения средств на депозиты </w:t>
      </w:r>
      <w:r>
        <w:rPr>
          <w:rFonts w:ascii="Times New Roman" w:eastAsia="Times New Roman" w:hAnsi="Times New Roman"/>
          <w:color w:val="000000" w:themeColor="text1"/>
          <w:sz w:val="28"/>
          <w:szCs w:val="28"/>
          <w:lang w:eastAsia="ru-RU"/>
        </w:rPr>
        <w:br/>
        <w:t>в Банке ВТБ (ПАО), – </w:t>
      </w:r>
      <w:r>
        <w:rPr>
          <w:rFonts w:ascii="Times New Roman" w:eastAsia="Times New Roman" w:hAnsi="Times New Roman"/>
          <w:bCs/>
          <w:color w:val="000000" w:themeColor="text1"/>
          <w:sz w:val="28"/>
          <w:szCs w:val="28"/>
          <w:lang w:eastAsia="ru-RU"/>
        </w:rPr>
        <w:t>12,94 </w:t>
      </w:r>
      <w:r>
        <w:rPr>
          <w:rFonts w:ascii="Times New Roman" w:eastAsia="Times New Roman" w:hAnsi="Times New Roman"/>
          <w:color w:val="000000" w:themeColor="text1"/>
          <w:sz w:val="28"/>
          <w:szCs w:val="28"/>
          <w:lang w:eastAsia="ru-RU"/>
        </w:rPr>
        <w:t>млрд рублей;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проценты, поступившие от размещения средств на депозиты </w:t>
      </w:r>
      <w:r>
        <w:rPr>
          <w:rFonts w:ascii="Times New Roman" w:eastAsia="Times New Roman" w:hAnsi="Times New Roman"/>
          <w:color w:val="000000" w:themeColor="text1"/>
          <w:sz w:val="28"/>
          <w:szCs w:val="28"/>
          <w:lang w:eastAsia="ru-RU"/>
        </w:rPr>
        <w:br/>
        <w:t>в Банке ГПБ (АО), – 1,81 млрд рублей.</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1.1.15. Учет поступлений от уплаты налогов, сборов и иных платежей, а также их распределение между бюджетами бюджетной системы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положениями части 1 статьи 166.1 Бюджетного кодекса Федеральное казначейство производит распределение доходов </w:t>
      </w:r>
      <w:r>
        <w:rPr>
          <w:rFonts w:ascii="Times New Roman" w:eastAsia="Times New Roman" w:hAnsi="Times New Roman"/>
          <w:color w:val="000000" w:themeColor="text1"/>
          <w:sz w:val="28"/>
          <w:szCs w:val="28"/>
          <w:lang w:eastAsia="ru-RU"/>
        </w:rPr>
        <w:br/>
        <w:t xml:space="preserve">от налогов, сборов и иных поступлений с учетом возвратов (зачетов, уточнений) излишне уплаченных или излишне взысканных сумм, а также сумм процентов за несвоевременное осуществление такого возврата </w:t>
      </w:r>
      <w:r>
        <w:rPr>
          <w:rFonts w:ascii="Times New Roman" w:eastAsia="Times New Roman" w:hAnsi="Times New Roman"/>
          <w:color w:val="000000" w:themeColor="text1"/>
          <w:sz w:val="28"/>
          <w:szCs w:val="28"/>
          <w:lang w:eastAsia="ru-RU"/>
        </w:rPr>
        <w:br/>
        <w:t>и процентов, начисленных на излишне взысканные суммы, между бюджетами бюджетной системы Российской Федерации по нормативам, действующим в текущем финансовом году, установленным Бюджетным кодексом, законом (решением) о бюджете и иными муниципальными правовыми актами, и их перечисление на единые счета соответствующих бюджетов в порядке, установленном Минфином России.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Учет поступлений в бюджетную систему Российской Федерации </w:t>
      </w:r>
      <w:r>
        <w:rPr>
          <w:rFonts w:ascii="Times New Roman" w:eastAsia="Times New Roman" w:hAnsi="Times New Roman"/>
          <w:color w:val="000000" w:themeColor="text1"/>
          <w:sz w:val="28"/>
          <w:szCs w:val="28"/>
          <w:lang w:eastAsia="ru-RU"/>
        </w:rPr>
        <w:br/>
        <w:t xml:space="preserve">и их распределение между бюджетами бюджетной системы Российской Федерации осуществляется Федеральным казначейством в соответствии </w:t>
      </w:r>
      <w:r>
        <w:rPr>
          <w:rFonts w:ascii="Times New Roman" w:eastAsia="Times New Roman" w:hAnsi="Times New Roman"/>
          <w:color w:val="000000" w:themeColor="text1"/>
          <w:sz w:val="28"/>
          <w:szCs w:val="28"/>
          <w:lang w:eastAsia="ru-RU"/>
        </w:rPr>
        <w:br/>
        <w:t xml:space="preserve">с приказом Минфина России от 18 декабря 2013 г. № 125н «Об утверждении Порядка учета Федеральным казначейством поступлений в бюджетную </w:t>
      </w:r>
      <w:r>
        <w:rPr>
          <w:rFonts w:ascii="Times New Roman" w:eastAsia="Times New Roman" w:hAnsi="Times New Roman"/>
          <w:color w:val="000000" w:themeColor="text1"/>
          <w:sz w:val="28"/>
          <w:szCs w:val="28"/>
          <w:lang w:eastAsia="ru-RU"/>
        </w:rPr>
        <w:lastRenderedPageBreak/>
        <w:t>систему Российской Федерации и их распределения между бюджетами бюджетной системы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При исполнении Федеральным казначейством своих бюджетных полномочий по учету поступлений и их распределению между бюджетами бюджетной системы Российской Федерации Федеральное казначейство осуществляет учет поступлений и их распределение более чем по 4 тысячам кодам бюджетной классификации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предварительным данным Федерального казначейства за 2016 год в бюджетную систему Российской Федерации (с учетом межбюджетных трансфертов) поступило 37 213,71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Из них поступило в бюджеты бюджетной системы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 федеральный бюджет – 13 460 млрд рублей, что составляет 36,17 % от общего объема поступлений в бюджетную систему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 бюджеты государственных внебюджетных фондов – 11 099,59 млрд рублей или 29,83 % от общего объема поступлений </w:t>
      </w:r>
      <w:r>
        <w:rPr>
          <w:rFonts w:ascii="Times New Roman" w:eastAsia="Times New Roman" w:hAnsi="Times New Roman"/>
          <w:color w:val="000000" w:themeColor="text1"/>
          <w:sz w:val="28"/>
          <w:szCs w:val="28"/>
          <w:lang w:eastAsia="ru-RU"/>
        </w:rPr>
        <w:br/>
        <w:t>в бюджетную систему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 бюджеты субъектов Российской Федерации – 8 637,52 млрд рублей или 23,21 % от общего объема поступлений </w:t>
      </w:r>
      <w:r>
        <w:rPr>
          <w:rFonts w:ascii="Times New Roman" w:eastAsia="Times New Roman" w:hAnsi="Times New Roman"/>
          <w:color w:val="000000" w:themeColor="text1"/>
          <w:sz w:val="28"/>
          <w:szCs w:val="28"/>
          <w:lang w:eastAsia="ru-RU"/>
        </w:rPr>
        <w:br/>
        <w:t>в бюджетную систему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 местные бюджеты – 4 016,60 млрд рублей или 10,79 % от общего объема поступлений в бюджетную систему Российской Федерации.</w:t>
      </w:r>
    </w:p>
    <w:p>
      <w:pPr>
        <w:autoSpaceDE w:val="0"/>
        <w:autoSpaceDN w:val="0"/>
        <w:adjustRightInd w:val="0"/>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Диаграмма 20</w:t>
      </w:r>
    </w:p>
    <w:p>
      <w:pPr>
        <w:spacing w:after="0" w:line="360" w:lineRule="atLeast"/>
        <w:jc w:val="center"/>
        <w:rPr>
          <w:rFonts w:ascii="Times New Roman" w:eastAsia="Times New Roman" w:hAnsi="Times New Roman"/>
          <w:bCs/>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263763" cy="3140765"/>
            <wp:effectExtent l="0" t="0" r="0" b="2540"/>
            <wp:docPr id="110" name="Диаграмма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pPr>
        <w:spacing w:after="0" w:line="360" w:lineRule="atLeast"/>
        <w:ind w:firstLine="709"/>
        <w:jc w:val="both"/>
        <w:rPr>
          <w:rFonts w:ascii="Times New Roman" w:eastAsia="Times New Roman" w:hAnsi="Times New Roman"/>
          <w:bCs/>
          <w:noProof/>
          <w:color w:val="000000" w:themeColor="text1"/>
          <w:sz w:val="28"/>
          <w:szCs w:val="28"/>
          <w:lang w:eastAsia="ru-RU"/>
        </w:rPr>
      </w:pPr>
      <w:r>
        <w:rPr>
          <w:rFonts w:ascii="Times New Roman" w:eastAsia="Times New Roman" w:hAnsi="Times New Roman"/>
          <w:bCs/>
          <w:color w:val="000000" w:themeColor="text1"/>
          <w:sz w:val="28"/>
          <w:szCs w:val="28"/>
          <w:lang w:eastAsia="ru-RU"/>
        </w:rPr>
        <w:lastRenderedPageBreak/>
        <w:t xml:space="preserve">При этом сумма невыясненных поступлений, зачисляемых </w:t>
      </w:r>
      <w:r>
        <w:rPr>
          <w:rFonts w:ascii="Times New Roman" w:eastAsia="Times New Roman" w:hAnsi="Times New Roman"/>
          <w:bCs/>
          <w:color w:val="000000" w:themeColor="text1"/>
          <w:sz w:val="28"/>
          <w:szCs w:val="28"/>
          <w:lang w:eastAsia="ru-RU"/>
        </w:rPr>
        <w:br/>
        <w:t>в федеральный бюджет, администрирование которых осуществляет Федеральное казначейство, по состоянию на 1 января 2017 года составила –5,87 млрд рублей (возвращено/уточнено).</w:t>
      </w:r>
      <w:r>
        <w:rPr>
          <w:rFonts w:ascii="Times New Roman" w:eastAsia="Times New Roman" w:hAnsi="Times New Roman"/>
          <w:bCs/>
          <w:noProof/>
          <w:color w:val="000000" w:themeColor="text1"/>
          <w:sz w:val="28"/>
          <w:szCs w:val="28"/>
          <w:lang w:eastAsia="ru-RU"/>
        </w:rPr>
        <w:t xml:space="preserve"> </w:t>
      </w:r>
    </w:p>
    <w:p>
      <w:pPr>
        <w:spacing w:after="0" w:line="360" w:lineRule="atLeast"/>
        <w:ind w:firstLine="720"/>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Следует отметить, что объем невыясненных поступлений, зачисляемых в федеральный бюджет, за 2016 год в основном имел тенденцию к снижению (наибольший объем невыясненных поступлений составил в январе 2016 года – 4,6 млрд рублей, наименьшее значение невыясненных поступлений достигнуто в декабре 2016 года – -5,87 млрд рублей).</w:t>
      </w:r>
    </w:p>
    <w:p>
      <w:pPr>
        <w:spacing w:before="120" w:after="120" w:line="240" w:lineRule="auto"/>
        <w:ind w:firstLine="720"/>
        <w:jc w:val="right"/>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Диаграмма 21</w:t>
      </w:r>
    </w:p>
    <w:p>
      <w:pPr>
        <w:spacing w:after="0" w:line="360" w:lineRule="atLeast"/>
        <w:jc w:val="center"/>
        <w:rPr>
          <w:rFonts w:ascii="Times New Roman" w:eastAsia="Times New Roman" w:hAnsi="Times New Roman"/>
          <w:bCs/>
          <w:noProof/>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295569" cy="3005593"/>
            <wp:effectExtent l="0" t="0" r="19685" b="23495"/>
            <wp:docPr id="109" name="Диаграмма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pPr>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Выбытие из бюджета невыясненных поступлений, зачисляемых</w:t>
      </w:r>
      <w:r>
        <w:rPr>
          <w:rFonts w:ascii="Times New Roman" w:eastAsia="Times New Roman" w:hAnsi="Times New Roman"/>
          <w:bCs/>
          <w:color w:val="000000" w:themeColor="text1"/>
          <w:sz w:val="28"/>
          <w:szCs w:val="28"/>
          <w:lang w:eastAsia="ru-RU"/>
        </w:rPr>
        <w:br/>
        <w:t xml:space="preserve">в федеральный бюджет, по состоянию на 1 января 2017 года в сумме </w:t>
      </w:r>
      <w:r>
        <w:rPr>
          <w:rFonts w:ascii="Times New Roman" w:eastAsia="Times New Roman" w:hAnsi="Times New Roman"/>
          <w:bCs/>
          <w:color w:val="000000" w:themeColor="text1"/>
          <w:sz w:val="28"/>
          <w:szCs w:val="28"/>
          <w:lang w:eastAsia="ru-RU"/>
        </w:rPr>
        <w:br/>
        <w:t xml:space="preserve">5,87 млрд рублей обеспечено благодаря проводимой Федеральным казначейством активной работе по уточнению невыясненных поступлений, зачисляемых в федеральный бюджет, как за 2016 год, так и за предыдущие годы. На протяжении 2016 года Федеральное казначейство в целях уточнения невыясненных поступлений, зачисляемых в федеральный бюджет, осуществляло определение предполагаемых администраторов доходов бюджетов, направляло им в установленном порядке запросы </w:t>
      </w:r>
      <w:r>
        <w:rPr>
          <w:rFonts w:ascii="Times New Roman" w:eastAsia="Times New Roman" w:hAnsi="Times New Roman"/>
          <w:bCs/>
          <w:color w:val="000000" w:themeColor="text1"/>
          <w:sz w:val="28"/>
          <w:szCs w:val="28"/>
          <w:lang w:eastAsia="ru-RU"/>
        </w:rPr>
        <w:br/>
        <w:t xml:space="preserve">о невыясненных поступлениях за все отчетные периоды. Кроме того, Федеральное казначейство в соответствии с приказом Минфина России </w:t>
      </w:r>
      <w:r>
        <w:rPr>
          <w:rFonts w:ascii="Times New Roman" w:eastAsia="Times New Roman" w:hAnsi="Times New Roman"/>
          <w:bCs/>
          <w:color w:val="000000" w:themeColor="text1"/>
          <w:sz w:val="28"/>
          <w:szCs w:val="28"/>
          <w:lang w:eastAsia="ru-RU"/>
        </w:rPr>
        <w:br/>
        <w:t xml:space="preserve">18 декабря 2013 г. № 125н «Об утверждении Порядка учета Федеральным казначейством поступлений в бюджетную систему Российской Федерации </w:t>
      </w:r>
      <w:r>
        <w:rPr>
          <w:rFonts w:ascii="Times New Roman" w:eastAsia="Times New Roman" w:hAnsi="Times New Roman"/>
          <w:bCs/>
          <w:color w:val="000000" w:themeColor="text1"/>
          <w:sz w:val="28"/>
          <w:szCs w:val="28"/>
          <w:lang w:eastAsia="ru-RU"/>
        </w:rPr>
        <w:br/>
        <w:t xml:space="preserve">и их распределения между бюджетами бюджетной системы Российской </w:t>
      </w:r>
      <w:r>
        <w:rPr>
          <w:rFonts w:ascii="Times New Roman" w:eastAsia="Times New Roman" w:hAnsi="Times New Roman"/>
          <w:bCs/>
          <w:color w:val="000000" w:themeColor="text1"/>
          <w:sz w:val="28"/>
          <w:szCs w:val="28"/>
          <w:lang w:eastAsia="ru-RU"/>
        </w:rPr>
        <w:lastRenderedPageBreak/>
        <w:t>Федерации» осуществляло контроль за своевременностью уточнения администраторами доходов бюджета невыясненных поступлений, зачисляемых в федеральный бюджет.</w:t>
      </w:r>
    </w:p>
    <w:p>
      <w:pPr>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xml:space="preserve">В результате проведенной Федеральным казначейством работе </w:t>
      </w:r>
      <w:r>
        <w:rPr>
          <w:rFonts w:ascii="Times New Roman" w:eastAsia="Times New Roman" w:hAnsi="Times New Roman"/>
          <w:bCs/>
          <w:color w:val="000000" w:themeColor="text1"/>
          <w:sz w:val="28"/>
          <w:szCs w:val="28"/>
          <w:lang w:eastAsia="ru-RU"/>
        </w:rPr>
        <w:br/>
        <w:t xml:space="preserve">из общей суммы невыясненных поступлений, зачисленных в федеральный бюджет за 2016 год в сумме 213,47 млрд рублей, было уточнено </w:t>
      </w:r>
      <w:r>
        <w:rPr>
          <w:rFonts w:ascii="Times New Roman" w:eastAsia="Times New Roman" w:hAnsi="Times New Roman"/>
          <w:bCs/>
          <w:color w:val="000000" w:themeColor="text1"/>
          <w:sz w:val="28"/>
          <w:szCs w:val="28"/>
          <w:lang w:eastAsia="ru-RU"/>
        </w:rPr>
        <w:br/>
        <w:t>218,01 млрд рублей, а также возвращены плательщикам 1,33 млрд рублей.</w:t>
      </w:r>
    </w:p>
    <w:p>
      <w:pPr>
        <w:spacing w:before="120" w:after="120" w:line="240" w:lineRule="auto"/>
        <w:ind w:firstLine="709"/>
        <w:jc w:val="right"/>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Диаграмма 22</w:t>
      </w:r>
    </w:p>
    <w:p>
      <w:pPr>
        <w:spacing w:after="0" w:line="360" w:lineRule="atLeast"/>
        <w:jc w:val="center"/>
        <w:rPr>
          <w:rFonts w:ascii="Times New Roman" w:eastAsia="Times New Roman" w:hAnsi="Times New Roman"/>
          <w:color w:val="000000" w:themeColor="text1"/>
          <w:sz w:val="24"/>
          <w:szCs w:val="24"/>
          <w:lang w:eastAsia="ru-RU"/>
        </w:rPr>
      </w:pPr>
      <w:r>
        <w:rPr>
          <w:rFonts w:ascii="Times New Roman" w:eastAsia="Times New Roman" w:hAnsi="Times New Roman"/>
          <w:noProof/>
          <w:color w:val="000000" w:themeColor="text1"/>
          <w:sz w:val="28"/>
          <w:szCs w:val="28"/>
          <w:lang w:eastAsia="ru-RU"/>
        </w:rPr>
        <w:drawing>
          <wp:inline distT="0" distB="0" distL="0" distR="0">
            <wp:extent cx="5669280" cy="3840480"/>
            <wp:effectExtent l="0" t="0" r="7620" b="7620"/>
            <wp:docPr id="108" name="Диаграмма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положениями статьи 166.1 Бюджетного кодекса ТОФК для осуществления возврата (зачета) излишне уплаченных </w:t>
      </w:r>
      <w:r>
        <w:rPr>
          <w:rFonts w:ascii="Times New Roman" w:eastAsia="Times New Roman" w:hAnsi="Times New Roman"/>
          <w:color w:val="000000" w:themeColor="text1"/>
          <w:sz w:val="28"/>
          <w:szCs w:val="28"/>
          <w:lang w:eastAsia="ru-RU"/>
        </w:rPr>
        <w:br/>
        <w:t xml:space="preserve">или излишне взысканных сумм налогов, сборов и иных платежей, а также сумм процентов за несвоевременное осуществление такого возврата </w:t>
      </w:r>
      <w:r>
        <w:rPr>
          <w:rFonts w:ascii="Times New Roman" w:eastAsia="Times New Roman" w:hAnsi="Times New Roman"/>
          <w:color w:val="000000" w:themeColor="text1"/>
          <w:sz w:val="28"/>
          <w:szCs w:val="28"/>
          <w:lang w:eastAsia="ru-RU"/>
        </w:rPr>
        <w:br/>
        <w:t>и процентов, начисленных на излишне взысканные суммы, осуществляют перечисление необходимых средств с единых счетов соответствующих бюджетов на соответствующие счета ТОФК, предназначенные для учета поступлений и их распределения между бюджетами бюджетной системы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предварительным данным Федерального казначейства за 2016 год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процентов, </w:t>
      </w:r>
      <w:r>
        <w:rPr>
          <w:rFonts w:ascii="Times New Roman" w:eastAsia="Times New Roman" w:hAnsi="Times New Roman"/>
          <w:color w:val="000000" w:themeColor="text1"/>
          <w:sz w:val="28"/>
          <w:szCs w:val="28"/>
          <w:lang w:eastAsia="ru-RU"/>
        </w:rPr>
        <w:lastRenderedPageBreak/>
        <w:t xml:space="preserve">начисленных на излишне взысканные суммы, с единых счетов соответствующих бюджетов на соответствующие счета ТОФК, предназначенные для учета поступлений и их распределения между бюджетами бюджетной системы Российской Федерации, было перечислено 1 736,76 млрд рублей. </w:t>
      </w:r>
    </w:p>
    <w:p>
      <w:pPr>
        <w:autoSpaceDE w:val="0"/>
        <w:autoSpaceDN w:val="0"/>
        <w:adjustRightInd w:val="0"/>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Диаграмма 23</w:t>
      </w:r>
    </w:p>
    <w:p>
      <w:pPr>
        <w:autoSpaceDE w:val="0"/>
        <w:autoSpaceDN w:val="0"/>
        <w:adjustRightInd w:val="0"/>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732891" cy="3037398"/>
            <wp:effectExtent l="0" t="0" r="1270" b="0"/>
            <wp:docPr id="107" name="Диаграмма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Из них перечислено на соответствующие счета ТОФК, предназначенные для учета поступлений и их распределения между бюджетами бюджетной системы Российской Федерации:</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 ЕСФБ – 1 412,19 млрд рублей, что составляет 81,31 % от общего объема перечисленных средств;</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 единых счетов государственных внебюджетных фондов – 176,77 млрд рублей или 10,18 % от общего объема перечисленных средств;</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 единых счетов бюджетов субъектов Российской Федерации – 93,07 млрд рублей или 5,36 % от общего объема перечисленных средств;</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 единых счетов местных бюджетов – 54,73 млрд рублей или 3,15 % от общего объема перечисленных средств.</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xml:space="preserve">Во исполнение статьи 306.2 главы 30 Бюджетного кодекса и приказа Минфина России от 11 августа 2014 г. № 74н «Об утверждении порядка исполнения решения о применении бюджетных мер принуждения </w:t>
      </w:r>
      <w:r>
        <w:rPr>
          <w:rFonts w:ascii="Times New Roman" w:hAnsi="Times New Roman"/>
          <w:color w:val="000000" w:themeColor="text1"/>
          <w:sz w:val="28"/>
          <w:szCs w:val="28"/>
        </w:rPr>
        <w:br/>
        <w:t xml:space="preserve">на основании уведомлений Счетной палаты Российской Федерации </w:t>
      </w:r>
      <w:r>
        <w:rPr>
          <w:rFonts w:ascii="Times New Roman" w:hAnsi="Times New Roman"/>
          <w:color w:val="000000" w:themeColor="text1"/>
          <w:sz w:val="28"/>
          <w:szCs w:val="28"/>
        </w:rPr>
        <w:br/>
        <w:t xml:space="preserve">и Федеральной службы финансово-бюджетного надзора (за исключением передачи уполномоченному по соответствующему бюджету части полномочий главного распорядителя, распорядителя и получателя бюджетных средств), о внесении изменений и признании утратившим силу </w:t>
      </w:r>
      <w:r>
        <w:rPr>
          <w:rFonts w:ascii="Times New Roman" w:hAnsi="Times New Roman"/>
          <w:color w:val="000000" w:themeColor="text1"/>
          <w:sz w:val="28"/>
          <w:szCs w:val="28"/>
        </w:rPr>
        <w:lastRenderedPageBreak/>
        <w:t xml:space="preserve">некоторых приказов (отдельных положений приказов) Министерства финансов Российской Федерации» Федеральным казначейством в 2016 году применены бюджетные меры принуждения в виде бесспорного взыскания суммы средств, предоставленных из одного бюджета бюджетной системы Российской Федерации другому бюджету бюджетной системы </w:t>
      </w:r>
      <w:r>
        <w:rPr>
          <w:rFonts w:ascii="Times New Roman" w:eastAsia="Times New Roman" w:hAnsi="Times New Roman"/>
          <w:color w:val="000000" w:themeColor="text1"/>
          <w:sz w:val="28"/>
          <w:szCs w:val="28"/>
          <w:lang w:eastAsia="ru-RU"/>
        </w:rPr>
        <w:t xml:space="preserve">Российской Федерации к 53 субъектам Российской Федерации на общую сумму </w:t>
      </w:r>
      <w:r>
        <w:rPr>
          <w:rFonts w:ascii="Times New Roman" w:eastAsia="Times New Roman" w:hAnsi="Times New Roman"/>
          <w:color w:val="000000" w:themeColor="text1"/>
          <w:sz w:val="28"/>
          <w:szCs w:val="28"/>
          <w:lang w:eastAsia="ru-RU"/>
        </w:rPr>
        <w:br/>
        <w:t>12,5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протяжении 2016 года Федеральное казначейство осуществляло реализацию положений Договора о Евразийском экономическом союзе </w:t>
      </w:r>
      <w:r>
        <w:rPr>
          <w:rFonts w:ascii="Times New Roman" w:eastAsia="Times New Roman" w:hAnsi="Times New Roman"/>
          <w:color w:val="000000" w:themeColor="text1"/>
          <w:sz w:val="28"/>
          <w:szCs w:val="28"/>
          <w:lang w:eastAsia="ru-RU"/>
        </w:rPr>
        <w:br/>
        <w:t xml:space="preserve">от 29 мая 2014 года в соответствии с порядками исполнения Федеральным казначейством положений приложения № 5 «Протокол о порядке зачисления и распределения сумм ввозных таможенных пошлин (иных пошлин, налогов и сборов, имеющих эквивалентное действие), </w:t>
      </w:r>
      <w:r>
        <w:rPr>
          <w:rFonts w:ascii="Times New Roman" w:eastAsia="Times New Roman" w:hAnsi="Times New Roman"/>
          <w:color w:val="000000" w:themeColor="text1"/>
          <w:sz w:val="28"/>
          <w:szCs w:val="28"/>
          <w:lang w:eastAsia="ru-RU"/>
        </w:rPr>
        <w:br/>
        <w:t xml:space="preserve">их перечисления в доход бюджетов государств-членов» и приложения № 8 «Протокол о применении специальных защитных, антидемпинговых, компенсационных мер по отношению к третьим странам» к Договору </w:t>
      </w:r>
      <w:r>
        <w:rPr>
          <w:rFonts w:ascii="Times New Roman" w:eastAsia="Times New Roman" w:hAnsi="Times New Roman"/>
          <w:color w:val="000000" w:themeColor="text1"/>
          <w:sz w:val="28"/>
          <w:szCs w:val="28"/>
          <w:lang w:eastAsia="ru-RU"/>
        </w:rPr>
        <w:br/>
        <w:t>о Евразийском экономическом союзе от 29 мая 2014 года, утвержденными приказом Федерального казначейства от 27 декабря 2014 г. № 320.</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Федеральным казначейством перечислены в бюджеты государств-членов Евразийского экономического союза 574,16 млрд рублей, в том числе:</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ввозных таможенных пошлин (иных пошлин, налогов и сборов, имеющих эквивалентное действие), взимаемых на территории Российской Федерации, на сумму 570,01 млрд рублей, из них:</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Российской Федерации – 486,33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Казахстан – 40,53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Беларусь – 25,99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Армения – 6,33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Кыргызской Республики – 10,83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специальных, антидемпинговых и компенсационных пошлин, взимаемых на территории Российской Федерации, на сумму </w:t>
      </w:r>
      <w:r>
        <w:rPr>
          <w:rFonts w:ascii="Times New Roman" w:eastAsia="Times New Roman" w:hAnsi="Times New Roman"/>
          <w:color w:val="000000" w:themeColor="text1"/>
          <w:sz w:val="28"/>
          <w:szCs w:val="28"/>
          <w:lang w:eastAsia="ru-RU"/>
        </w:rPr>
        <w:br/>
        <w:t>4,15 млрд рублей, из них:</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Российской Федерации – 3,54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Казахстан – 0,29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Беларусь – 0,19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Республики Армения – 0,05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бюджет Кыргызской Республики – 0,08 млрд рублей.</w:t>
      </w:r>
    </w:p>
    <w:p>
      <w:pPr>
        <w:pageBreakBefore/>
        <w:autoSpaceDE w:val="0"/>
        <w:autoSpaceDN w:val="0"/>
        <w:adjustRightInd w:val="0"/>
        <w:spacing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Диаграмма 24</w:t>
      </w:r>
    </w:p>
    <w:p>
      <w:pPr>
        <w:autoSpaceDE w:val="0"/>
        <w:autoSpaceDN w:val="0"/>
        <w:adjustRightInd w:val="0"/>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4595854" cy="2711395"/>
            <wp:effectExtent l="0" t="0" r="0" b="0"/>
            <wp:docPr id="106" name="Диаграмма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Государствами-членами Евразийского экономического союза </w:t>
      </w:r>
      <w:r>
        <w:rPr>
          <w:rFonts w:ascii="Times New Roman" w:eastAsia="Times New Roman" w:hAnsi="Times New Roman"/>
          <w:color w:val="000000" w:themeColor="text1"/>
          <w:sz w:val="28"/>
          <w:szCs w:val="28"/>
          <w:lang w:eastAsia="ru-RU"/>
        </w:rPr>
        <w:br/>
        <w:t>в 2016 году в бюджет Российской Федерации было перечислено 1 066,18 млрд рублей (в рублевом эквиваленте), в том числе:</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ввозных таможенных пошлин на сумму 73,18 млрд рублей, из них:</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Казахстан – 162,27 млрд тенге (в рублевом эквиваленте –31,63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Беларусь – 0,83 млрд белорусских рублей (в рублевом эквиваленте – 27,82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Армения – 28,65 млн армянских драм (в рублевом эквиваленте – 3,96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Кыргызской Республикой – 10,27 млрд кыргызских сом (в рублевом эквиваленте – 9,77 млрд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специальных, антидемпинговых и компенсационных пошлин </w:t>
      </w:r>
      <w:r>
        <w:rPr>
          <w:rFonts w:ascii="Times New Roman" w:eastAsia="Times New Roman" w:hAnsi="Times New Roman"/>
          <w:color w:val="000000" w:themeColor="text1"/>
          <w:sz w:val="28"/>
          <w:szCs w:val="28"/>
          <w:lang w:eastAsia="ru-RU"/>
        </w:rPr>
        <w:br/>
        <w:t>на сумму 993,0 млн рублей, из них:</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Казахстан – 3 139,3 млн тенге (в рублевом эквиваленте – 607,3 млн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Беларусь – 5,9 млн белорусских рублей (в рублевом эквиваленте – 197,4 млн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Республикой Армения – 387,9 млн армянских драм (в рублевом эквиваленте – 53,2 млн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Кыргызской Республикой – 141,8 млн кыргызских сом (в рублевом эквиваленте – 135,1 млн рублей).</w:t>
      </w:r>
    </w:p>
    <w:p>
      <w:pPr>
        <w:pageBreakBefore/>
        <w:autoSpaceDE w:val="0"/>
        <w:autoSpaceDN w:val="0"/>
        <w:adjustRightInd w:val="0"/>
        <w:spacing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Диаграмма 25</w:t>
      </w:r>
    </w:p>
    <w:p>
      <w:pPr>
        <w:autoSpaceDE w:val="0"/>
        <w:autoSpaceDN w:val="0"/>
        <w:adjustRightInd w:val="0"/>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581816" cy="3148717"/>
            <wp:effectExtent l="0" t="0" r="0" b="0"/>
            <wp:docPr id="105" name="Диаграмма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Федеральное казначейство на протяжении 2016 года принимало активное участие в разработке и обсуждении изменений положений протокола о порядке зачисления и распределения сумм ввозных таможенных пошлин (иных пошлин, налогов и сборов, имеющих эквивалентное действие), их перечисления в доход бюджетов государств-членов (приложение № 5 к Договору о Евразийском экономическом союзе от 29 мая 2014 года).</w:t>
      </w:r>
    </w:p>
    <w:p>
      <w:pPr>
        <w:autoSpaceDE w:val="0"/>
        <w:autoSpaceDN w:val="0"/>
        <w:adjustRightInd w:val="0"/>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1.2. Казначейское сопровождение средств, предоставляемых </w:t>
      </w:r>
      <w:r>
        <w:rPr>
          <w:rFonts w:ascii="Times New Roman" w:eastAsia="Times New Roman" w:hAnsi="Times New Roman"/>
          <w:b/>
          <w:color w:val="000000" w:themeColor="text1"/>
          <w:sz w:val="28"/>
          <w:szCs w:val="28"/>
          <w:lang w:eastAsia="ru-RU"/>
        </w:rPr>
        <w:br/>
        <w:t>из бюджета</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1.2.1. Казначейское сопровождение государственных контрактов, договоров (соглашений), а также контрактов, договоров, соглашений, заключенных в рамках их исполнения, в целях реализации части </w:t>
      </w:r>
      <w:r>
        <w:rPr>
          <w:rFonts w:ascii="Times New Roman" w:eastAsia="Times New Roman" w:hAnsi="Times New Roman"/>
          <w:b/>
          <w:color w:val="000000" w:themeColor="text1"/>
          <w:sz w:val="28"/>
          <w:szCs w:val="28"/>
          <w:lang w:eastAsia="ru-RU"/>
        </w:rPr>
        <w:br/>
        <w:t xml:space="preserve">2 статьи 5 Федерального закона от 14 декабря 2015 г. № 359-ФЗ </w:t>
      </w:r>
      <w:r>
        <w:rPr>
          <w:rFonts w:ascii="Times New Roman" w:eastAsia="Times New Roman" w:hAnsi="Times New Roman"/>
          <w:b/>
          <w:color w:val="000000" w:themeColor="text1"/>
          <w:sz w:val="28"/>
          <w:szCs w:val="28"/>
          <w:lang w:eastAsia="ru-RU"/>
        </w:rPr>
        <w:br/>
        <w:t>«О федеральном бюджете на 2016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реализации статьи 5 Федерального закона № 359-ФЗ, Федеральным казначейством принято участие в подготовке: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правил казначейского сопровождения в 2016 году государственных контрактов, договоров (соглашений), а также контрактов, договоров, соглашений, заключенных в рамках их исполнения, утвержденных постановлением Правительства Российской Федерации от 4 февраля 2016 г. № 70 «О порядке казначейского сопровождения в 2016 году государственных контрактов, договоров (соглашений), а также контрактов, </w:t>
      </w:r>
      <w:r>
        <w:rPr>
          <w:rFonts w:ascii="Times New Roman" w:hAnsi="Times New Roman"/>
          <w:color w:val="000000" w:themeColor="text1"/>
          <w:sz w:val="28"/>
          <w:szCs w:val="28"/>
        </w:rPr>
        <w:lastRenderedPageBreak/>
        <w:t>договоров, соглашений, заключенных в рамках их исполнения» (далее – Постановление № 70);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перечня субсидий юридическим лицам, в том числе государственным корпорациям и государственной компании «Российские автомобильные дороги», и бюджетных инвестиций юридическим лицам </w:t>
      </w:r>
      <w:r>
        <w:rPr>
          <w:rFonts w:ascii="Times New Roman" w:hAnsi="Times New Roman"/>
          <w:color w:val="000000" w:themeColor="text1"/>
          <w:sz w:val="28"/>
          <w:szCs w:val="28"/>
        </w:rPr>
        <w:br/>
        <w:t>в соответствии со статьей 80 Бюджетного кодекса, на договоры (соглашения), о предоставлении которых не распространяются положения части 2 статьи 5 Федерального закона № 359-ФЗ;</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предложений по внесению изменений в Порядок проведения территориальными органами Федерального казначейства санкционирования операций при казначейском сопровождении государственных контрактов, договоров (соглашений), а также контрактов, договоров, соглашений, заключенных в рамках их исполнения, утвержденный приказом Минфина России от 25 декабря 2015 г. № 213н.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реализации Постановления № 70 разработаны и утверждены следующие приказы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 16 февраля 2016 г. № 4н «Об утверждении Порядка формирования идентификатора государственного контракта, договора (соглашения) при казначейском сопровождении в 2016 году государственных контрактов, договоров (соглашений), а также контрактов, договоров, соглашений, заключенных в рамках их исполнения»;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 29 февраля 2016 г. № 5н «Об утверждении форм отчетности, предоставляемой территориальными органами Федерального казначейства по казначейскому сопровождению государственных контрактов (контрактов, договоров,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25 марта 2016 г. № 58 «Об организации работы территориальных органов Федерального казначейства по осуществлению полномочий получателя средств федерального бюджета по перечислению </w:t>
      </w:r>
      <w:r>
        <w:rPr>
          <w:rFonts w:ascii="Times New Roman" w:hAnsi="Times New Roman"/>
          <w:color w:val="000000" w:themeColor="text1"/>
          <w:sz w:val="28"/>
          <w:szCs w:val="28"/>
        </w:rPr>
        <w:br/>
        <w:t>из федерального бюджета субсидий юридическим лицам (за исключением субсидий федеральным и автономных учреждениям) при казначейском сопровождении договоров (соглашений) о предоставлении указанных субсидий».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внедрено казначейское сопровождение бюджетных средств.</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Одной из главных причин перехода на казначейское сопровождение был значительный объем бюджетного авансирования, приведший </w:t>
      </w:r>
      <w:r>
        <w:rPr>
          <w:rFonts w:ascii="Times New Roman" w:eastAsia="Times New Roman" w:hAnsi="Times New Roman"/>
          <w:color w:val="000000" w:themeColor="text1"/>
          <w:sz w:val="28"/>
          <w:szCs w:val="28"/>
          <w:lang w:eastAsia="ru-RU"/>
        </w:rPr>
        <w:br/>
        <w:t>к образованию дебиторской задолженности в размере 4 трлн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Средства, полученные авансом из бюджета, ранее могли размещаться на депозитах в коммерческих банках, вместо того, чтобы использоваться </w:t>
      </w:r>
      <w:r>
        <w:rPr>
          <w:rFonts w:ascii="Times New Roman" w:eastAsia="Times New Roman" w:hAnsi="Times New Roman"/>
          <w:color w:val="000000" w:themeColor="text1"/>
          <w:sz w:val="28"/>
          <w:szCs w:val="28"/>
          <w:lang w:eastAsia="ru-RU"/>
        </w:rPr>
        <w:br/>
        <w:t>на предусмотренные в бюджете цели.</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со статьей 5 Федерального закона № 359-ФЗ казначейскому сопровождению подлежали договоры (соглашения) </w:t>
      </w:r>
      <w:r>
        <w:rPr>
          <w:rFonts w:ascii="Times New Roman" w:eastAsia="Times New Roman" w:hAnsi="Times New Roman"/>
          <w:color w:val="000000" w:themeColor="text1"/>
          <w:sz w:val="28"/>
          <w:szCs w:val="28"/>
          <w:lang w:eastAsia="ru-RU"/>
        </w:rPr>
        <w:br/>
        <w:t>о предоставлении субсидий и бюджетных инвестиций юридическим лицам, государственные контракты (за исключением государственных контрактов Минобороны России и государственных контрактов, подлежащих банковскому сопровождению) стоимостью более 100 млн рублей, условиями которых предусмотрен аванс, а также контракты, договоры, заключенные в рамках их исполнения.</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Также положениями пункта 36 Постановления № 1456 было предусмотрено казначейское сопровождение государственных контрактов (договоров) на выполнение научно-исследовательских и опытно-конструкторских работ, направленных на импортозамещение технологической продукции, при включении в указанные государственные контракты (договоры) размера авансового платежа свыше 30 и до 80 процентов.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в 2016 году Правительством Российской Федерации </w:t>
      </w:r>
      <w:r>
        <w:rPr>
          <w:rFonts w:ascii="Times New Roman" w:eastAsia="Times New Roman" w:hAnsi="Times New Roman"/>
          <w:color w:val="000000" w:themeColor="text1"/>
          <w:sz w:val="28"/>
          <w:szCs w:val="28"/>
          <w:lang w:eastAsia="ru-RU"/>
        </w:rPr>
        <w:br/>
        <w:t>в постановлении о государственном оборонном заказе было установлено требование о казначейском сопровождении государственных контрактов, заключаемых государственными заказчиками государственного оборонного заказа (за исключением государственных контрактов Минобороны России), в случае, если условиями таких государственных контрактов предусмотрено авансирование свыше 30 и до 80 процентов.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 2016 года средства из бюджета предоставлялись юридическим лицам через счета, открытые им в Казначействе России.</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части субсидий казначейское сопровождение обеспечивает предоставление бюджетных средств только под фактическую потребность, то есть в пределах суммы, необходимой для оплаты денежных обязательств.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в соответствии с положениями части 4 статьи 5 Федерального закона № 359-ФЗ Федеральным казначейством была проведена инвентаризация неиспользованных юридическими лицами </w:t>
      </w:r>
      <w:r>
        <w:rPr>
          <w:rFonts w:ascii="Times New Roman" w:eastAsia="Times New Roman" w:hAnsi="Times New Roman"/>
          <w:color w:val="000000" w:themeColor="text1"/>
          <w:sz w:val="28"/>
          <w:szCs w:val="28"/>
          <w:lang w:eastAsia="ru-RU"/>
        </w:rPr>
        <w:br/>
        <w:t>до 1 января 2016 года остатков субсидий. По результатам указанной инвентаризации на счета Федерального казначейства было возвращено 147,8 млрд рублей, из них 5,9 млрд рублей были зачислены в доход федерального бюджета, так как оказались невостребованными.</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состоянию на 31 декабря 2016 года в ТОФК 4 728 юридическим лицам, являющимся получателями субсидий, бюджетных инвестиций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и авансовых платежей по государственным контрактам, контрактам (договорам), в том числе по государственному оборонному заказу, были открыты 9 353 отдельных лицевых счета для учета операций НУБП, из них:</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− 4 053 юридическим лицам, являющимся получателями субсидий, бюджетных инвестиций и исполнителями (соисполнителями) </w:t>
      </w:r>
      <w:r>
        <w:rPr>
          <w:rFonts w:ascii="Times New Roman" w:eastAsia="Times New Roman" w:hAnsi="Times New Roman"/>
          <w:color w:val="000000" w:themeColor="text1"/>
          <w:sz w:val="28"/>
          <w:szCs w:val="28"/>
          <w:lang w:eastAsia="ru-RU"/>
        </w:rPr>
        <w:br/>
        <w:t>по государственным контрактам, контрактам (договорам) открыты 8 102 отдельных счета;</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− 675 юридическим лицам, являющимся исполнителями (соисполнителями) по государственным контрактам, контрактам, заключенным в рамках исполнения государственного оборонного заказа, открыты 1 255 отдельных счетов.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Всего на указанные отдельные счета в 2016 году поступили </w:t>
      </w:r>
      <w:r>
        <w:rPr>
          <w:rFonts w:ascii="Times New Roman" w:eastAsia="Times New Roman" w:hAnsi="Times New Roman"/>
          <w:color w:val="000000" w:themeColor="text1"/>
          <w:sz w:val="28"/>
          <w:szCs w:val="28"/>
          <w:lang w:eastAsia="ru-RU"/>
        </w:rPr>
        <w:br/>
        <w:t>1 014 544,2 млн рублей, а именно:</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− 901 847,3 млн рублей – в рамках исполнения государственных контрактов, контрактов, соглашений (договоров);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− 112 696,9 млн рублей – в рамках исполнения государственных контрактов, контрактов, заключенных для исполнения государственного оборонного заказа.</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Кассовый расход с отдельных счетов составил 730 255,0 млн рублей, </w:t>
      </w:r>
      <w:r>
        <w:rPr>
          <w:rFonts w:ascii="Times New Roman" w:eastAsia="Times New Roman" w:hAnsi="Times New Roman"/>
          <w:color w:val="000000" w:themeColor="text1"/>
          <w:sz w:val="28"/>
          <w:szCs w:val="28"/>
          <w:lang w:eastAsia="ru-RU"/>
        </w:rPr>
        <w:br/>
        <w:t>в том числе:</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− 656 232,1 млн рублей – в рамках исполнения государственных контрактов, контрактов, соглашений (договоров);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− 74 022,9 млн рублей – в рамках исполнения государственных контрактов, контрактов, заключенных для исполнения государственного оборонного заказа.</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 в 2016 году в соответствии с отдельными решениями Правительства Российской Федерации Федеральным казначейством осуществлялось казначейское сопровождение таких проектов, как:</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строительство космодрома «Восточный» (постановление Правительства Российской Федерации от 14 марта 2015 г. № 226);</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строительство транспортного перехода через Керченский пролив (распоряжение Правительства Российской Федерации от 5 июля 2016 г. № 1416-р). Особенностью данного проекта является интеграция казначейского и банковского сопровождения государственного контракта, контрактов (договоров);</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строительство (реставрация) стадионов для проведения чемпионата мира по футболу FIFA 2018 года (поручение Первого заместителя Председателя Правительства Российской Федерации И.И. Шувалова </w:t>
      </w:r>
      <w:r>
        <w:rPr>
          <w:rFonts w:ascii="Times New Roman" w:eastAsia="Times New Roman" w:hAnsi="Times New Roman"/>
          <w:color w:val="000000" w:themeColor="text1"/>
          <w:sz w:val="28"/>
          <w:szCs w:val="28"/>
          <w:lang w:eastAsia="ru-RU"/>
        </w:rPr>
        <w:br/>
        <w:t xml:space="preserve">от 11 августа 2016 г. № ИШ-П12-4802). Особенностью данного проекта </w:t>
      </w:r>
      <w:r>
        <w:rPr>
          <w:rFonts w:ascii="Times New Roman" w:eastAsia="Times New Roman" w:hAnsi="Times New Roman"/>
          <w:color w:val="000000" w:themeColor="text1"/>
          <w:sz w:val="28"/>
          <w:szCs w:val="28"/>
          <w:lang w:eastAsia="ru-RU"/>
        </w:rPr>
        <w:lastRenderedPageBreak/>
        <w:t xml:space="preserve">является осуществление Федеральным казначейством контроля </w:t>
      </w:r>
      <w:r>
        <w:rPr>
          <w:rFonts w:ascii="Times New Roman" w:eastAsia="Times New Roman" w:hAnsi="Times New Roman"/>
          <w:color w:val="000000" w:themeColor="text1"/>
          <w:sz w:val="28"/>
          <w:szCs w:val="28"/>
          <w:lang w:eastAsia="ru-RU"/>
        </w:rPr>
        <w:br/>
        <w:t>за соответствием информации, содержащейся в документах, предоставляемых для санкционирования операций, условиям государственного контракта (контракта, договора) в части сроков поставки товаров (выполнения работ, оказания услуг), количества товаров (объема работ, услуг);</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казначейское сопровождение финансово-хозяйственной деятельности АО «Особые экономические зоны» и его управляющих компаний (распоряжение Правительства Российской Федерации </w:t>
      </w:r>
      <w:r>
        <w:rPr>
          <w:rFonts w:ascii="Times New Roman" w:eastAsia="Times New Roman" w:hAnsi="Times New Roman"/>
          <w:color w:val="000000" w:themeColor="text1"/>
          <w:sz w:val="28"/>
          <w:szCs w:val="28"/>
          <w:lang w:eastAsia="ru-RU"/>
        </w:rPr>
        <w:br/>
        <w:t>от 5 сентября 2016 г. № 1862-р). Особенностью данного проекта является казначейское сопровождение не только целевых средств, но и средств финансово-хозяйственной деятельности АО «Особые экономические зоны» и его управляющих компаний;</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информационное обеспечение чемпионата мира по футболу FIFA 2018 года и Кубка конфедерации FIFA 2017 (протокол совещания у Первого заместителя Председателя Правительства Российской Федерации И.И. Шувалова от 8 июля 2016 г. № ИШ-П13-45пр). Особенностью данного проекта является раскрытие исполнителем структуры образования цены товаров, работ, услуг с расчетом себестоимости по элементам затрат </w:t>
      </w:r>
      <w:r>
        <w:rPr>
          <w:rFonts w:ascii="Times New Roman" w:eastAsia="Times New Roman" w:hAnsi="Times New Roman"/>
          <w:color w:val="000000" w:themeColor="text1"/>
          <w:sz w:val="28"/>
          <w:szCs w:val="28"/>
          <w:lang w:eastAsia="ru-RU"/>
        </w:rPr>
        <w:br/>
        <w:t xml:space="preserve">и прибыли, а также контролем Федерального казначейства за предельной доходностью проекта не более 10 процентов от цены государственного контракта, за соответствием информации, содержащейся в документах, подтверждающих возникновение денежных обязательств, срокам и объемам оказанных услуг, предусмотренных условиями соответствующего государственного контракта и подтверждение факта оказания услуг </w:t>
      </w:r>
      <w:r>
        <w:rPr>
          <w:rFonts w:ascii="Times New Roman" w:eastAsia="Times New Roman" w:hAnsi="Times New Roman"/>
          <w:color w:val="000000" w:themeColor="text1"/>
          <w:sz w:val="28"/>
          <w:szCs w:val="28"/>
          <w:lang w:eastAsia="ru-RU"/>
        </w:rPr>
        <w:br/>
        <w:t>с использованием фото-видеотехники.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исполнения статьи 5 Федерального закона № 359-ФЗ Федеральным казначейством обеспечена возможность оперативного сбора </w:t>
      </w:r>
      <w:r>
        <w:rPr>
          <w:rFonts w:ascii="Times New Roman" w:hAnsi="Times New Roman"/>
          <w:color w:val="000000" w:themeColor="text1"/>
          <w:sz w:val="28"/>
          <w:szCs w:val="28"/>
        </w:rPr>
        <w:br/>
        <w:t xml:space="preserve">и анализа сведений об операциях, а также движении денежных средств </w:t>
      </w:r>
      <w:r>
        <w:rPr>
          <w:rFonts w:ascii="Times New Roman" w:hAnsi="Times New Roman"/>
          <w:color w:val="000000" w:themeColor="text1"/>
          <w:sz w:val="28"/>
          <w:szCs w:val="28"/>
        </w:rPr>
        <w:br/>
        <w:t>в рамках казначейского сопровождения отдельных государственных контрактов, договоров (соглашений), источником финансового обеспечения которых являются средства, предоставляемые из федерального бюджета.</w:t>
      </w:r>
    </w:p>
    <w:p>
      <w:pPr>
        <w:autoSpaceDE w:val="0"/>
        <w:autoSpaceDN w:val="0"/>
        <w:adjustRightInd w:val="0"/>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Подводя итоги применения казначейского сопровождения в 2016 году в целом можно сделать вывод, что казначейское сопровождение позволило обеспечить целевое использование средств из федерального бюджета, минимизировать количество компаний-посредников, повысить оперативность доведения средств из бюджета непосредственным производителям товаров, работ, услуг.</w:t>
      </w:r>
    </w:p>
    <w:p>
      <w:pPr>
        <w:pStyle w:val="21"/>
        <w:pageBreakBefore/>
        <w:tabs>
          <w:tab w:val="left" w:pos="0"/>
          <w:tab w:val="left" w:pos="993"/>
          <w:tab w:val="left" w:pos="1276"/>
        </w:tabs>
        <w:spacing w:line="240" w:lineRule="auto"/>
        <w:ind w:firstLine="709"/>
        <w:jc w:val="both"/>
        <w:rPr>
          <w:b/>
          <w:color w:val="000000" w:themeColor="text1"/>
          <w:sz w:val="28"/>
          <w:szCs w:val="28"/>
        </w:rPr>
      </w:pPr>
      <w:r>
        <w:rPr>
          <w:b/>
          <w:color w:val="000000" w:themeColor="text1"/>
          <w:sz w:val="28"/>
          <w:szCs w:val="28"/>
        </w:rPr>
        <w:lastRenderedPageBreak/>
        <w:t>1.3. Повышение эффективности процессов управления финансовыми ресурсами Российской Федерации</w:t>
      </w:r>
    </w:p>
    <w:p>
      <w:pPr>
        <w:pStyle w:val="21"/>
        <w:tabs>
          <w:tab w:val="left" w:pos="0"/>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 xml:space="preserve">1.3.1. Прогнозирование и кассовое планирование средств </w:t>
      </w:r>
      <w:r>
        <w:rPr>
          <w:b/>
          <w:color w:val="000000" w:themeColor="text1"/>
          <w:sz w:val="28"/>
          <w:szCs w:val="28"/>
        </w:rPr>
        <w:br/>
        <w:t>на едином казначейском счете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Федеральное казначейство осуществляет прогнозирование и кассовое планирование средств федерального бюджета в соответствии с Порядком составления и ведения кассового плана исполнения федерального бюджета в текущем финансовом году, утвержденным приказом Министерства финансов Российской Федерации от 9 декабря 2013 г. № 117н (далее – Приказ № 117н).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Федеральное казначейство представило кассовый план исполнения федерального бюджета на текущий финансовый год в Минфин России 12 раз.</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Также в 2016 году Федеральным казначейством в соответствии</w:t>
      </w:r>
      <w:r>
        <w:rPr>
          <w:rFonts w:ascii="Times New Roman" w:hAnsi="Times New Roman"/>
          <w:color w:val="000000" w:themeColor="text1"/>
          <w:sz w:val="28"/>
          <w:szCs w:val="28"/>
        </w:rPr>
        <w:br/>
        <w:t xml:space="preserve">с Порядком утверждения и доведения до главных распорядителей, распорядителей и получателей средств федерального бюджета предельного объема оплаты денежных обязательств, утвержденным приказом Министерства финансов Российской Федерации от 21 декабря 2015 г. № 204н (далее – Приказ № 204н), внедрены механизм доведения </w:t>
      </w:r>
      <w:r>
        <w:rPr>
          <w:rFonts w:ascii="Times New Roman" w:hAnsi="Times New Roman"/>
          <w:color w:val="000000" w:themeColor="text1"/>
          <w:sz w:val="28"/>
          <w:szCs w:val="28"/>
        </w:rPr>
        <w:br/>
        <w:t>и контроля предельных объемов оплаты денежных обязательств (далее – предельные объемы финансирования), утвержденных ГРБС, и механизм мониторинга непревышения кассовыми выплатами предельных объемов финансирования, доведенных до ГРБС.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улучшения качества процесса кассового планирования </w:t>
      </w:r>
      <w:r>
        <w:rPr>
          <w:rFonts w:ascii="Times New Roman" w:hAnsi="Times New Roman"/>
          <w:color w:val="000000" w:themeColor="text1"/>
          <w:sz w:val="28"/>
          <w:szCs w:val="28"/>
        </w:rPr>
        <w:br/>
        <w:t xml:space="preserve">и прогнозирования средств федерального бюджета Федеральным казначейством в 2016 году направлялись предложения в Минфин России, </w:t>
      </w:r>
      <w:r>
        <w:rPr>
          <w:rFonts w:ascii="Times New Roman" w:hAnsi="Times New Roman"/>
          <w:color w:val="000000" w:themeColor="text1"/>
          <w:sz w:val="28"/>
          <w:szCs w:val="28"/>
        </w:rPr>
        <w:br/>
        <w:t>в результате чего были изданы приказы Минфина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 30 мая 2016 г. № 73н «О внесении изменений в Порядок составления и ведения кассового плана исполнения федерального бюджета в текущем финансовом году, утвержденный приказом Министерства финансов Российской Федерации от 9 декабря 2013 г. № 117н»;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14 декабря 2016 г. № 235н «О внесении изменений в Порядок утверждения и доведения до главных распорядителей, распорядителей </w:t>
      </w:r>
      <w:r>
        <w:rPr>
          <w:rFonts w:ascii="Times New Roman" w:hAnsi="Times New Roman"/>
          <w:color w:val="000000" w:themeColor="text1"/>
          <w:sz w:val="28"/>
          <w:szCs w:val="28"/>
        </w:rPr>
        <w:br/>
        <w:t>и получателей средств федерального бюджета предельного объема оплаты денежных обязательств, утвержденный приказом Министерства финансов Российской Федерации от 21 декабря 2015 г. № 204н».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 целях надлежащей организации работы по исполнению Приказа № 117н и Приказа № 204н утверждены приказы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30 декабря 2016 г. № 525 «Об утверждении Порядка организации работы в Федеральном казначействе по исполнению Порядка утверждения </w:t>
      </w:r>
      <w:r>
        <w:rPr>
          <w:rFonts w:ascii="Times New Roman" w:hAnsi="Times New Roman"/>
          <w:color w:val="000000" w:themeColor="text1"/>
          <w:sz w:val="28"/>
          <w:szCs w:val="28"/>
        </w:rPr>
        <w:br/>
        <w:t>и доведения до главных распорядителей, распорядителей и получателей средств федерального бюджета предельного объема оплаты денежных обязательств, утвержденного приказом Министерства финансов Российской Федерации от 21 декабря 2015 г. № 204н»;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30 декабря 2016 г. № 526 «Об утверждении Порядка организации работы в Федеральном казначействе по исполнению Порядка составления </w:t>
      </w:r>
      <w:r>
        <w:rPr>
          <w:rFonts w:ascii="Times New Roman" w:hAnsi="Times New Roman"/>
          <w:color w:val="000000" w:themeColor="text1"/>
          <w:sz w:val="28"/>
          <w:szCs w:val="28"/>
        </w:rPr>
        <w:br/>
        <w:t>и ведения кассового плана исполнения федерального бюджета в текущем финансовом году, утвержденного приказом Министерства финансов Российской Федерации от 9 декабря 2013 г. № 117н».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повышения эффективности процессов управления финансовыми ресурсами Российской Федерации в 2016 году разработан, опробован и внедрен механизм ежедневного таргетирования остатков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Федеральное казначейство продолжило работу </w:t>
      </w:r>
      <w:r>
        <w:rPr>
          <w:rFonts w:ascii="Times New Roman" w:hAnsi="Times New Roman"/>
          <w:color w:val="000000" w:themeColor="text1"/>
          <w:sz w:val="28"/>
          <w:szCs w:val="28"/>
        </w:rPr>
        <w:br/>
        <w:t xml:space="preserve">по адаптации информационных систем Федерального казначейства </w:t>
      </w:r>
      <w:r>
        <w:rPr>
          <w:rFonts w:ascii="Times New Roman" w:hAnsi="Times New Roman"/>
          <w:color w:val="000000" w:themeColor="text1"/>
          <w:sz w:val="28"/>
          <w:szCs w:val="28"/>
        </w:rPr>
        <w:br/>
        <w:t>к новым условиям функционирования ЕКС в рамках реализации Концепции реформирования системы бюджетных платежей. Кроме того, в целях создания подсистемы «Управление денежными средствами» ГИИС «Электронный бюджет» разработана и одобрена руководителем Федерального казначейства Р.Е. Артюхиным Концепция создания</w:t>
      </w:r>
      <w:r>
        <w:rPr>
          <w:rFonts w:ascii="Times New Roman" w:hAnsi="Times New Roman"/>
          <w:color w:val="000000" w:themeColor="text1"/>
          <w:sz w:val="28"/>
          <w:szCs w:val="28"/>
        </w:rPr>
        <w:br/>
        <w:t>и развития модуля кассового планирования подсистемы «Управление денежными средствами»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1.3.2. Управление остатками средств на едином счете федерального бюджета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Управление остатками средств на ЕСФБ объединяет в себе обеспечение необходимого минимального уровня денежных средств </w:t>
      </w:r>
      <w:r>
        <w:rPr>
          <w:rFonts w:ascii="Times New Roman" w:eastAsia="Times New Roman" w:hAnsi="Times New Roman"/>
          <w:color w:val="000000" w:themeColor="text1"/>
          <w:sz w:val="28"/>
          <w:szCs w:val="28"/>
          <w:lang w:eastAsia="ru-RU"/>
        </w:rPr>
        <w:br/>
        <w:t>на ЕСФБ и получение дополнительных доходов бюджета за счет размещения временно свободных остатков средств.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Решая эту задачу в рамках реализации функции по осуществлению операций по управлению остатками средств на ЕСФБ, Федеральное казначейство добилось за последние годы значительных результатов </w:t>
      </w:r>
      <w:r>
        <w:rPr>
          <w:rFonts w:ascii="Times New Roman" w:eastAsia="Times New Roman" w:hAnsi="Times New Roman"/>
          <w:color w:val="000000" w:themeColor="text1"/>
          <w:sz w:val="28"/>
          <w:szCs w:val="28"/>
          <w:lang w:eastAsia="ru-RU"/>
        </w:rPr>
        <w:br/>
        <w:t>и продолжает развиваться в данном направлении.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В 2016 году в процессе исполнения федерального бюджета остаток средств на ЕСФБ превышал уровень, необходимый для оплаты объема предъявленных денежных обязательств, что позволило Федеральному казначейству проводить операции по управлению временно свободными остатками средств федерального бюджета.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операции по управлению остатками средств ЕСФБ проводились по следующим направлениям: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размещение средств федерального бюджета на банковских депозитах в валюте Российской Федерации и иностранной валюте;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покупка (продажа) ценных бумаг по договорам репо;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предоставление бюджетных кредитов на пополнение остатков средств на счетах бюджетов субъектов Российской Федерации (местных бюджетов).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Размещение средств федерального бюджета на банковских депозитах в кредитных организациях осуществляется в соответствии </w:t>
      </w:r>
      <w:r>
        <w:rPr>
          <w:rFonts w:ascii="Times New Roman" w:eastAsia="Times New Roman" w:hAnsi="Times New Roman"/>
          <w:color w:val="000000" w:themeColor="text1"/>
          <w:sz w:val="28"/>
          <w:szCs w:val="28"/>
          <w:lang w:eastAsia="ru-RU"/>
        </w:rPr>
        <w:br/>
        <w:t xml:space="preserve">с постановлением Правительства Российской Федерации от 24 декабря 2011 г. № 1121 «О порядке размещения средств федерального бюджета </w:t>
      </w:r>
      <w:r>
        <w:rPr>
          <w:rFonts w:ascii="Times New Roman" w:eastAsia="Times New Roman" w:hAnsi="Times New Roman"/>
          <w:color w:val="000000" w:themeColor="text1"/>
          <w:sz w:val="28"/>
          <w:szCs w:val="28"/>
          <w:lang w:eastAsia="ru-RU"/>
        </w:rPr>
        <w:br/>
        <w:t>на банковских депозитах».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проведено 78 отборов заявок кредитных организаций </w:t>
      </w:r>
      <w:r>
        <w:rPr>
          <w:rFonts w:ascii="Times New Roman" w:eastAsia="Times New Roman" w:hAnsi="Times New Roman"/>
          <w:color w:val="000000" w:themeColor="text1"/>
          <w:sz w:val="28"/>
          <w:szCs w:val="28"/>
          <w:lang w:eastAsia="ru-RU"/>
        </w:rPr>
        <w:br/>
        <w:t xml:space="preserve">на заключение с Федеральным казначейством договоров банковского депозита. В целях таргетирования остатков средств на ЕСФБ </w:t>
      </w:r>
      <w:r>
        <w:rPr>
          <w:rFonts w:ascii="Times New Roman" w:eastAsia="Times New Roman" w:hAnsi="Times New Roman"/>
          <w:color w:val="000000" w:themeColor="text1"/>
          <w:sz w:val="28"/>
          <w:szCs w:val="28"/>
          <w:lang w:eastAsia="ru-RU"/>
        </w:rPr>
        <w:br/>
        <w:t>до установленного минимального значения для повышения эффективности их использования Федеральным казначейством в сентябре 2016 года впервые предложена и успешно реализована схема проведения двух депозитных отборов в течение одного операционного дня.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Средства федерального бюджета в 2016 году размещались </w:t>
      </w:r>
      <w:r>
        <w:rPr>
          <w:rFonts w:ascii="Times New Roman" w:eastAsia="Times New Roman" w:hAnsi="Times New Roman"/>
          <w:color w:val="000000" w:themeColor="text1"/>
          <w:sz w:val="28"/>
          <w:szCs w:val="28"/>
          <w:lang w:eastAsia="ru-RU"/>
        </w:rPr>
        <w:br/>
        <w:t>на банковских депозитах на срок до 35 дней (так же, как и в 2015 году).</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В 2016 году к размещению на банковских депозитах были предложены в совокупном объеме 10 626,0 млрд рублей, что на 33,5 % меньше, чем в 2015 году. Спрос со стороны кредитных организаций составил 11 364,5 млрд рублей (106,9 %), что на 51,1 % меньше, чем в 2015 году</w:t>
      </w:r>
      <w:r>
        <w:rPr>
          <w:rFonts w:ascii="Times New Roman" w:hAnsi="Times New Roman"/>
          <w:color w:val="000000" w:themeColor="text1"/>
          <w:sz w:val="28"/>
          <w:szCs w:val="28"/>
        </w:rPr>
        <w:t xml:space="preserve"> (диаграмма 26).</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26</w:t>
      </w:r>
    </w:p>
    <w:p>
      <w:pPr>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732891" cy="3252084"/>
            <wp:effectExtent l="0" t="0" r="127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3020" cy="3252157"/>
                    </a:xfrm>
                    <a:prstGeom prst="rect">
                      <a:avLst/>
                    </a:prstGeom>
                    <a:noFill/>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результатам отборов заявок Федеральным казначейством заключены 185 договоров банковского</w:t>
      </w:r>
      <w:r>
        <w:rPr>
          <w:rFonts w:ascii="Times New Roman" w:eastAsia="Times New Roman" w:hAnsi="Times New Roman"/>
          <w:color w:val="000000" w:themeColor="text1"/>
          <w:sz w:val="24"/>
          <w:szCs w:val="28"/>
          <w:lang w:eastAsia="ru-RU"/>
        </w:rPr>
        <w:t xml:space="preserve"> </w:t>
      </w:r>
      <w:r>
        <w:rPr>
          <w:rFonts w:ascii="Times New Roman" w:eastAsia="Times New Roman" w:hAnsi="Times New Roman"/>
          <w:color w:val="000000" w:themeColor="text1"/>
          <w:sz w:val="28"/>
          <w:szCs w:val="28"/>
          <w:lang w:eastAsia="ru-RU"/>
        </w:rPr>
        <w:t xml:space="preserve">депозита и проведено аналогичное количество операций по перечислению средств федерального бюджета кредитным организациям для размещения на банковских депозитах, что </w:t>
      </w:r>
      <w:r>
        <w:rPr>
          <w:rFonts w:ascii="Times New Roman" w:eastAsia="Times New Roman" w:hAnsi="Times New Roman"/>
          <w:color w:val="000000" w:themeColor="text1"/>
          <w:sz w:val="28"/>
          <w:szCs w:val="28"/>
          <w:lang w:eastAsia="ru-RU"/>
        </w:rPr>
        <w:br/>
        <w:t>на 62,1 % меньше, чем в 2015 году.</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На основании договоров банковского депозита Федеральным казначейством в 2016 году размещены средства федерального бюджета </w:t>
      </w:r>
      <w:r>
        <w:rPr>
          <w:rFonts w:ascii="Times New Roman" w:eastAsia="Times New Roman" w:hAnsi="Times New Roman"/>
          <w:color w:val="000000" w:themeColor="text1"/>
          <w:sz w:val="28"/>
          <w:szCs w:val="28"/>
          <w:lang w:eastAsia="ru-RU"/>
        </w:rPr>
        <w:br/>
        <w:t xml:space="preserve">на банковских депозитах в сумме 7 702,7 млрд рублей, что на 39,9 % меньше, чем в 2015 году </w:t>
      </w:r>
      <w:r>
        <w:rPr>
          <w:rFonts w:ascii="Times New Roman" w:hAnsi="Times New Roman"/>
          <w:color w:val="000000" w:themeColor="text1"/>
          <w:sz w:val="28"/>
          <w:szCs w:val="28"/>
        </w:rPr>
        <w:t>(диаграмма 27).</w:t>
      </w:r>
    </w:p>
    <w:p>
      <w:pPr>
        <w:spacing w:after="0" w:line="360" w:lineRule="atLeast"/>
        <w:ind w:firstLine="709"/>
        <w:jc w:val="both"/>
        <w:rPr>
          <w:rFonts w:ascii="Times New Roman" w:eastAsia="Times New Roman" w:hAnsi="Times New Roman"/>
          <w:iCs/>
          <w:color w:val="000000" w:themeColor="text1"/>
          <w:sz w:val="28"/>
          <w:szCs w:val="28"/>
          <w:lang w:eastAsia="ru-RU"/>
        </w:rPr>
      </w:pPr>
      <w:r>
        <w:rPr>
          <w:rFonts w:ascii="Times New Roman" w:eastAsia="Times New Roman" w:hAnsi="Times New Roman"/>
          <w:iCs/>
          <w:color w:val="000000" w:themeColor="text1"/>
          <w:sz w:val="28"/>
          <w:szCs w:val="28"/>
          <w:lang w:eastAsia="ru-RU"/>
        </w:rPr>
        <w:t xml:space="preserve">Отбор заявок кредитных организаций происходил на биржевой основе с привлечением </w:t>
      </w:r>
      <w:r>
        <w:rPr>
          <w:rFonts w:ascii="Times New Roman" w:hAnsi="Times New Roman"/>
          <w:sz w:val="28"/>
          <w:szCs w:val="28"/>
        </w:rPr>
        <w:t>ПАО «Московская Биржа»</w:t>
      </w:r>
      <w:r>
        <w:rPr>
          <w:rFonts w:ascii="Times New Roman" w:eastAsia="Times New Roman" w:hAnsi="Times New Roman"/>
          <w:iCs/>
          <w:color w:val="000000" w:themeColor="text1"/>
          <w:sz w:val="28"/>
          <w:szCs w:val="28"/>
          <w:lang w:eastAsia="ru-RU"/>
        </w:rPr>
        <w:t xml:space="preserve"> в открытом и закрытом режиме конкуренции, что позволило организовать торги по заявкам кредитных организаций и обеспечить размещение средств в режиме конкуренции между кредитными организациями на повышение процентных ставок.</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 отборах заявок приняли участие 10 кредитных организаций </w:t>
      </w:r>
      <w:r>
        <w:rPr>
          <w:rFonts w:ascii="Times New Roman" w:eastAsia="Times New Roman" w:hAnsi="Times New Roman"/>
          <w:color w:val="000000" w:themeColor="text1"/>
          <w:sz w:val="28"/>
          <w:szCs w:val="28"/>
          <w:lang w:eastAsia="ru-RU"/>
        </w:rPr>
        <w:br/>
        <w:t xml:space="preserve">из 20 кредитных организаций, с которыми по состоянию на 1 января </w:t>
      </w:r>
      <w:r>
        <w:rPr>
          <w:rFonts w:ascii="Times New Roman" w:eastAsia="Times New Roman" w:hAnsi="Times New Roman"/>
          <w:color w:val="000000" w:themeColor="text1"/>
          <w:sz w:val="28"/>
          <w:szCs w:val="28"/>
          <w:lang w:eastAsia="ru-RU"/>
        </w:rPr>
        <w:br/>
        <w:t>2017 года заключены генеральные соглашения между кредитной организацией и Федеральным казначейством о размещении средств федерального бюджета на банковских депозитах.</w:t>
      </w:r>
      <w:r>
        <w:rPr>
          <w:rFonts w:ascii="Times New Roman" w:hAnsi="Times New Roman"/>
          <w:color w:val="000000" w:themeColor="text1"/>
          <w:sz w:val="28"/>
          <w:szCs w:val="28"/>
        </w:rPr>
        <w:t xml:space="preserve"> </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27</w:t>
      </w:r>
    </w:p>
    <w:p>
      <w:pPr>
        <w:spacing w:before="120" w:after="120" w:line="360" w:lineRule="atLeast"/>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Данные о результатах отборов заявок кредитных организаций</w:t>
      </w:r>
    </w:p>
    <w:p>
      <w:pPr>
        <w:spacing w:after="0" w:line="360" w:lineRule="atLeast"/>
        <w:ind w:right="284"/>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801091" cy="35303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03492" cy="3531840"/>
                    </a:xfrm>
                    <a:prstGeom prst="rect">
                      <a:avLst/>
                    </a:prstGeom>
                    <a:noFill/>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от размещения средств на банковских депозитах в доход федерального бюджета поступили 46,9 млрд рублей, что на 31,2 % меньше доходов, поступивших в 2015 году. Ожидается, что в 2017 году в доход федерального бюджета поступит 0,2 млрд рублей, начисленных на суммы депозитов, размещенных в 2016 году.</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sz w:val="28"/>
          <w:szCs w:val="28"/>
          <w:lang w:eastAsia="ru-RU"/>
        </w:rPr>
        <w:t xml:space="preserve">В 2016 году Федеральное казначейство продолжило размещать средства федерального бюджета на банковских депозитах в иностранной валюте. Всего было проведено 17 отборов заявок кредитных организаций </w:t>
      </w:r>
      <w:r>
        <w:rPr>
          <w:rFonts w:ascii="Times New Roman" w:eastAsia="Times New Roman" w:hAnsi="Times New Roman"/>
          <w:bCs/>
          <w:color w:val="000000" w:themeColor="text1"/>
          <w:sz w:val="28"/>
          <w:szCs w:val="28"/>
          <w:lang w:eastAsia="ru-RU"/>
        </w:rPr>
        <w:br/>
        <w:t xml:space="preserve">на заключение договоров банковского депозита в долларах США. Размещено 5 300 млн долларов США, в </w:t>
      </w:r>
      <w:r>
        <w:rPr>
          <w:rFonts w:ascii="Times New Roman" w:eastAsia="Times New Roman" w:hAnsi="Times New Roman"/>
          <w:color w:val="000000" w:themeColor="text1"/>
          <w:sz w:val="28"/>
          <w:szCs w:val="28"/>
          <w:lang w:eastAsia="ru-RU"/>
        </w:rPr>
        <w:t>доход федерального бюджета поступило</w:t>
      </w:r>
      <w:r>
        <w:rPr>
          <w:rFonts w:ascii="Times New Roman" w:eastAsia="Times New Roman" w:hAnsi="Times New Roman"/>
          <w:bCs/>
          <w:color w:val="000000" w:themeColor="text1"/>
          <w:sz w:val="28"/>
          <w:szCs w:val="28"/>
          <w:lang w:eastAsia="ru-RU"/>
        </w:rPr>
        <w:t xml:space="preserve"> 2,0 млн долларов США (в рублевом эквиваленте – </w:t>
      </w:r>
      <w:r>
        <w:rPr>
          <w:rFonts w:ascii="Times New Roman" w:eastAsia="Times New Roman" w:hAnsi="Times New Roman"/>
          <w:bCs/>
          <w:color w:val="000000" w:themeColor="text1"/>
          <w:sz w:val="28"/>
          <w:szCs w:val="28"/>
          <w:lang w:eastAsia="ru-RU"/>
        </w:rPr>
        <w:br/>
        <w:t>126,1 млн рублей).</w:t>
      </w:r>
      <w:r>
        <w:rPr>
          <w:rFonts w:ascii="Times New Roman" w:eastAsia="Times New Roman" w:hAnsi="Times New Roman"/>
          <w:color w:val="000000" w:themeColor="text1"/>
          <w:sz w:val="28"/>
          <w:szCs w:val="28"/>
          <w:lang w:eastAsia="ru-RU"/>
        </w:rPr>
        <w:t xml:space="preserve"> Ожидается, что в 2017 году в доход федерального бюджета поступит 0,8 млн долларов США </w:t>
      </w:r>
      <w:r>
        <w:rPr>
          <w:rFonts w:ascii="Times New Roman" w:eastAsia="Times New Roman" w:hAnsi="Times New Roman"/>
          <w:bCs/>
          <w:color w:val="000000" w:themeColor="text1"/>
          <w:sz w:val="28"/>
          <w:szCs w:val="28"/>
          <w:lang w:eastAsia="ru-RU"/>
        </w:rPr>
        <w:t xml:space="preserve">(в рублевом эквиваленте – </w:t>
      </w:r>
      <w:r>
        <w:rPr>
          <w:rFonts w:ascii="Times New Roman" w:eastAsia="Times New Roman" w:hAnsi="Times New Roman"/>
          <w:bCs/>
          <w:color w:val="000000" w:themeColor="text1"/>
          <w:sz w:val="28"/>
          <w:szCs w:val="28"/>
          <w:lang w:eastAsia="ru-RU"/>
        </w:rPr>
        <w:br/>
        <w:t>50,1 млн рублей)</w:t>
      </w:r>
      <w:r>
        <w:rPr>
          <w:rFonts w:ascii="Times New Roman" w:eastAsia="Times New Roman" w:hAnsi="Times New Roman"/>
          <w:color w:val="000000" w:themeColor="text1"/>
          <w:sz w:val="28"/>
          <w:szCs w:val="28"/>
          <w:lang w:eastAsia="ru-RU"/>
        </w:rPr>
        <w:t xml:space="preserve">, начисленных на суммы депозитов, размещенных </w:t>
      </w:r>
      <w:r>
        <w:rPr>
          <w:rFonts w:ascii="Times New Roman" w:eastAsia="Times New Roman" w:hAnsi="Times New Roman"/>
          <w:color w:val="000000" w:themeColor="text1"/>
          <w:sz w:val="28"/>
          <w:szCs w:val="28"/>
          <w:lang w:eastAsia="ru-RU"/>
        </w:rPr>
        <w:br/>
        <w:t>в 2016 году.</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Необходимо отметить, что работа Федерального казначейства </w:t>
      </w:r>
      <w:r>
        <w:rPr>
          <w:rFonts w:ascii="Times New Roman" w:eastAsia="Times New Roman" w:hAnsi="Times New Roman"/>
          <w:color w:val="000000" w:themeColor="text1"/>
          <w:sz w:val="28"/>
          <w:szCs w:val="28"/>
          <w:lang w:eastAsia="ru-RU"/>
        </w:rPr>
        <w:br/>
        <w:t>по размещению средств федерального бюджета на банковских депозитах позволила поддержать уровень ликвидности банковской системы России. Всего, начиная с 2008 года, на поддержание ликвидности банковской системы России из федерального бюджета были направлены 42 349,4 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В 2016 году кредитные организации своевременно и в полном объеме осуществляли возврат средств и уплату процентов за их использование.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в соответствии с постановлением Правительства Российской Федерации от 30 декабря 2015 г. № 1495 «О Правилах размещения средств федерального бюджета на депозитах в государственной корпорации «Банк развития и внешнеэкономической деятельности (Внешэкономбанк)» и распоряжением Правительства Российской Федерации от 4 февраля 2016 г. № 150-р «О размещении средств федерального бюджета на депозитах в государственной корпорации «Банк развития и внешнеэкономической деятельности (Внешэкономбанк)» </w:t>
      </w:r>
      <w:r>
        <w:rPr>
          <w:rFonts w:ascii="Times New Roman" w:eastAsia="Times New Roman" w:hAnsi="Times New Roman"/>
          <w:color w:val="000000" w:themeColor="text1"/>
          <w:sz w:val="28"/>
          <w:szCs w:val="28"/>
          <w:lang w:eastAsia="ru-RU"/>
        </w:rPr>
        <w:br/>
        <w:t xml:space="preserve">в 2016 году Федеральное казначейство заключило с Внешэкономбанком </w:t>
      </w:r>
      <w:r>
        <w:rPr>
          <w:rFonts w:ascii="Times New Roman" w:eastAsia="Times New Roman" w:hAnsi="Times New Roman"/>
          <w:color w:val="000000" w:themeColor="text1"/>
          <w:sz w:val="28"/>
          <w:szCs w:val="28"/>
          <w:lang w:eastAsia="ru-RU"/>
        </w:rPr>
        <w:br/>
        <w:t xml:space="preserve">2 договора о размещении средств федерального бюджета на депозиты </w:t>
      </w:r>
      <w:r>
        <w:rPr>
          <w:rFonts w:ascii="Times New Roman" w:eastAsia="Times New Roman" w:hAnsi="Times New Roman"/>
          <w:color w:val="000000" w:themeColor="text1"/>
          <w:sz w:val="28"/>
          <w:szCs w:val="28"/>
          <w:lang w:eastAsia="ru-RU"/>
        </w:rPr>
        <w:br/>
        <w:t>на общую сумму 100,0 млрд рублей по ставке, равной ключевой ставке Банка России, из них: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12 февраля 2016 года – на сумму 45,0 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17 марта 2016 года – на сумму 55,0 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указанным постановлением Правительства Российской Федерации по согласованию с Министерством финансов Российской Федерации и после уплаты процентов в сумме 7,7 млрд рублей Федеральным казначейством и Внешэкономбанком внесены изменения </w:t>
      </w:r>
      <w:r>
        <w:rPr>
          <w:rFonts w:ascii="Times New Roman" w:eastAsia="Times New Roman" w:hAnsi="Times New Roman"/>
          <w:color w:val="000000" w:themeColor="text1"/>
          <w:sz w:val="28"/>
          <w:szCs w:val="28"/>
          <w:lang w:eastAsia="ru-RU"/>
        </w:rPr>
        <w:br/>
        <w:t>в оба депозитных договора и продлено их действие на первоначальных условиях.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антикризисных мер в части изменения требований </w:t>
      </w:r>
      <w:r>
        <w:rPr>
          <w:rFonts w:ascii="Times New Roman" w:eastAsia="Times New Roman" w:hAnsi="Times New Roman"/>
          <w:color w:val="000000" w:themeColor="text1"/>
          <w:sz w:val="28"/>
          <w:szCs w:val="28"/>
          <w:lang w:eastAsia="ru-RU"/>
        </w:rPr>
        <w:br/>
        <w:t xml:space="preserve">к кредитным организациям при размещении средств федерального бюджета на банковских депозитах принято постановление Правительства Российской Федерации от 5 мая 2016 г. № 389 «О внесении изменений в некоторые акты Правительства Российской Федерации», которым внесены изменения </w:t>
      </w:r>
      <w:r>
        <w:rPr>
          <w:rFonts w:ascii="Times New Roman" w:eastAsia="Times New Roman" w:hAnsi="Times New Roman"/>
          <w:color w:val="000000" w:themeColor="text1"/>
          <w:sz w:val="28"/>
          <w:szCs w:val="28"/>
          <w:lang w:eastAsia="ru-RU"/>
        </w:rPr>
        <w:br/>
        <w:t xml:space="preserve">в Постановление от 24 декабря 2011 г. № 1121 «О порядке размещения средств федерального бюджета на банковских депозитах», вступившее </w:t>
      </w:r>
      <w:r>
        <w:rPr>
          <w:rFonts w:ascii="Times New Roman" w:eastAsia="Times New Roman" w:hAnsi="Times New Roman"/>
          <w:color w:val="000000" w:themeColor="text1"/>
          <w:sz w:val="28"/>
          <w:szCs w:val="28"/>
          <w:lang w:eastAsia="ru-RU"/>
        </w:rPr>
        <w:br/>
        <w:t>в силу 12 ноября 2016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Изменения коснулись размера собственных средств (капитала) кредитных организаций. Введено новое требование к кредитным организациям о нахождении под прямым или косвенным контролем Центрального банка Российской Федерации или заключении </w:t>
      </w:r>
      <w:r>
        <w:rPr>
          <w:rFonts w:ascii="Times New Roman" w:eastAsia="Times New Roman" w:hAnsi="Times New Roman"/>
          <w:color w:val="000000" w:themeColor="text1"/>
          <w:sz w:val="28"/>
          <w:szCs w:val="28"/>
          <w:lang w:eastAsia="ru-RU"/>
        </w:rPr>
        <w:br/>
        <w:t>с государственной корпорацией «Агентство по страхованию вкладов» договора субординированного займа и предоставление облигаций федерального займа или договора о приобретении привилегированных акций кредитной организации и их оплата облигациями федерального займа.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В то же время исключены требования, касающиеся наличия международного рейтинга долгосрочной кредитоспособности кредитных организаций.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приказом Федерального казначейства от 5 сентября 2016 г. № 16н «О внесении изменений в Порядок работы по размещению средств федерального бюджета на банковских депозитах и в форму генерального соглашения между кредитной организацией и Федеральным казначейством о размещении средств федерального бюджета на банковских депозитах, утвержденные приказом Федерального казначейства от 20 марта 2012 г. № 3н» с 12 ноября 2016 года вступают в силу поправки в Порядок размещения средств федерального бюджета на банковских депозитах, утвержденный приказом Федерального казначейства от 20 марта 2012 г. № 3н. Изменения затронули порядок расчета лимитов на средства </w:t>
      </w:r>
      <w:r>
        <w:rPr>
          <w:rFonts w:ascii="Times New Roman" w:eastAsia="Times New Roman" w:hAnsi="Times New Roman"/>
          <w:color w:val="000000" w:themeColor="text1"/>
          <w:sz w:val="28"/>
          <w:szCs w:val="28"/>
          <w:lang w:eastAsia="ru-RU"/>
        </w:rPr>
        <w:br/>
        <w:t xml:space="preserve">для кредитных организаций путем установления новых коэффициентов </w:t>
      </w:r>
      <w:r>
        <w:rPr>
          <w:rFonts w:ascii="Times New Roman" w:eastAsia="Times New Roman" w:hAnsi="Times New Roman"/>
          <w:color w:val="000000" w:themeColor="text1"/>
          <w:sz w:val="28"/>
          <w:szCs w:val="28"/>
          <w:lang w:eastAsia="ru-RU"/>
        </w:rPr>
        <w:br/>
        <w:t>в зависимости от размера капитала кредитной организации и исключения требования о наличии необходимого международного рейтинга долгосрочной кредитоспособности.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приказом Федерального казначейства от 5 сентября 2016 г. № 17н «О размере собственных средств (капитала) кредитной организации, в которой могут размещаться на банковских депозитах средства федерального бюджета» с 12 ноября 2016 года размер капитала указанных кредитных организаций определен в размере не менее </w:t>
      </w:r>
      <w:r>
        <w:rPr>
          <w:rFonts w:ascii="Times New Roman" w:eastAsia="Times New Roman" w:hAnsi="Times New Roman"/>
          <w:color w:val="000000" w:themeColor="text1"/>
          <w:sz w:val="28"/>
          <w:szCs w:val="28"/>
          <w:lang w:eastAsia="ru-RU"/>
        </w:rPr>
        <w:br/>
        <w:t>250 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25 ноября 2016 года вступил в силу приказ Федерального казначейства от 24 октября 2016 г. № 22н «Об установлении дополнительного требования к кредитным организациям, в которых размещаются средства федерального бюджета на банковских депозитах». </w:t>
      </w:r>
      <w:r>
        <w:rPr>
          <w:rFonts w:ascii="Times New Roman" w:eastAsia="Times New Roman" w:hAnsi="Times New Roman"/>
          <w:color w:val="000000" w:themeColor="text1"/>
          <w:sz w:val="28"/>
          <w:szCs w:val="28"/>
          <w:lang w:eastAsia="ru-RU"/>
        </w:rPr>
        <w:br/>
        <w:t xml:space="preserve">В соответствии с данным приказом к кредитным организациям, в которых размещаются средства федерального бюджета на банковских депозитах, устанавливается дополнительное требование о наличии у кредитной организации кредитного рейтинга не ниже уровня «А+(RU)» </w:t>
      </w:r>
      <w:r>
        <w:rPr>
          <w:rFonts w:ascii="Times New Roman" w:eastAsia="Times New Roman" w:hAnsi="Times New Roman"/>
          <w:color w:val="000000" w:themeColor="text1"/>
          <w:sz w:val="28"/>
          <w:szCs w:val="28"/>
          <w:lang w:eastAsia="ru-RU"/>
        </w:rPr>
        <w:br/>
        <w:t>по национальной рейтинговой шкале кредитного рейтингового агентства Аналитическое Кредитное Рейтинговое Агентство (Акционерное общество).</w:t>
      </w:r>
    </w:p>
    <w:p>
      <w:pPr>
        <w:shd w:val="clear" w:color="auto" w:fill="FFFFFF"/>
        <w:spacing w:after="0" w:line="360" w:lineRule="atLeast"/>
        <w:ind w:right="11"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Невзирая на то, что случаев невозврата размещенных средств </w:t>
      </w:r>
      <w:r>
        <w:rPr>
          <w:rFonts w:ascii="Times New Roman" w:eastAsia="Times New Roman" w:hAnsi="Times New Roman"/>
          <w:color w:val="000000" w:themeColor="text1"/>
          <w:spacing w:val="4"/>
          <w:sz w:val="28"/>
          <w:szCs w:val="28"/>
          <w:lang w:eastAsia="ru-RU"/>
        </w:rPr>
        <w:br/>
        <w:t>на банковские депозиты не было, Федеральное казначейство осуществляет хеджирование возможных рисков и расширяет финансовый инструментарий.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постановления Правительства Российской Федерации </w:t>
      </w:r>
      <w:r>
        <w:rPr>
          <w:rFonts w:ascii="Times New Roman" w:eastAsia="Times New Roman" w:hAnsi="Times New Roman"/>
          <w:color w:val="000000" w:themeColor="text1"/>
          <w:sz w:val="28"/>
          <w:szCs w:val="28"/>
          <w:lang w:eastAsia="ru-RU"/>
        </w:rPr>
        <w:br/>
        <w:t xml:space="preserve">от 4 сентября 2013 г. № 777 «О порядке осуществления операций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 xml:space="preserve">по управлению остатками средств на едином счете федерального бюджета </w:t>
      </w:r>
      <w:r>
        <w:rPr>
          <w:rFonts w:ascii="Times New Roman" w:eastAsia="Times New Roman" w:hAnsi="Times New Roman"/>
          <w:color w:val="000000" w:themeColor="text1"/>
          <w:sz w:val="28"/>
          <w:szCs w:val="28"/>
          <w:lang w:eastAsia="ru-RU"/>
        </w:rPr>
        <w:br/>
        <w:t xml:space="preserve">в части покупки (продажи) ценных бумаг по договорам репо и открытия счетов для осуществления таких операций» в 2016 году Федеральным казначейством продолжено осуществление операций покупки (продажи) ценных бумаг по договорам репо с привлечением Банка России </w:t>
      </w:r>
      <w:r>
        <w:rPr>
          <w:rFonts w:ascii="Times New Roman" w:eastAsia="Times New Roman" w:hAnsi="Times New Roman"/>
          <w:color w:val="000000" w:themeColor="text1"/>
          <w:sz w:val="28"/>
          <w:szCs w:val="28"/>
          <w:lang w:eastAsia="ru-RU"/>
        </w:rPr>
        <w:br/>
        <w:t>и небанковской кредитной организации акционерное общество «Национальный расчетный депозитарий» (НКО АО НРД).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состоянию на 1 января 2017 года заключены 34 генеральных соглашения о покупке (продаже) ценных бумаг по договорам репо, из них 16 генеральных соглашений заключены Федеральным казначейством, </w:t>
      </w:r>
      <w:r>
        <w:rPr>
          <w:rFonts w:ascii="Times New Roman" w:eastAsia="Times New Roman" w:hAnsi="Times New Roman"/>
          <w:color w:val="000000" w:themeColor="text1"/>
          <w:sz w:val="28"/>
          <w:szCs w:val="28"/>
          <w:lang w:eastAsia="ru-RU"/>
        </w:rPr>
        <w:br/>
        <w:t xml:space="preserve">18 генеральных соглашений заключены с восемью ТОФК (УФК </w:t>
      </w:r>
      <w:r>
        <w:rPr>
          <w:rFonts w:ascii="Times New Roman" w:eastAsia="Times New Roman" w:hAnsi="Times New Roman"/>
          <w:color w:val="000000" w:themeColor="text1"/>
          <w:sz w:val="28"/>
          <w:szCs w:val="28"/>
          <w:lang w:eastAsia="ru-RU"/>
        </w:rPr>
        <w:br/>
        <w:t>по г. Москве – 11, УФК по Приморскому краю – 1, УФК по Новосибирской области – 1, УФК по Оренбургской области – 1, УФК по Свердловской области – 1, УФК по Вологодской области – 1, УФК по Костромской области – 1 и УФК по Амурской области – 1).</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С начала 2016 года организовано регулярное проведение операций репо с различными сроками исполнения обязательств: как ежедневные операции репо в режиме «overnight», так и на срок до 35 дней</w:t>
      </w:r>
      <w:r>
        <w:rPr>
          <w:rFonts w:ascii="Times New Roman" w:hAnsi="Times New Roman"/>
          <w:color w:val="000000" w:themeColor="text1"/>
          <w:sz w:val="28"/>
          <w:szCs w:val="28"/>
        </w:rPr>
        <w:t xml:space="preserve"> (диаграмма 28).</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28</w:t>
      </w:r>
    </w:p>
    <w:p>
      <w:pPr>
        <w:spacing w:before="120" w:after="120" w:line="360" w:lineRule="atLeast"/>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Данные о размещении средств федерального бюджета в договора репо за 2015–2016 годы</w:t>
      </w:r>
    </w:p>
    <w:p>
      <w:pPr>
        <w:spacing w:after="0" w:line="360" w:lineRule="atLeast"/>
        <w:ind w:firstLine="709"/>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4913906" cy="2743200"/>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3630" cy="2743046"/>
                    </a:xfrm>
                    <a:prstGeom prst="rect">
                      <a:avLst/>
                    </a:prstGeom>
                    <a:noFill/>
                    <a:ln>
                      <a:no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Всего в 2016 году проведены 303 отбора заявок, в которых приняли участие 25 кредитных организаций. По результатам проведенных отборов заключены 2 211 договоров репо и размещено средств федерального бюджета на сумму 37 414,6 млрд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Сумма зачисленных в федеральный бюджет процентов </w:t>
      </w:r>
      <w:r>
        <w:rPr>
          <w:rFonts w:ascii="Times New Roman" w:eastAsia="Times New Roman" w:hAnsi="Times New Roman"/>
          <w:color w:val="000000" w:themeColor="text1"/>
          <w:sz w:val="28"/>
          <w:szCs w:val="28"/>
          <w:lang w:eastAsia="ru-RU"/>
        </w:rPr>
        <w:br/>
        <w:t>по заключенным договорам репо составила 27,9 млрд рублей.</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Результаты проведенных отборов заявок кредитных организаций </w:t>
      </w:r>
      <w:r>
        <w:rPr>
          <w:rFonts w:ascii="Times New Roman" w:eastAsia="Times New Roman" w:hAnsi="Times New Roman"/>
          <w:color w:val="000000" w:themeColor="text1"/>
          <w:sz w:val="28"/>
          <w:szCs w:val="28"/>
          <w:lang w:eastAsia="ru-RU"/>
        </w:rPr>
        <w:br/>
        <w:t xml:space="preserve">на заключение договоров репо показали позитивную динамику интереса </w:t>
      </w:r>
      <w:r>
        <w:rPr>
          <w:rFonts w:ascii="Times New Roman" w:eastAsia="Times New Roman" w:hAnsi="Times New Roman"/>
          <w:color w:val="000000" w:themeColor="text1"/>
          <w:sz w:val="28"/>
          <w:szCs w:val="28"/>
          <w:lang w:eastAsia="ru-RU"/>
        </w:rPr>
        <w:br/>
        <w:t xml:space="preserve">со стороны кредитных организаций к данному инструменту. </w:t>
      </w:r>
      <w:r>
        <w:rPr>
          <w:rFonts w:ascii="Times New Roman" w:eastAsia="Times New Roman" w:hAnsi="Times New Roman"/>
          <w:color w:val="000000" w:themeColor="text1"/>
          <w:sz w:val="28"/>
          <w:szCs w:val="28"/>
          <w:lang w:eastAsia="ru-RU"/>
        </w:rPr>
        <w:br/>
        <w:t>Из предложенных к размещению средств федерального бюджета в объеме 54 910,0 млрд рублей спрос со стороны кредитных организаций составил 43 844,6 млрд рублей (79,8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 целью оперативного реагирования на негативные ситуации </w:t>
      </w:r>
      <w:r>
        <w:rPr>
          <w:rFonts w:ascii="Times New Roman" w:eastAsia="Times New Roman" w:hAnsi="Times New Roman"/>
          <w:color w:val="000000" w:themeColor="text1"/>
          <w:sz w:val="28"/>
          <w:szCs w:val="28"/>
          <w:lang w:eastAsia="ru-RU"/>
        </w:rPr>
        <w:br/>
        <w:t xml:space="preserve">в банковском секторе экономики, связанные с отзывом лицензий </w:t>
      </w:r>
      <w:r>
        <w:rPr>
          <w:rFonts w:ascii="Times New Roman" w:eastAsia="Times New Roman" w:hAnsi="Times New Roman"/>
          <w:color w:val="000000" w:themeColor="text1"/>
          <w:sz w:val="28"/>
          <w:szCs w:val="28"/>
          <w:lang w:eastAsia="ru-RU"/>
        </w:rPr>
        <w:br/>
        <w:t xml:space="preserve">у кредитных организаций, Федеральным казначейством совместно с Банком России и НКО АО НРД проведен ряд технических тестирований, разработан и издан приказ Федерального казначейства от 1 июля 2016 г. № 240 </w:t>
      </w:r>
      <w:r>
        <w:rPr>
          <w:rFonts w:ascii="Times New Roman" w:eastAsia="Times New Roman" w:hAnsi="Times New Roman"/>
          <w:color w:val="000000" w:themeColor="text1"/>
          <w:sz w:val="28"/>
          <w:szCs w:val="28"/>
          <w:lang w:eastAsia="ru-RU"/>
        </w:rPr>
        <w:br/>
        <w:t xml:space="preserve">«Об утверждении Плана мероприятий структурных подразделений центрального аппарата Федерального казначейства в случае отзыва </w:t>
      </w:r>
      <w:r>
        <w:rPr>
          <w:rFonts w:ascii="Times New Roman" w:eastAsia="Times New Roman" w:hAnsi="Times New Roman"/>
          <w:color w:val="000000" w:themeColor="text1"/>
          <w:sz w:val="28"/>
          <w:szCs w:val="28"/>
          <w:lang w:eastAsia="ru-RU"/>
        </w:rPr>
        <w:br/>
        <w:t xml:space="preserve">у кредитной организации генеральной лицензии Банка России </w:t>
      </w:r>
      <w:r>
        <w:rPr>
          <w:rFonts w:ascii="Times New Roman" w:eastAsia="Times New Roman" w:hAnsi="Times New Roman"/>
          <w:color w:val="000000" w:themeColor="text1"/>
          <w:sz w:val="28"/>
          <w:szCs w:val="28"/>
          <w:lang w:eastAsia="ru-RU"/>
        </w:rPr>
        <w:br/>
        <w:t>на осуществление банковских операций».</w:t>
      </w:r>
    </w:p>
    <w:p>
      <w:pPr>
        <w:widowControl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Подготовлены изменения в постановления Правительства Российской Федерации от 4 сентября 2013 г. № 777 «О порядке осуществления операций по управлению остатками средств на едином счете федерального бюджета в части покупки (продажи) ценных бумаг по договорам репо </w:t>
      </w:r>
      <w:r>
        <w:rPr>
          <w:rFonts w:ascii="Times New Roman" w:eastAsia="Times New Roman" w:hAnsi="Times New Roman"/>
          <w:color w:val="000000" w:themeColor="text1"/>
          <w:sz w:val="28"/>
          <w:szCs w:val="28"/>
          <w:lang w:eastAsia="ru-RU"/>
        </w:rPr>
        <w:br/>
        <w:t xml:space="preserve">и открытия счетов для осуществления таких операций», направленные </w:t>
      </w:r>
      <w:r>
        <w:rPr>
          <w:rFonts w:ascii="Times New Roman" w:eastAsia="Times New Roman" w:hAnsi="Times New Roman"/>
          <w:color w:val="000000" w:themeColor="text1"/>
          <w:sz w:val="28"/>
          <w:szCs w:val="28"/>
          <w:lang w:eastAsia="ru-RU"/>
        </w:rPr>
        <w:br/>
        <w:t xml:space="preserve">на совершенствование действующего механизма и уточнение оснований </w:t>
      </w:r>
      <w:r>
        <w:rPr>
          <w:rFonts w:ascii="Times New Roman" w:eastAsia="Times New Roman" w:hAnsi="Times New Roman"/>
          <w:color w:val="000000" w:themeColor="text1"/>
          <w:sz w:val="28"/>
          <w:szCs w:val="28"/>
          <w:lang w:eastAsia="ru-RU"/>
        </w:rPr>
        <w:br/>
        <w:t xml:space="preserve">для досрочного расторжения генерального соглашения о покупке (продаже) ценных бумаг по договорам репо, а также определение возможности заключения договоров репо с установлением для всех кредитных организаций лимита покупки ценных бумаг по договорам репо или без его установления. Указанные изменения приняты постановлением Правительства Российской Федерации от 31 августа 2016 г. № 869 </w:t>
      </w:r>
      <w:r>
        <w:rPr>
          <w:rFonts w:ascii="Times New Roman" w:eastAsia="Times New Roman" w:hAnsi="Times New Roman"/>
          <w:color w:val="000000" w:themeColor="text1"/>
          <w:sz w:val="28"/>
          <w:szCs w:val="28"/>
          <w:lang w:eastAsia="ru-RU"/>
        </w:rPr>
        <w:br/>
        <w:t>и вступили в силу 10 сентября 2016 года.</w:t>
      </w:r>
    </w:p>
    <w:p>
      <w:pPr>
        <w:widowControl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постановлением Правительства Российской Федерации от 20 августа 2013 г. № 721 «Об утверждении Правил предоставления бюджетных кредитов на пополнение остатков средств </w:t>
      </w:r>
      <w:r>
        <w:rPr>
          <w:rFonts w:ascii="Times New Roman" w:eastAsia="Times New Roman" w:hAnsi="Times New Roman"/>
          <w:color w:val="000000" w:themeColor="text1"/>
          <w:sz w:val="28"/>
          <w:szCs w:val="28"/>
          <w:lang w:eastAsia="ru-RU"/>
        </w:rPr>
        <w:br/>
        <w:t xml:space="preserve">на счетах бюджетов субъектов Российской Федерации (местных бюджетов)» в 2016 году Федеральным казначейством продолжено предоставление бюджетных кредитов на пополнение остатков средств </w:t>
      </w:r>
      <w:r>
        <w:rPr>
          <w:rFonts w:ascii="Times New Roman" w:eastAsia="Times New Roman" w:hAnsi="Times New Roman"/>
          <w:color w:val="000000" w:themeColor="text1"/>
          <w:sz w:val="28"/>
          <w:szCs w:val="28"/>
          <w:lang w:eastAsia="ru-RU"/>
        </w:rPr>
        <w:br/>
        <w:t>на счетах бюджетов субъектов Российской Федерации (местных бюджетов).</w:t>
      </w:r>
    </w:p>
    <w:p>
      <w:pPr>
        <w:shd w:val="clear" w:color="auto" w:fill="FFFFFF"/>
        <w:spacing w:after="0" w:line="360" w:lineRule="atLeast"/>
        <w:ind w:right="11" w:firstLine="697"/>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Федеральным казначейством проведена значительная работа </w:t>
      </w:r>
      <w:r>
        <w:rPr>
          <w:rFonts w:ascii="Times New Roman" w:eastAsia="Times New Roman" w:hAnsi="Times New Roman"/>
          <w:color w:val="000000" w:themeColor="text1"/>
          <w:spacing w:val="4"/>
          <w:sz w:val="28"/>
          <w:szCs w:val="28"/>
          <w:lang w:eastAsia="ru-RU"/>
        </w:rPr>
        <w:br/>
        <w:t xml:space="preserve">по совершенствованию предоставления указанных бюджетных кредитов, </w:t>
      </w:r>
      <w:r>
        <w:rPr>
          <w:rFonts w:ascii="Times New Roman" w:eastAsia="Times New Roman" w:hAnsi="Times New Roman"/>
          <w:color w:val="000000" w:themeColor="text1"/>
          <w:spacing w:val="4"/>
          <w:sz w:val="28"/>
          <w:szCs w:val="28"/>
          <w:lang w:eastAsia="ru-RU"/>
        </w:rPr>
        <w:lastRenderedPageBreak/>
        <w:t>внесены поправки в Бюджетный кодекс в части увеличения сроков предоставления бюджетных кредитов с 30 до 50 дней, начиная с 1 января 2016 года. Издан приказ Минфина России от 28 декабря 2015 г. № 216н,</w:t>
      </w:r>
      <w:r>
        <w:rPr>
          <w:rFonts w:ascii="Times New Roman" w:eastAsia="Times New Roman" w:hAnsi="Times New Roman"/>
          <w:color w:val="000000" w:themeColor="text1"/>
          <w:sz w:val="24"/>
          <w:szCs w:val="24"/>
          <w:lang w:eastAsia="ru-RU"/>
        </w:rPr>
        <w:t xml:space="preserve"> </w:t>
      </w:r>
      <w:r>
        <w:rPr>
          <w:rFonts w:ascii="Times New Roman" w:eastAsia="Times New Roman" w:hAnsi="Times New Roman"/>
          <w:color w:val="000000" w:themeColor="text1"/>
          <w:spacing w:val="4"/>
          <w:sz w:val="28"/>
          <w:szCs w:val="28"/>
          <w:lang w:eastAsia="ru-RU"/>
        </w:rPr>
        <w:t>отражающий указанные изменения.</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Реализация данного механизма позволила субъектам Российской Федерации и муниципальным образованиям за счет краткосрочных бюджетных кредитов не допускать возникновение кассовых разрывов, </w:t>
      </w:r>
      <w:r>
        <w:rPr>
          <w:rFonts w:ascii="Times New Roman" w:eastAsia="Times New Roman" w:hAnsi="Times New Roman"/>
          <w:color w:val="000000" w:themeColor="text1"/>
          <w:sz w:val="28"/>
          <w:szCs w:val="28"/>
          <w:lang w:eastAsia="ru-RU"/>
        </w:rPr>
        <w:br/>
        <w:t>а также учитывая льготную процентную ставку (0,1 %), сократить уровень долговой нагрузки на региональные и местные бюджеты в части замещения коммерческих кредитов на бюджетные кредиты.</w:t>
      </w:r>
    </w:p>
    <w:p>
      <w:pPr>
        <w:shd w:val="clear" w:color="auto" w:fill="FFFFFF"/>
        <w:spacing w:after="0" w:line="360" w:lineRule="atLeast"/>
        <w:ind w:right="11" w:firstLine="697"/>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В 2016 году из 69 субъектов Российской Федерации, заключивших </w:t>
      </w:r>
      <w:r>
        <w:rPr>
          <w:rFonts w:ascii="Times New Roman" w:eastAsia="Times New Roman" w:hAnsi="Times New Roman"/>
          <w:color w:val="000000" w:themeColor="text1"/>
          <w:spacing w:val="4"/>
          <w:sz w:val="28"/>
          <w:szCs w:val="28"/>
          <w:lang w:eastAsia="ru-RU"/>
        </w:rPr>
        <w:br/>
        <w:t xml:space="preserve">с ТОФК договор о предоставлении бюджетного кредита на пополнение остатков средств на счетах бюджетов субъектов Российской Федерации (местных бюджетов), 64 субъекта Российской Федерации обратились </w:t>
      </w:r>
      <w:r>
        <w:rPr>
          <w:rFonts w:ascii="Times New Roman" w:eastAsia="Times New Roman" w:hAnsi="Times New Roman"/>
          <w:color w:val="000000" w:themeColor="text1"/>
          <w:spacing w:val="4"/>
          <w:sz w:val="28"/>
          <w:szCs w:val="28"/>
          <w:lang w:eastAsia="ru-RU"/>
        </w:rPr>
        <w:br/>
        <w:t xml:space="preserve">в Федеральное казначейство за получением бюджетного кредита </w:t>
      </w:r>
      <w:r>
        <w:rPr>
          <w:rFonts w:ascii="Times New Roman" w:eastAsia="Times New Roman" w:hAnsi="Times New Roman"/>
          <w:color w:val="000000" w:themeColor="text1"/>
          <w:spacing w:val="4"/>
          <w:sz w:val="28"/>
          <w:szCs w:val="28"/>
          <w:lang w:eastAsia="ru-RU"/>
        </w:rPr>
        <w:br/>
        <w:t>и получили его, что больше, чем в 2015 году, на 1,5 % и 10,3 % соответственно. 58 субъектов Российской Федерации получали бюджетный кредит от 2 до 9 раз, что на 11,5 % больше, чем в 2015 году.</w:t>
      </w:r>
    </w:p>
    <w:p>
      <w:pPr>
        <w:shd w:val="clear" w:color="auto" w:fill="FFFFFF"/>
        <w:spacing w:after="0" w:line="360" w:lineRule="atLeast"/>
        <w:ind w:right="11"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pacing w:val="4"/>
          <w:sz w:val="28"/>
          <w:szCs w:val="28"/>
          <w:lang w:eastAsia="ru-RU"/>
        </w:rPr>
        <w:t xml:space="preserve">Всего выданы </w:t>
      </w:r>
      <w:r>
        <w:rPr>
          <w:rFonts w:ascii="Times New Roman" w:eastAsia="Times New Roman" w:hAnsi="Times New Roman"/>
          <w:bCs/>
          <w:color w:val="000000" w:themeColor="text1"/>
          <w:spacing w:val="4"/>
          <w:sz w:val="28"/>
          <w:szCs w:val="28"/>
          <w:lang w:eastAsia="ru-RU"/>
        </w:rPr>
        <w:t>294</w:t>
      </w:r>
      <w:r>
        <w:rPr>
          <w:rFonts w:ascii="Times New Roman" w:eastAsia="Times New Roman" w:hAnsi="Times New Roman"/>
          <w:color w:val="000000" w:themeColor="text1"/>
          <w:spacing w:val="4"/>
          <w:sz w:val="28"/>
          <w:szCs w:val="28"/>
          <w:lang w:eastAsia="ru-RU"/>
        </w:rPr>
        <w:t xml:space="preserve"> бюджетных кредита на пополнение остатков средств на счетах бюджетов субъектов Российской Федерации, что </w:t>
      </w:r>
      <w:r>
        <w:rPr>
          <w:rFonts w:ascii="Times New Roman" w:eastAsia="Times New Roman" w:hAnsi="Times New Roman"/>
          <w:color w:val="000000" w:themeColor="text1"/>
          <w:spacing w:val="4"/>
          <w:sz w:val="28"/>
          <w:szCs w:val="28"/>
          <w:lang w:eastAsia="ru-RU"/>
        </w:rPr>
        <w:br/>
        <w:t xml:space="preserve">на 15,8 % меньше, чем в 2015 году. Объем средств федерального бюджета, направленных на предоставление бюджетных кредитов субъектам Российской Федерации, составил 758,6 млрд рублей. </w:t>
      </w:r>
      <w:r>
        <w:rPr>
          <w:rFonts w:ascii="Times New Roman" w:eastAsia="Times New Roman" w:hAnsi="Times New Roman"/>
          <w:color w:val="000000" w:themeColor="text1"/>
          <w:sz w:val="28"/>
          <w:szCs w:val="28"/>
          <w:lang w:eastAsia="ru-RU"/>
        </w:rPr>
        <w:t>Срок предоставления бюджетных кредитов составлял от 5 до 50 дней.</w:t>
      </w:r>
    </w:p>
    <w:p>
      <w:pPr>
        <w:shd w:val="clear" w:color="auto" w:fill="FFFFFF"/>
        <w:spacing w:after="0" w:line="360" w:lineRule="atLeast"/>
        <w:ind w:right="11" w:firstLine="697"/>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Сумма процентов, поступивших в федеральный бюджет </w:t>
      </w:r>
      <w:r>
        <w:rPr>
          <w:rFonts w:ascii="Times New Roman" w:eastAsia="Times New Roman" w:hAnsi="Times New Roman"/>
          <w:color w:val="000000" w:themeColor="text1"/>
          <w:sz w:val="28"/>
          <w:szCs w:val="28"/>
          <w:lang w:eastAsia="ru-RU"/>
        </w:rPr>
        <w:br/>
        <w:t>по предоставленным бюджетным кредитам в 2016 году, составила 91,3 млн рублей.</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Кроме того, в 2016 году 111 муниципальным образованиям </w:t>
      </w:r>
      <w:r>
        <w:rPr>
          <w:rFonts w:ascii="Times New Roman" w:eastAsia="Times New Roman" w:hAnsi="Times New Roman"/>
          <w:color w:val="000000" w:themeColor="text1"/>
          <w:spacing w:val="4"/>
          <w:sz w:val="28"/>
          <w:szCs w:val="28"/>
          <w:lang w:eastAsia="ru-RU"/>
        </w:rPr>
        <w:br/>
        <w:t xml:space="preserve">из 113, заключивших договор о предоставлении бюджетного кредита </w:t>
      </w:r>
      <w:r>
        <w:rPr>
          <w:rFonts w:ascii="Times New Roman" w:eastAsia="Times New Roman" w:hAnsi="Times New Roman"/>
          <w:color w:val="000000" w:themeColor="text1"/>
          <w:spacing w:val="4"/>
          <w:sz w:val="28"/>
          <w:szCs w:val="28"/>
          <w:lang w:eastAsia="ru-RU"/>
        </w:rPr>
        <w:br/>
        <w:t xml:space="preserve">на пополнение остатков средств на счетах бюджетов субъектов Российской Федерации (местных бюджетов), что больше, чем </w:t>
      </w:r>
      <w:r>
        <w:rPr>
          <w:rFonts w:ascii="Times New Roman" w:eastAsia="Times New Roman" w:hAnsi="Times New Roman"/>
          <w:color w:val="000000" w:themeColor="text1"/>
          <w:spacing w:val="4"/>
          <w:sz w:val="28"/>
          <w:szCs w:val="28"/>
          <w:lang w:eastAsia="ru-RU"/>
        </w:rPr>
        <w:br/>
        <w:t xml:space="preserve">в 2015 году, в 1,4 раза и 1,3 раза, соответственно, были предоставлены 367 бюджетных кредитов на общую сумму 89,6 млрд рублей. Доход </w:t>
      </w:r>
      <w:r>
        <w:rPr>
          <w:rFonts w:ascii="Times New Roman" w:eastAsia="Times New Roman" w:hAnsi="Times New Roman"/>
          <w:color w:val="000000" w:themeColor="text1"/>
          <w:spacing w:val="4"/>
          <w:sz w:val="28"/>
          <w:szCs w:val="28"/>
          <w:lang w:eastAsia="ru-RU"/>
        </w:rPr>
        <w:br/>
        <w:t>от этих операций составил 11,6 млн рублей. Срок предоставления бюджетных кредитов составлял от 3 до 50 дней.</w:t>
      </w:r>
    </w:p>
    <w:p>
      <w:pPr>
        <w:shd w:val="clear" w:color="auto" w:fill="FFFFFF"/>
        <w:spacing w:after="0" w:line="360" w:lineRule="atLeast"/>
        <w:ind w:firstLine="709"/>
        <w:jc w:val="both"/>
        <w:rPr>
          <w:rFonts w:ascii="Times New Roman" w:hAnsi="Times New Roman"/>
          <w:color w:val="000000" w:themeColor="text1"/>
          <w:spacing w:val="4"/>
          <w:sz w:val="28"/>
          <w:szCs w:val="28"/>
        </w:rPr>
      </w:pPr>
      <w:r>
        <w:rPr>
          <w:rFonts w:ascii="Times New Roman" w:eastAsia="Times New Roman" w:hAnsi="Times New Roman"/>
          <w:color w:val="000000" w:themeColor="text1"/>
          <w:spacing w:val="4"/>
          <w:sz w:val="28"/>
          <w:szCs w:val="28"/>
          <w:lang w:eastAsia="ru-RU"/>
        </w:rPr>
        <w:t xml:space="preserve">Общий объем средств федерального бюджета, направленных </w:t>
      </w:r>
      <w:r>
        <w:rPr>
          <w:rFonts w:ascii="Times New Roman" w:eastAsia="Times New Roman" w:hAnsi="Times New Roman"/>
          <w:color w:val="000000" w:themeColor="text1"/>
          <w:spacing w:val="4"/>
          <w:sz w:val="28"/>
          <w:szCs w:val="28"/>
          <w:lang w:eastAsia="ru-RU"/>
        </w:rPr>
        <w:br/>
        <w:t>на предоставление бюджетных кредитов субъектам Российской Федерации и муниципальным образованиям, составил 848,3 млрд рублей (в 2015 году – 916,8 млрд рублей)</w:t>
      </w:r>
      <w:r>
        <w:rPr>
          <w:rFonts w:ascii="Times New Roman" w:hAnsi="Times New Roman"/>
          <w:color w:val="000000" w:themeColor="text1"/>
          <w:spacing w:val="4"/>
          <w:sz w:val="28"/>
          <w:szCs w:val="28"/>
        </w:rPr>
        <w:t>.</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lastRenderedPageBreak/>
        <w:t>Всего выдан 661 кредит, объем уплаченных доходов – 103,0 млн рублей.</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Обязательства по возврату средств федерального бюджета </w:t>
      </w:r>
      <w:r>
        <w:rPr>
          <w:rFonts w:ascii="Times New Roman" w:eastAsia="Times New Roman" w:hAnsi="Times New Roman"/>
          <w:color w:val="000000" w:themeColor="text1"/>
          <w:spacing w:val="4"/>
          <w:sz w:val="28"/>
          <w:szCs w:val="28"/>
          <w:lang w:eastAsia="ru-RU"/>
        </w:rPr>
        <w:br/>
        <w:t>по предоставленным бюджетным кредитам и уплате процентов выполнены субъектами Российской Федерации и муниципальными образованиями своевременно и в полном объеме.</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В 2016 году Федеральное казначейство подготовило предложения:</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по организации предоставления государственных гарантий субъектов Российской Федерации по бюджетным кредитам муниципальным образованиям;</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по внесению изменений в постановление Правительства Российской Федерации от 20 августа 2013 г. № 721 «Об утверждении Правил предоставления бюджетных кредитов на пополнение остатков средств на счетах бюджетов субъектов Российской Федерации (местных бюджетов)» об установлении критерий отбора муниципальных образований для получения бюджетного кредита;</w:t>
      </w:r>
    </w:p>
    <w:p>
      <w:pPr>
        <w:shd w:val="clear" w:color="auto" w:fill="FFFFFF"/>
        <w:spacing w:after="0" w:line="360" w:lineRule="atLeast"/>
        <w:ind w:firstLine="709"/>
        <w:jc w:val="both"/>
        <w:rPr>
          <w:rFonts w:ascii="Times New Roman" w:hAnsi="Times New Roman"/>
          <w:color w:val="000000" w:themeColor="text1"/>
          <w:spacing w:val="4"/>
          <w:sz w:val="28"/>
          <w:szCs w:val="28"/>
        </w:rPr>
      </w:pPr>
      <w:r>
        <w:rPr>
          <w:rFonts w:ascii="Times New Roman" w:eastAsia="Times New Roman" w:hAnsi="Times New Roman"/>
          <w:color w:val="000000" w:themeColor="text1"/>
          <w:spacing w:val="4"/>
          <w:sz w:val="28"/>
          <w:szCs w:val="28"/>
          <w:lang w:eastAsia="ru-RU"/>
        </w:rPr>
        <w:t xml:space="preserve">– по стандартизации механизма реализации ТОФК статей 15.15 </w:t>
      </w:r>
      <w:r>
        <w:rPr>
          <w:rFonts w:ascii="Times New Roman" w:eastAsia="Times New Roman" w:hAnsi="Times New Roman"/>
          <w:color w:val="000000" w:themeColor="text1"/>
          <w:spacing w:val="4"/>
          <w:sz w:val="28"/>
          <w:szCs w:val="28"/>
          <w:lang w:eastAsia="ru-RU"/>
        </w:rPr>
        <w:br/>
        <w:t xml:space="preserve">и 15.15.1 КоАП в части нарушений норм законодательства, связанных </w:t>
      </w:r>
      <w:r>
        <w:rPr>
          <w:rFonts w:ascii="Times New Roman" w:eastAsia="Times New Roman" w:hAnsi="Times New Roman"/>
          <w:color w:val="000000" w:themeColor="text1"/>
          <w:spacing w:val="4"/>
          <w:sz w:val="28"/>
          <w:szCs w:val="28"/>
          <w:lang w:eastAsia="ru-RU"/>
        </w:rPr>
        <w:br/>
        <w:t>с предоставлением бюджетного кредита.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29</w:t>
      </w:r>
    </w:p>
    <w:p>
      <w:pPr>
        <w:spacing w:line="360" w:lineRule="atLeast"/>
        <w:jc w:val="center"/>
        <w:rPr>
          <w:rFonts w:ascii="Times New Roman" w:hAnsi="Times New Roman"/>
          <w:b/>
          <w:i/>
          <w:color w:val="000000" w:themeColor="text1"/>
          <w:sz w:val="28"/>
        </w:rPr>
      </w:pPr>
      <w:r>
        <w:rPr>
          <w:rFonts w:ascii="Times New Roman" w:hAnsi="Times New Roman"/>
          <w:i/>
          <w:noProof/>
          <w:color w:val="000000" w:themeColor="text1"/>
          <w:sz w:val="28"/>
          <w:lang w:eastAsia="ru-RU"/>
        </w:rPr>
        <w:drawing>
          <wp:inline distT="0" distB="0" distL="0" distR="0">
            <wp:extent cx="5589767" cy="2806811"/>
            <wp:effectExtent l="0" t="0" r="0" b="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pPr>
        <w:shd w:val="clear" w:color="auto" w:fill="FFFFFF"/>
        <w:spacing w:after="0" w:line="360" w:lineRule="atLeast"/>
        <w:ind w:right="11" w:firstLine="697"/>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В 2016 году Федеральному казначейству по коду бюджетной классификации 1 11 02012 01 6000 120 «Доходы по остаткам средств </w:t>
      </w:r>
      <w:r>
        <w:rPr>
          <w:rFonts w:ascii="Times New Roman" w:eastAsia="Times New Roman" w:hAnsi="Times New Roman"/>
          <w:color w:val="000000" w:themeColor="text1"/>
          <w:spacing w:val="4"/>
          <w:sz w:val="28"/>
          <w:szCs w:val="28"/>
          <w:lang w:eastAsia="ru-RU"/>
        </w:rPr>
        <w:br/>
        <w:t xml:space="preserve">на счетах федерального бюджета и от их размещения, кроме средств Резервного фонда и Фонда национального благосостояния (федеральные государственные органы, Банк России, органы управления </w:t>
      </w:r>
      <w:r>
        <w:rPr>
          <w:rFonts w:ascii="Times New Roman" w:eastAsia="Times New Roman" w:hAnsi="Times New Roman"/>
          <w:color w:val="000000" w:themeColor="text1"/>
          <w:spacing w:val="4"/>
          <w:sz w:val="28"/>
          <w:szCs w:val="28"/>
          <w:lang w:eastAsia="ru-RU"/>
        </w:rPr>
        <w:lastRenderedPageBreak/>
        <w:t>государственными внебюджетными фондами Российской Федерации)» был предусмотрен плановый показатель дохода в размере 65,0 млрд рублей.</w:t>
      </w:r>
    </w:p>
    <w:p>
      <w:pPr>
        <w:shd w:val="clear" w:color="auto" w:fill="FFFFFF"/>
        <w:spacing w:after="0" w:line="360" w:lineRule="atLeast"/>
        <w:ind w:right="11" w:firstLine="697"/>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Всего доходы от операций по размещению средств на банковских депозитах и по договорам репо составили 82,6 млрд рублей, что в 1,3 раза больше планового показателя.</w:t>
      </w:r>
    </w:p>
    <w:p>
      <w:pPr>
        <w:shd w:val="clear" w:color="auto" w:fill="FFFFFF"/>
        <w:spacing w:after="0" w:line="360" w:lineRule="atLeast"/>
        <w:ind w:firstLine="709"/>
        <w:jc w:val="both"/>
        <w:rPr>
          <w:rFonts w:ascii="Times New Roman" w:eastAsia="Times New Roman" w:hAnsi="Times New Roman"/>
          <w:color w:val="000000" w:themeColor="text1"/>
          <w:spacing w:val="4"/>
          <w:sz w:val="28"/>
          <w:szCs w:val="28"/>
          <w:lang w:eastAsia="ru-RU"/>
        </w:rPr>
      </w:pPr>
      <w:r>
        <w:rPr>
          <w:rFonts w:ascii="Times New Roman" w:eastAsia="Times New Roman" w:hAnsi="Times New Roman"/>
          <w:color w:val="000000" w:themeColor="text1"/>
          <w:spacing w:val="4"/>
          <w:sz w:val="28"/>
          <w:szCs w:val="28"/>
          <w:lang w:eastAsia="ru-RU"/>
        </w:rPr>
        <w:t xml:space="preserve">В 2016 году Федеральному казначейству по коду бюджетной классификации 1 11 03060 01 6000 120 «Проценты, полученные </w:t>
      </w:r>
      <w:r>
        <w:rPr>
          <w:rFonts w:ascii="Times New Roman" w:eastAsia="Times New Roman" w:hAnsi="Times New Roman"/>
          <w:color w:val="000000" w:themeColor="text1"/>
          <w:spacing w:val="4"/>
          <w:sz w:val="28"/>
          <w:szCs w:val="28"/>
          <w:lang w:eastAsia="ru-RU"/>
        </w:rPr>
        <w:br/>
        <w:t>от предоставления за счет средств федерального бюджета бюджетных кредитов на пополнение остатков средств на счетах бюджетов субъектов Российской Федерации (местных бюджетов) (федеральные государственные органы, Банк России, органы управления государственными внебюджетными фондами Российской Федерации)» был предусмотрен плановый показатель дохода в размере 90,0 млн рублей.</w:t>
      </w:r>
    </w:p>
    <w:p>
      <w:pPr>
        <w:shd w:val="clear" w:color="auto" w:fill="FFFFFF"/>
        <w:spacing w:after="0" w:line="360" w:lineRule="atLeast"/>
        <w:ind w:firstLine="709"/>
        <w:jc w:val="both"/>
        <w:rPr>
          <w:rFonts w:ascii="Times New Roman" w:hAnsi="Times New Roman"/>
          <w:color w:val="000000" w:themeColor="text1"/>
          <w:spacing w:val="4"/>
          <w:sz w:val="28"/>
          <w:szCs w:val="28"/>
        </w:rPr>
      </w:pPr>
      <w:r>
        <w:rPr>
          <w:rFonts w:ascii="Times New Roman" w:hAnsi="Times New Roman"/>
          <w:color w:val="000000" w:themeColor="text1"/>
          <w:spacing w:val="4"/>
          <w:sz w:val="28"/>
          <w:szCs w:val="28"/>
        </w:rPr>
        <w:t xml:space="preserve">Доходы от предоставленных бюджетных кредитов, уплаченные </w:t>
      </w:r>
      <w:r>
        <w:rPr>
          <w:rFonts w:ascii="Times New Roman" w:hAnsi="Times New Roman"/>
          <w:color w:val="000000" w:themeColor="text1"/>
          <w:spacing w:val="4"/>
          <w:sz w:val="28"/>
          <w:szCs w:val="28"/>
        </w:rPr>
        <w:br/>
        <w:t xml:space="preserve">в федеральный бюджет в 2016 году, составляют 103,0 млн рублей, что </w:t>
      </w:r>
      <w:r>
        <w:rPr>
          <w:rFonts w:ascii="Times New Roman" w:hAnsi="Times New Roman"/>
          <w:color w:val="000000" w:themeColor="text1"/>
          <w:spacing w:val="4"/>
          <w:sz w:val="28"/>
          <w:szCs w:val="28"/>
        </w:rPr>
        <w:br/>
        <w:t>в 1,1 раза больше планового показателя.</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1.4. Обеспечение функционирования системы казначейских платежей</w:t>
      </w:r>
    </w:p>
    <w:p>
      <w:pPr>
        <w:spacing w:after="0" w:line="360" w:lineRule="atLeast"/>
        <w:ind w:firstLine="709"/>
        <w:jc w:val="both"/>
        <w:rPr>
          <w:rFonts w:ascii="Times New Roman" w:eastAsiaTheme="minorEastAsia" w:hAnsi="Times New Roman"/>
          <w:color w:val="000000" w:themeColor="text1"/>
          <w:sz w:val="28"/>
          <w:szCs w:val="28"/>
        </w:rPr>
      </w:pPr>
      <w:r>
        <w:rPr>
          <w:rFonts w:ascii="Times New Roman" w:eastAsiaTheme="minorEastAsia" w:hAnsi="Times New Roman"/>
          <w:color w:val="000000" w:themeColor="text1"/>
          <w:sz w:val="28"/>
          <w:szCs w:val="28"/>
        </w:rPr>
        <w:t xml:space="preserve">В целях реализации задач реформирования системы бюджетных платежей, определенных Концепцией реформирования системы бюджетных платежей на период до 2017 года, с учетом ранее включенных в проект новой редакции Бюджетного кодекса положений, определяющих основы функционирования системы казначейских платежей и единого казначейского счета (далее – ЕКС), сформирована и направлена </w:t>
      </w:r>
      <w:r>
        <w:rPr>
          <w:rFonts w:ascii="Times New Roman" w:eastAsiaTheme="minorEastAsia" w:hAnsi="Times New Roman"/>
          <w:color w:val="000000" w:themeColor="text1"/>
          <w:sz w:val="28"/>
          <w:szCs w:val="28"/>
        </w:rPr>
        <w:br/>
        <w:t>на утверждение в Министерство финансов Российской Федерации Концепция создания и развития подсистемы «Управление денежными средствами» ГИИС «Электронный бюджет».</w:t>
      </w:r>
    </w:p>
    <w:p>
      <w:pPr>
        <w:autoSpaceDE w:val="0"/>
        <w:autoSpaceDN w:val="0"/>
        <w:adjustRightInd w:val="0"/>
        <w:spacing w:after="0" w:line="360" w:lineRule="atLeast"/>
        <w:ind w:firstLine="709"/>
        <w:jc w:val="both"/>
        <w:rPr>
          <w:rFonts w:ascii="Times New Roman" w:eastAsiaTheme="minorEastAsia" w:hAnsi="Times New Roman"/>
          <w:color w:val="000000" w:themeColor="text1"/>
          <w:sz w:val="28"/>
          <w:szCs w:val="28"/>
        </w:rPr>
      </w:pPr>
      <w:r>
        <w:rPr>
          <w:rFonts w:ascii="Times New Roman" w:eastAsiaTheme="minorEastAsia" w:hAnsi="Times New Roman"/>
          <w:color w:val="000000" w:themeColor="text1"/>
          <w:sz w:val="28"/>
          <w:szCs w:val="28"/>
        </w:rPr>
        <w:t xml:space="preserve">Указанной концепцией определяются цели и задачи создания подсистемы, принципы ее функционирования, перечень функций, выполняемых указанной подсистемой, и требования к ним, состав пользователей функций, а также перечень иных подсистем ГИИС «Электронный бюджет» и информационных систем, </w:t>
      </w:r>
      <w:r>
        <w:rPr>
          <w:rFonts w:ascii="Times New Roman" w:eastAsiaTheme="minorEastAsia" w:hAnsi="Times New Roman"/>
          <w:color w:val="000000" w:themeColor="text1"/>
          <w:sz w:val="28"/>
          <w:szCs w:val="28"/>
        </w:rPr>
        <w:br/>
        <w:t xml:space="preserve">во взаимодействии с которыми реализуется целевой процесс осуществления бюджетных платежей и управления ЕКС. Целью создания указанной подсистемы является формирование централизованной платежной среды, функционирующей с круглосуточной интенсивной транзакционной </w:t>
      </w:r>
      <w:r>
        <w:rPr>
          <w:rFonts w:ascii="Times New Roman" w:eastAsiaTheme="minorEastAsia" w:hAnsi="Times New Roman"/>
          <w:color w:val="000000" w:themeColor="text1"/>
          <w:sz w:val="28"/>
          <w:szCs w:val="28"/>
        </w:rPr>
        <w:lastRenderedPageBreak/>
        <w:t xml:space="preserve">активностью на технологически прогрессивной платформе, обеспечивающей проведение прямых расчетов между участниками системы казначейских платежей, а также расчетов, в том числе в иностранных валютах, участников системы казначейских платежей с получателями (плательщиками), находящимися на обслуживании в кредитных организациях, с соблюдением требований валютного законодательства, законодательства в области противодействия легализации (отмыванию) доходов, полученных преступным путем, и финансированию терроризма, </w:t>
      </w:r>
      <w:r>
        <w:rPr>
          <w:rFonts w:ascii="Times New Roman" w:eastAsiaTheme="minorEastAsia" w:hAnsi="Times New Roman"/>
          <w:color w:val="000000" w:themeColor="text1"/>
          <w:sz w:val="28"/>
          <w:szCs w:val="28"/>
        </w:rPr>
        <w:br/>
        <w:t>с учетом специальных экономических мер.</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1</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263763" cy="2250219"/>
            <wp:effectExtent l="0" t="0" r="0" b="0"/>
            <wp:docPr id="13" name="Рисунок 13" descr="C:\Users\2773\Desktop\рисунки для проекта итогового доклада\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773\Desktop\рисунки для проекта итогового доклада\Рисунок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3763" cy="2250219"/>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Указанная концепция отражает описание порядка осуществления бюджетных платежей участниками системы казначейских платежей, обработки поступлений на банковские счета Федерального казначейства, </w:t>
      </w:r>
      <w:r>
        <w:rPr>
          <w:rFonts w:ascii="Times New Roman" w:hAnsi="Times New Roman"/>
          <w:color w:val="000000" w:themeColor="text1"/>
          <w:sz w:val="28"/>
          <w:szCs w:val="28"/>
        </w:rPr>
        <w:br/>
        <w:t>в том числе входящие в ЕКС, обработки платежей до выяснения, организации выдачи и внесения наличных денежных средств, обеспечения участников системы казначейских платежей инструментами безналичных расчетов.</w:t>
      </w:r>
    </w:p>
    <w:p>
      <w:pPr>
        <w:pageBreakBefore/>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2</w:t>
      </w:r>
    </w:p>
    <w:p>
      <w:pPr>
        <w:autoSpaceDE w:val="0"/>
        <w:autoSpaceDN w:val="0"/>
        <w:adjustRightInd w:val="0"/>
        <w:spacing w:after="120" w:line="240" w:lineRule="auto"/>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852160" cy="2472856"/>
            <wp:effectExtent l="0" t="0" r="0" b="3810"/>
            <wp:docPr id="16" name="Рисунок 16" descr="C:\Users\2773\Desktop\рисунки для проекта итогового доклада\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773\Desktop\рисунки для проекта итогового доклада\Рисунок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0255" cy="2472051"/>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синхронизации мероприятий Федерального казначейства </w:t>
      </w:r>
      <w:r>
        <w:rPr>
          <w:rFonts w:ascii="Times New Roman" w:hAnsi="Times New Roman"/>
          <w:color w:val="000000" w:themeColor="text1"/>
          <w:sz w:val="28"/>
          <w:szCs w:val="28"/>
        </w:rPr>
        <w:br/>
        <w:t xml:space="preserve">и Центрального банка Российской Федерации утвержден актуализированный в части состава мероприятий и сроков их исполнения План совместных мероприятий Федерального казначейства и Центрального банка Российской Федерации по реализации отдельных направлений Концепции реформирования системы бюджетных платежей на период </w:t>
      </w:r>
      <w:r>
        <w:rPr>
          <w:rFonts w:ascii="Times New Roman" w:hAnsi="Times New Roman"/>
          <w:color w:val="000000" w:themeColor="text1"/>
          <w:sz w:val="28"/>
          <w:szCs w:val="28"/>
        </w:rPr>
        <w:br/>
        <w:t>до 2017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взаимодействия с Банком России сформированы </w:t>
      </w:r>
      <w:r>
        <w:rPr>
          <w:rFonts w:ascii="Times New Roman" w:hAnsi="Times New Roman"/>
          <w:color w:val="000000" w:themeColor="text1"/>
          <w:sz w:val="28"/>
          <w:szCs w:val="28"/>
        </w:rPr>
        <w:br/>
        <w:t xml:space="preserve">и направлены в Банк России предложения к реквизитам распоряжений Федерального казначейства о переводе денежных средств организаций, лицевые счета которым открыты в ТОФК и финансовых органах, </w:t>
      </w:r>
      <w:r>
        <w:rPr>
          <w:rFonts w:ascii="Times New Roman" w:hAnsi="Times New Roman"/>
          <w:color w:val="000000" w:themeColor="text1"/>
          <w:sz w:val="28"/>
          <w:szCs w:val="28"/>
        </w:rPr>
        <w:br/>
        <w:t>в перспективной платежной системе Банка России в условиях функционирования ЕКС.</w:t>
      </w:r>
    </w:p>
    <w:p>
      <w:pPr>
        <w:pageBreakBefore/>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3</w:t>
      </w:r>
    </w:p>
    <w:p>
      <w:pPr>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09037" cy="2369489"/>
            <wp:effectExtent l="0" t="0" r="6350" b="0"/>
            <wp:docPr id="22" name="Рисунок 22" descr="C:\Users\2773\Desktop\рисунки для проекта итогового доклада\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773\Desktop\рисунки для проекта итогового доклада\Рисунок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9629" cy="2373885"/>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совершенствования утвержденных правил указания информации в реквизитах распоряжений о переводе денежных средств </w:t>
      </w:r>
      <w:r>
        <w:rPr>
          <w:rFonts w:ascii="Times New Roman" w:hAnsi="Times New Roman"/>
          <w:color w:val="000000" w:themeColor="text1"/>
          <w:sz w:val="28"/>
          <w:szCs w:val="28"/>
        </w:rPr>
        <w:br/>
        <w:t xml:space="preserve">с учетом предложений Федерального казначейства разработан проект приказа Министерства финансов Российской Федерации «О внесении изменений в приказ Министерства финансов Российской Федерации </w:t>
      </w:r>
      <w:r>
        <w:rPr>
          <w:rFonts w:ascii="Times New Roman" w:hAnsi="Times New Roman"/>
          <w:color w:val="000000" w:themeColor="text1"/>
          <w:sz w:val="28"/>
          <w:szCs w:val="28"/>
        </w:rPr>
        <w:br/>
        <w:t>от 12 ноября 2013 г. № 107н».</w:t>
      </w:r>
    </w:p>
    <w:p>
      <w:pPr>
        <w:pStyle w:val="21"/>
        <w:spacing w:after="0" w:line="360" w:lineRule="atLeast"/>
        <w:ind w:firstLine="709"/>
        <w:jc w:val="both"/>
        <w:rPr>
          <w:color w:val="000000" w:themeColor="text1"/>
          <w:sz w:val="28"/>
          <w:szCs w:val="28"/>
        </w:rPr>
      </w:pPr>
      <w:r>
        <w:rPr>
          <w:color w:val="000000" w:themeColor="text1"/>
          <w:sz w:val="28"/>
          <w:szCs w:val="28"/>
        </w:rPr>
        <w:t xml:space="preserve">Кроме того, согласован перечень счетов казначейского учета, включенных в разделы II. «Финансовые активы» и III. «Обязательства </w:t>
      </w:r>
      <w:r>
        <w:rPr>
          <w:color w:val="000000" w:themeColor="text1"/>
          <w:sz w:val="28"/>
          <w:szCs w:val="28"/>
        </w:rPr>
        <w:br/>
        <w:t xml:space="preserve">и требования» проекта плана счетов казначейского учета, доработанного </w:t>
      </w:r>
      <w:r>
        <w:rPr>
          <w:color w:val="000000" w:themeColor="text1"/>
          <w:sz w:val="28"/>
          <w:szCs w:val="28"/>
        </w:rPr>
        <w:br/>
        <w:t xml:space="preserve">с учетом предложений и замечаний членов Рабочей группы по разработке учетной модели Федерального казначейства в рамках реализации Концепции реформирования системы бюджетных платежей на период </w:t>
      </w:r>
      <w:r>
        <w:rPr>
          <w:color w:val="000000" w:themeColor="text1"/>
          <w:sz w:val="28"/>
          <w:szCs w:val="28"/>
        </w:rPr>
        <w:br/>
        <w:t>до 2017 года (протокол от 28 декабря 2016 г. № 10).</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1.5. Создание платежных сервисов и развитие Государственной информационной системы о государственных и муниципальных платежах</w:t>
      </w:r>
    </w:p>
    <w:p>
      <w:pPr>
        <w:spacing w:after="0" w:line="360" w:lineRule="atLeast"/>
        <w:ind w:firstLine="709"/>
        <w:jc w:val="both"/>
        <w:rPr>
          <w:rFonts w:ascii="Times New Roman" w:hAnsi="Times New Roman"/>
          <w:color w:val="000000" w:themeColor="text1"/>
        </w:rPr>
      </w:pPr>
      <w:r>
        <w:rPr>
          <w:rFonts w:ascii="Times New Roman" w:hAnsi="Times New Roman"/>
          <w:color w:val="000000" w:themeColor="text1"/>
          <w:sz w:val="28"/>
          <w:szCs w:val="28"/>
        </w:rPr>
        <w:t xml:space="preserve">С учетом согласованных Федеральным казначейством положений проекта федерального закона № 61700-7 «О внесении изменений </w:t>
      </w:r>
      <w:r>
        <w:rPr>
          <w:rFonts w:ascii="Times New Roman" w:hAnsi="Times New Roman"/>
          <w:color w:val="000000" w:themeColor="text1"/>
          <w:sz w:val="28"/>
          <w:szCs w:val="28"/>
        </w:rPr>
        <w:br/>
        <w:t xml:space="preserve">в Федеральный закон «О национальной платежной системе» и статью 16.1 Закона Российской Федерации «О защите прав потребителей», устанавливающим обязанность кредитных организаций зачислять все виды денежных выплат физическим лицам, осуществляемых за счет средств бюджетов бюджетной системы Российской Федерации с 1 января 2018 года на платежные карты «Мир», Федеральным казначейством с участием Министерства финансов Российской Федерации, Центрального банка Российской Федерации, оператора платежной системы «Мир» – </w:t>
      </w:r>
      <w:r>
        <w:rPr>
          <w:rFonts w:ascii="Times New Roman" w:hAnsi="Times New Roman"/>
          <w:color w:val="000000" w:themeColor="text1"/>
          <w:sz w:val="28"/>
          <w:szCs w:val="28"/>
        </w:rPr>
        <w:lastRenderedPageBreak/>
        <w:t xml:space="preserve">акционерным обществом «Национальная система платежных карт» </w:t>
      </w:r>
      <w:r>
        <w:rPr>
          <w:rFonts w:ascii="Times New Roman" w:hAnsi="Times New Roman"/>
          <w:color w:val="000000" w:themeColor="text1"/>
          <w:sz w:val="28"/>
          <w:szCs w:val="28"/>
        </w:rPr>
        <w:br/>
        <w:t xml:space="preserve">и «пилотного» клиента Федерального казначейства – ФСС РФ разработан </w:t>
      </w:r>
      <w:r>
        <w:rPr>
          <w:rFonts w:ascii="Times New Roman" w:hAnsi="Times New Roman"/>
          <w:color w:val="000000" w:themeColor="text1"/>
          <w:sz w:val="28"/>
          <w:szCs w:val="28"/>
        </w:rPr>
        <w:br/>
        <w:t xml:space="preserve">и проходит внедрение механизм выплат на банковские счета </w:t>
      </w:r>
      <w:r>
        <w:rPr>
          <w:rFonts w:ascii="Times New Roman" w:hAnsi="Times New Roman"/>
          <w:color w:val="000000" w:themeColor="text1"/>
          <w:sz w:val="28"/>
          <w:szCs w:val="28"/>
        </w:rPr>
        <w:br/>
        <w:t>с использованием только номера платежной карты «Мир» вместо указываемых в настоящее время получателем средств наименования, банковского идентификационного кода и корреспондентского счета банка получателя, а также номера счета получателя</w:t>
      </w:r>
      <w:r>
        <w:rPr>
          <w:rFonts w:ascii="Times New Roman" w:hAnsi="Times New Roman"/>
          <w:color w:val="000000" w:themeColor="text1"/>
        </w:rPr>
        <w:t>.</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4</w:t>
      </w:r>
    </w:p>
    <w:p>
      <w:pPr>
        <w:autoSpaceDE w:val="0"/>
        <w:autoSpaceDN w:val="0"/>
        <w:adjustRightInd w:val="0"/>
        <w:spacing w:after="120" w:line="240" w:lineRule="auto"/>
        <w:ind w:right="-1"/>
        <w:jc w:val="center"/>
        <w:rPr>
          <w:rFonts w:ascii="Times New Roman" w:eastAsia="Times New Roman" w:hAnsi="Times New Roman"/>
          <w:color w:val="000000" w:themeColor="text1"/>
          <w:sz w:val="28"/>
          <w:szCs w:val="28"/>
          <w:lang w:eastAsia="ru-RU"/>
        </w:rPr>
      </w:pPr>
      <w:r>
        <w:rPr>
          <w:rFonts w:ascii="Times New Roman" w:hAnsi="Times New Roman"/>
          <w:noProof/>
          <w:color w:val="000000" w:themeColor="text1"/>
          <w:lang w:eastAsia="ru-RU"/>
        </w:rPr>
        <w:drawing>
          <wp:inline distT="0" distB="0" distL="0" distR="0">
            <wp:extent cx="5716988" cy="2639833"/>
            <wp:effectExtent l="0" t="0" r="0" b="0"/>
            <wp:docPr id="23" name="Рисунок 23" descr="C:\Users\2773\Desktop\рисунки для проекта итогового доклада\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773\Desktop\рисунки для проекта итогового доклада\Рисунок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5130" cy="2638975"/>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отчетном году для целей координации деятельности в Федеральном казначействе создана Рабочая группа по организации выплат Фондом социального страхования Российской Федерации страхового обеспечения </w:t>
      </w:r>
      <w:r>
        <w:rPr>
          <w:rFonts w:ascii="Times New Roman" w:hAnsi="Times New Roman"/>
          <w:color w:val="000000" w:themeColor="text1"/>
          <w:sz w:val="28"/>
          <w:szCs w:val="28"/>
        </w:rPr>
        <w:br/>
        <w:t xml:space="preserve">в пользу застрахованных лиц на национальные платежные инструменты. </w:t>
      </w:r>
      <w:r>
        <w:rPr>
          <w:rFonts w:ascii="Times New Roman" w:hAnsi="Times New Roman"/>
          <w:color w:val="000000" w:themeColor="text1"/>
          <w:sz w:val="28"/>
          <w:szCs w:val="28"/>
        </w:rPr>
        <w:br/>
        <w:t xml:space="preserve">В рамках совещаний под председательством заместителя Министра финансов Российской Федерации А.В. Моисеева и заседаний вышеуказанной Рабочей группы определены субъекты Российской Федерации и страхователи, участвующие в апробации нового механизма выплат, одобрен и исполняется План мероприятий («дорожная карта») </w:t>
      </w:r>
      <w:r>
        <w:rPr>
          <w:rFonts w:ascii="Times New Roman" w:hAnsi="Times New Roman"/>
          <w:color w:val="000000" w:themeColor="text1"/>
          <w:sz w:val="28"/>
          <w:szCs w:val="28"/>
        </w:rPr>
        <w:br/>
        <w:t xml:space="preserve">по организации выплат Фондом социального страхования Российской Федерации страхового обеспечения в пользу застрахованных лиц </w:t>
      </w:r>
      <w:r>
        <w:rPr>
          <w:rFonts w:ascii="Times New Roman" w:hAnsi="Times New Roman"/>
          <w:color w:val="000000" w:themeColor="text1"/>
          <w:sz w:val="28"/>
          <w:szCs w:val="28"/>
        </w:rPr>
        <w:br/>
        <w:t>на национальные платежные инструменты.</w:t>
      </w:r>
    </w:p>
    <w:p>
      <w:pPr>
        <w:spacing w:after="0" w:line="360" w:lineRule="atLeast"/>
        <w:ind w:firstLine="709"/>
        <w:jc w:val="both"/>
        <w:rPr>
          <w:rFonts w:ascii="Times New Roman" w:hAnsi="Times New Roman"/>
          <w:color w:val="000000" w:themeColor="text1"/>
          <w:sz w:val="28"/>
          <w:szCs w:val="28"/>
        </w:rPr>
      </w:pPr>
    </w:p>
    <w:p>
      <w:pPr>
        <w:pageBreakBefore/>
        <w:autoSpaceDE w:val="0"/>
        <w:autoSpaceDN w:val="0"/>
        <w:adjustRightInd w:val="0"/>
        <w:spacing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5</w:t>
      </w:r>
    </w:p>
    <w:p>
      <w:pPr>
        <w:spacing w:after="0" w:line="360" w:lineRule="atLeast"/>
        <w:ind w:firstLine="709"/>
        <w:jc w:val="center"/>
        <w:rPr>
          <w:rFonts w:ascii="Times New Roman" w:hAnsi="Times New Roman"/>
          <w:color w:val="000000" w:themeColor="text1"/>
          <w:sz w:val="28"/>
          <w:szCs w:val="28"/>
        </w:rPr>
      </w:pPr>
      <w:r>
        <w:rPr>
          <w:rFonts w:ascii="Times New Roman" w:hAnsi="Times New Roman"/>
          <w:noProof/>
          <w:color w:val="000000" w:themeColor="text1"/>
          <w:sz w:val="24"/>
          <w:szCs w:val="24"/>
          <w:lang w:eastAsia="ru-RU"/>
        </w:rPr>
        <w:drawing>
          <wp:inline distT="0" distB="0" distL="0" distR="0">
            <wp:extent cx="4969565" cy="2862470"/>
            <wp:effectExtent l="0" t="0" r="2540" b="0"/>
            <wp:docPr id="24" name="Рисунок 24" descr="C:\Users\2773\Desktop\рисунки для проекта итогового доклада\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773\Desktop\рисунки для проекта итогового доклада\Рисунок 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69569" cy="2862472"/>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подготовки к реализации положений проекта новой редакции Бюджетного кодекса Федеральным казначейством проведен анализ условий договоров, заключаемых получателями бюджетных средств с кредитными организациями в целях оказания услуг по приему платежных карт при реализации товаров (работ, услуг) (договоров эквайринга). Результаты анализа, сформулированные в виде рекомендаций </w:t>
      </w:r>
      <w:r>
        <w:rPr>
          <w:rFonts w:ascii="Times New Roman" w:hAnsi="Times New Roman"/>
          <w:color w:val="000000" w:themeColor="text1"/>
          <w:sz w:val="28"/>
          <w:szCs w:val="28"/>
        </w:rPr>
        <w:br/>
        <w:t xml:space="preserve">к существенным условиям договоров эквайринга, представлены </w:t>
      </w:r>
      <w:r>
        <w:rPr>
          <w:rFonts w:ascii="Times New Roman" w:hAnsi="Times New Roman"/>
          <w:color w:val="000000" w:themeColor="text1"/>
          <w:sz w:val="28"/>
          <w:szCs w:val="28"/>
        </w:rPr>
        <w:br/>
        <w:t xml:space="preserve">в Министерство финансов Российской Федерации для согласования </w:t>
      </w:r>
      <w:r>
        <w:rPr>
          <w:rFonts w:ascii="Times New Roman" w:hAnsi="Times New Roman"/>
          <w:color w:val="000000" w:themeColor="text1"/>
          <w:sz w:val="28"/>
          <w:szCs w:val="28"/>
        </w:rPr>
        <w:br/>
        <w:t>с Центральным банком Российской Федерации и доведения до получателей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 учетом предложений Федерального казначейства уточнены тарифы платежной системы «Мир» (приложение № 8 к Правилам платежной системы «Мир») в части размера платы за осуществление платежей </w:t>
      </w:r>
      <w:r>
        <w:rPr>
          <w:rFonts w:ascii="Times New Roman" w:hAnsi="Times New Roman"/>
          <w:color w:val="000000" w:themeColor="text1"/>
          <w:sz w:val="28"/>
          <w:szCs w:val="28"/>
        </w:rPr>
        <w:br/>
        <w:t>в бюджеты бюджетной системы Российской Федерации, в том числе исключение платы по платежам в уплату налогов, сборов.</w:t>
      </w:r>
    </w:p>
    <w:p>
      <w:pPr>
        <w:spacing w:after="0" w:line="360" w:lineRule="atLeast"/>
        <w:ind w:firstLine="709"/>
        <w:jc w:val="both"/>
        <w:rPr>
          <w:rFonts w:ascii="Times New Roman" w:hAnsi="Times New Roman"/>
          <w:color w:val="000000" w:themeColor="text1"/>
          <w:sz w:val="28"/>
          <w:szCs w:val="28"/>
        </w:rPr>
      </w:pPr>
      <w:r>
        <w:rPr>
          <w:rFonts w:ascii="Times New Roman" w:eastAsia="SimSun" w:hAnsi="Times New Roman"/>
          <w:color w:val="000000" w:themeColor="text1"/>
          <w:sz w:val="28"/>
          <w:szCs w:val="28"/>
        </w:rPr>
        <w:t>Федеральное казначейство в соответствии со статьей 21.3 Федерального закона от 27 июля 2010 г. № 210-ФЗ «Об организации предоставления государственных и муниципальных услуг» является оператором ГИС ГМП – важнейшего элемента в инфраструктуре электронного правительства, который обеспечивает упрощение процедуры и сокращение сроков оказания</w:t>
      </w:r>
      <w:r>
        <w:rPr>
          <w:rFonts w:ascii="Times New Roman" w:hAnsi="Times New Roman"/>
          <w:color w:val="000000" w:themeColor="text1"/>
          <w:sz w:val="28"/>
          <w:szCs w:val="28"/>
        </w:rPr>
        <w:t xml:space="preserve"> </w:t>
      </w:r>
      <w:r>
        <w:rPr>
          <w:rFonts w:ascii="Times New Roman" w:eastAsia="SimSun" w:hAnsi="Times New Roman"/>
          <w:color w:val="000000" w:themeColor="text1"/>
          <w:sz w:val="28"/>
          <w:szCs w:val="28"/>
        </w:rPr>
        <w:t xml:space="preserve">государственных и муниципальных услуг, предоставляемых организациям и гражданам, снижение административных издержек для граждан и организаций, связанных с получением государственных и муниципальных услуг, а также возможность </w:t>
      </w:r>
      <w:r>
        <w:rPr>
          <w:rFonts w:ascii="Times New Roman" w:eastAsia="SimSun" w:hAnsi="Times New Roman"/>
          <w:color w:val="000000" w:themeColor="text1"/>
          <w:sz w:val="28"/>
          <w:szCs w:val="28"/>
        </w:rPr>
        <w:lastRenderedPageBreak/>
        <w:t>предоставления государственных и муниципальных услуг в электронном виде.</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6</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581816" cy="3466768"/>
            <wp:effectExtent l="0" t="0" r="0" b="635"/>
            <wp:docPr id="25" name="Рисунок 25" descr="C:\Users\2773\Desktop\рисунки для проекта итогового доклада\Рисунок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773\Desktop\рисунки для проекта итогового доклада\Рисунок 6.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81818" cy="3466769"/>
                    </a:xfrm>
                    <a:prstGeom prst="rect">
                      <a:avLst/>
                    </a:prstGeom>
                    <a:noFill/>
                    <a:ln>
                      <a:noFill/>
                    </a:ln>
                  </pic:spPr>
                </pic:pic>
              </a:graphicData>
            </a:graphic>
          </wp:inline>
        </w:drawing>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 xml:space="preserve">Одной из основных целей создания и функционирования ГИС ГМП является реализация прав граждан и организаций на получение информации обо всех своих обязательствах перед бюджетами бюджетной системы Российской Федерации и информации о задолженностях </w:t>
      </w:r>
      <w:r>
        <w:rPr>
          <w:rFonts w:ascii="Times New Roman" w:eastAsia="SimSun" w:hAnsi="Times New Roman"/>
          <w:color w:val="000000" w:themeColor="text1"/>
          <w:sz w:val="28"/>
          <w:szCs w:val="28"/>
        </w:rPr>
        <w:br/>
        <w:t xml:space="preserve">по исполнительным документам по принципу «одного окна» и прав </w:t>
      </w:r>
      <w:r>
        <w:rPr>
          <w:rFonts w:ascii="Times New Roman" w:eastAsia="SimSun" w:hAnsi="Times New Roman"/>
          <w:color w:val="000000" w:themeColor="text1"/>
          <w:sz w:val="28"/>
          <w:szCs w:val="28"/>
        </w:rPr>
        <w:br/>
        <w:t xml:space="preserve">на получение платных государственных и муниципальных услуг </w:t>
      </w:r>
      <w:r>
        <w:rPr>
          <w:rFonts w:ascii="Times New Roman" w:eastAsia="SimSun" w:hAnsi="Times New Roman"/>
          <w:color w:val="000000" w:themeColor="text1"/>
          <w:sz w:val="28"/>
          <w:szCs w:val="28"/>
        </w:rPr>
        <w:br/>
        <w:t>без предоставления документов, подтверждающих факт оплаты.</w:t>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 xml:space="preserve">В целях совершенствования функционирования ГИС ГМП, в том числе обеспечения качества данных, предоставляемых участниками </w:t>
      </w:r>
      <w:r>
        <w:rPr>
          <w:rFonts w:ascii="Times New Roman" w:eastAsia="SimSun" w:hAnsi="Times New Roman"/>
          <w:color w:val="000000" w:themeColor="text1"/>
          <w:sz w:val="28"/>
          <w:szCs w:val="28"/>
        </w:rPr>
        <w:br/>
        <w:t xml:space="preserve">в ГИС ГМП, Федеральным казначейством в 2016 году внесены изменения </w:t>
      </w:r>
      <w:r>
        <w:rPr>
          <w:rFonts w:ascii="Times New Roman" w:eastAsia="SimSun" w:hAnsi="Times New Roman"/>
          <w:color w:val="000000" w:themeColor="text1"/>
          <w:sz w:val="28"/>
          <w:szCs w:val="28"/>
        </w:rPr>
        <w:br/>
        <w:t xml:space="preserve">в Форматы взаимодействия Государственной информационной системы </w:t>
      </w:r>
      <w:r>
        <w:rPr>
          <w:rFonts w:ascii="Times New Roman" w:eastAsia="SimSun" w:hAnsi="Times New Roman"/>
          <w:color w:val="000000" w:themeColor="text1"/>
          <w:sz w:val="28"/>
          <w:szCs w:val="28"/>
        </w:rPr>
        <w:br/>
        <w:t>о государственных и муниципальных платежах с информационными системами участников в части установления дополнительных форматно-логических контролей значений реквизитов, передаваемых в ГИС ГМП извещений о приеме к исполнению распоряжений о переводе денежных средств, в соответствии с Приказом Минфина России от 23 сентября 2015 г. № 148н «О внесении изменений в приказ Министерства финансов Российской Федерации от 12 ноября 2013 г. № 107н».</w:t>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 xml:space="preserve">В связи с вступлением в силу положений Федерального закона </w:t>
      </w:r>
      <w:r>
        <w:rPr>
          <w:rFonts w:ascii="Times New Roman" w:eastAsia="SimSun" w:hAnsi="Times New Roman"/>
          <w:color w:val="000000" w:themeColor="text1"/>
          <w:sz w:val="28"/>
          <w:szCs w:val="28"/>
        </w:rPr>
        <w:br/>
        <w:t xml:space="preserve">от 22 декабря 2014 г. № 437-ФЗ «О внесении изменений в Кодекс </w:t>
      </w:r>
      <w:r>
        <w:rPr>
          <w:rFonts w:ascii="Times New Roman" w:eastAsia="SimSun" w:hAnsi="Times New Roman"/>
          <w:color w:val="000000" w:themeColor="text1"/>
          <w:sz w:val="28"/>
          <w:szCs w:val="28"/>
        </w:rPr>
        <w:lastRenderedPageBreak/>
        <w:t xml:space="preserve">Российской Федерации об административных правонарушениях в части совершенствования взыскания штрафов за административные правонарушения в области дорожного движения» Федеральным казначейством реализовано автоматическое погашение в ГИС ГМП начислений административных штрафов в области дорожного движения </w:t>
      </w:r>
      <w:r>
        <w:rPr>
          <w:rFonts w:ascii="Times New Roman" w:eastAsia="SimSun" w:hAnsi="Times New Roman"/>
          <w:color w:val="000000" w:themeColor="text1"/>
          <w:sz w:val="28"/>
          <w:szCs w:val="28"/>
        </w:rPr>
        <w:br/>
        <w:t xml:space="preserve">при их уплате лицом, привлеченным к административной ответственности, </w:t>
      </w:r>
      <w:r>
        <w:rPr>
          <w:rFonts w:ascii="Times New Roman" w:eastAsia="SimSun" w:hAnsi="Times New Roman"/>
          <w:color w:val="000000" w:themeColor="text1"/>
          <w:sz w:val="28"/>
          <w:szCs w:val="28"/>
        </w:rPr>
        <w:br/>
        <w:t>в размере половины суммы не позднее 20 дней со дня вынесения постановления о наложении административного штрафа.</w:t>
      </w:r>
    </w:p>
    <w:p>
      <w:pPr>
        <w:spacing w:after="0" w:line="360" w:lineRule="atLeast"/>
        <w:ind w:firstLine="709"/>
        <w:jc w:val="both"/>
        <w:rPr>
          <w:rFonts w:ascii="Times New Roman" w:hAnsi="Times New Roman"/>
          <w:color w:val="000000" w:themeColor="text1"/>
          <w:sz w:val="28"/>
          <w:szCs w:val="28"/>
        </w:rPr>
      </w:pPr>
      <w:r>
        <w:rPr>
          <w:rFonts w:ascii="Times New Roman" w:eastAsia="SimSun" w:hAnsi="Times New Roman"/>
          <w:color w:val="000000" w:themeColor="text1"/>
          <w:sz w:val="28"/>
          <w:szCs w:val="28"/>
        </w:rPr>
        <w:t>Также реализовано автоматическое погашение в ГИС ГМП начислений стоимости перемещения и стоимости хранения транспортного средства при их уплате в размере 75 % от суммы до момента возврата транспортного средства в соответствии с постановлением Правительства Москвы от 20 июля 2016 г. № 449-ПП «О внесении изменений в правовые акты города Москвы».</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7</w:t>
      </w:r>
    </w:p>
    <w:p>
      <w:pPr>
        <w:spacing w:line="360" w:lineRule="atLeast"/>
        <w:ind w:firstLine="708"/>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255813" cy="3228229"/>
            <wp:effectExtent l="0" t="0" r="0" b="0"/>
            <wp:docPr id="26" name="Рисунок 26" descr="C:\Users\2773\Desktop\рисунки для проекта итогового доклада\Рисунок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773\Desktop\рисунки для проекта итогового доклада\Рисунок 6.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4317" cy="3233452"/>
                    </a:xfrm>
                    <a:prstGeom prst="rect">
                      <a:avLst/>
                    </a:prstGeom>
                    <a:noFill/>
                    <a:ln>
                      <a:noFill/>
                    </a:ln>
                  </pic:spPr>
                </pic:pic>
              </a:graphicData>
            </a:graphic>
          </wp:inline>
        </w:drawing>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 xml:space="preserve">Обеспечено предоставление банками, иными кредитными организациями, организацией федеральной почтовой связи, иными органами или организациями, через которые производится уплата денежных средств на счета органов Федерального казначейства в счет погашения задолженности по исполнительному производству, информации </w:t>
      </w:r>
      <w:r>
        <w:rPr>
          <w:rFonts w:ascii="Times New Roman" w:eastAsia="SimSun" w:hAnsi="Times New Roman"/>
          <w:color w:val="000000" w:themeColor="text1"/>
          <w:sz w:val="28"/>
          <w:szCs w:val="28"/>
        </w:rPr>
        <w:br/>
        <w:t xml:space="preserve">об их уплате в ГИС ГМП в соответствии с Федеральным законом </w:t>
      </w:r>
      <w:r>
        <w:rPr>
          <w:rFonts w:ascii="Times New Roman" w:eastAsia="SimSun" w:hAnsi="Times New Roman"/>
          <w:color w:val="000000" w:themeColor="text1"/>
          <w:sz w:val="28"/>
          <w:szCs w:val="28"/>
        </w:rPr>
        <w:br/>
        <w:t>от 3 июля 2016 г. № 274-ФЗ «О внесении изменений в Федеральный закон</w:t>
      </w:r>
      <w:r>
        <w:rPr>
          <w:rFonts w:ascii="Times New Roman" w:eastAsia="SimSun" w:hAnsi="Times New Roman"/>
          <w:color w:val="000000" w:themeColor="text1"/>
          <w:sz w:val="28"/>
          <w:szCs w:val="28"/>
        </w:rPr>
        <w:br/>
        <w:t>«Об исполнительном производстве».</w:t>
      </w:r>
    </w:p>
    <w:p>
      <w:pPr>
        <w:spacing w:after="0" w:line="360" w:lineRule="atLeast"/>
        <w:ind w:firstLine="709"/>
        <w:jc w:val="both"/>
        <w:rPr>
          <w:rFonts w:ascii="Times New Roman" w:hAnsi="Times New Roman"/>
          <w:color w:val="000000" w:themeColor="text1"/>
          <w:sz w:val="28"/>
          <w:szCs w:val="28"/>
        </w:rPr>
      </w:pPr>
      <w:r>
        <w:rPr>
          <w:rFonts w:ascii="Times New Roman" w:eastAsia="SimSun" w:hAnsi="Times New Roman"/>
          <w:color w:val="000000" w:themeColor="text1"/>
          <w:sz w:val="28"/>
          <w:szCs w:val="28"/>
        </w:rPr>
        <w:lastRenderedPageBreak/>
        <w:t xml:space="preserve">С 1 января 2017 года обеспечена техническая реализация возможности уплаты государственной пошлины, установленной главой 25.1 части второй Налогового кодекса Российской Федерации, за совершение юридически значимых действий в отношении физических лиц с учетом коэффициента 0,7 в случае подачи заявления о совершении указанных юридически значимых действий и уплаты соответствующей государственной пошлины с использованием единого портала государственных и муниципальных услуг (функций), региональных порталов государственных и муниципальных услуг (функций) и иных порталов, интегрированных с единой системой идентификации </w:t>
      </w:r>
      <w:r>
        <w:rPr>
          <w:rFonts w:ascii="Times New Roman" w:eastAsia="SimSun" w:hAnsi="Times New Roman"/>
          <w:color w:val="000000" w:themeColor="text1"/>
          <w:sz w:val="28"/>
          <w:szCs w:val="28"/>
        </w:rPr>
        <w:br/>
        <w:t xml:space="preserve">и аутентификации </w:t>
      </w:r>
      <w:r>
        <w:rPr>
          <w:rFonts w:ascii="Times New Roman" w:hAnsi="Times New Roman"/>
          <w:color w:val="000000" w:themeColor="text1"/>
          <w:sz w:val="28"/>
          <w:szCs w:val="28"/>
        </w:rPr>
        <w:t>(далее – ЕСИА)</w:t>
      </w:r>
      <w:r>
        <w:rPr>
          <w:rFonts w:ascii="Times New Roman" w:eastAsia="SimSun" w:hAnsi="Times New Roman"/>
          <w:color w:val="000000" w:themeColor="text1"/>
          <w:sz w:val="28"/>
          <w:szCs w:val="28"/>
        </w:rPr>
        <w:t>, в соответствии с Федеральным законом от 30 ноября 2016 г. № 402-ФЗ «О внесении изменения в статью 333.35 части второй Налогового кодекса Российской Федерации».</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8</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96501" cy="3355451"/>
            <wp:effectExtent l="0" t="0" r="0" b="0"/>
            <wp:docPr id="27" name="Рисунок 27" descr="C:\Users\2773\Desktop\рисунки для проекта итогового доклада\Рисуно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773\Desktop\рисунки для проекта итогового доклада\Рисунок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95513" cy="3354879"/>
                    </a:xfrm>
                    <a:prstGeom prst="rect">
                      <a:avLst/>
                    </a:prstGeom>
                    <a:noFill/>
                    <a:ln>
                      <a:noFill/>
                    </a:ln>
                  </pic:spPr>
                </pic:pic>
              </a:graphicData>
            </a:graphic>
          </wp:inline>
        </w:drawing>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 xml:space="preserve">Учитывая, что ГИС ГМП имеет сервис-ориентированную архитектуру, Федеральным казначейством в 2016 году проведена разработка платежного приложения ГИС ГМП, обеспечивающего использование электронных средств платежа при уплате бюджетных платежей на счета Федерального казначейства, в том числе сформированы положения, требующие включения в НПА, для обеспечения его функционирования, что позволит уже в 2017 году создать на Едином портале отдельный раздел, переходя в который пользователю интернет-портала будут доступны информационно-платежные сервисы Федерального </w:t>
      </w:r>
      <w:r>
        <w:rPr>
          <w:rFonts w:ascii="Times New Roman" w:eastAsia="SimSun" w:hAnsi="Times New Roman"/>
          <w:color w:val="000000" w:themeColor="text1"/>
          <w:sz w:val="28"/>
          <w:szCs w:val="28"/>
        </w:rPr>
        <w:lastRenderedPageBreak/>
        <w:t xml:space="preserve">казначейства, позволяющие в режиме реального времени получать информацию о своих обязательствах перед бюджетом и производить </w:t>
      </w:r>
      <w:r>
        <w:rPr>
          <w:rFonts w:ascii="Times New Roman" w:eastAsia="SimSun" w:hAnsi="Times New Roman"/>
          <w:color w:val="000000" w:themeColor="text1"/>
          <w:sz w:val="28"/>
          <w:szCs w:val="28"/>
        </w:rPr>
        <w:br/>
        <w:t>их своевременную оплату.</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9</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518205" cy="2615979"/>
            <wp:effectExtent l="0" t="0" r="0" b="0"/>
            <wp:docPr id="28" name="Рисунок 28" descr="C:\Users\2773\Desktop\рисунки для проекта итогового доклада\Рисуно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773\Desktop\рисунки для проекта итогового доклада\Рисунок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24500" cy="2618963"/>
                    </a:xfrm>
                    <a:prstGeom prst="rect">
                      <a:avLst/>
                    </a:prstGeom>
                    <a:noFill/>
                    <a:ln>
                      <a:noFill/>
                    </a:ln>
                  </pic:spPr>
                </pic:pic>
              </a:graphicData>
            </a:graphic>
          </wp:inline>
        </w:drawing>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По состоянию на 1 января 2017 года участниками ГИС ГМП являются 67 867 организаций и учреждений, в том числе:</w:t>
      </w:r>
    </w:p>
    <w:p>
      <w:pPr>
        <w:tabs>
          <w:tab w:val="left" w:pos="567"/>
        </w:tabs>
        <w:suppressAutoHyphens/>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w:t>
      </w:r>
      <w:r>
        <w:rPr>
          <w:rFonts w:ascii="Times New Roman" w:eastAsia="SimSun" w:hAnsi="Times New Roman"/>
          <w:color w:val="000000" w:themeColor="text1"/>
          <w:sz w:val="28"/>
          <w:szCs w:val="28"/>
          <w:lang w:val="en-US"/>
        </w:rPr>
        <w:t> </w:t>
      </w:r>
      <w:r>
        <w:rPr>
          <w:rFonts w:ascii="Times New Roman" w:eastAsia="SimSun" w:hAnsi="Times New Roman"/>
          <w:color w:val="000000" w:themeColor="text1"/>
          <w:sz w:val="28"/>
          <w:szCs w:val="28"/>
        </w:rPr>
        <w:t>625 кредитных организаций, из числа которых 596 кредитными организациями обеспечивается взаимодействие с ГИС ГМП, что составляет 95 процентов;</w:t>
      </w:r>
    </w:p>
    <w:p>
      <w:pPr>
        <w:tabs>
          <w:tab w:val="left" w:pos="567"/>
        </w:tabs>
        <w:suppressAutoHyphens/>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w:t>
      </w:r>
      <w:r>
        <w:rPr>
          <w:rFonts w:ascii="Times New Roman" w:eastAsia="SimSun" w:hAnsi="Times New Roman"/>
          <w:color w:val="000000" w:themeColor="text1"/>
          <w:sz w:val="28"/>
          <w:szCs w:val="28"/>
          <w:lang w:val="en-US"/>
        </w:rPr>
        <w:t> </w:t>
      </w:r>
      <w:r>
        <w:rPr>
          <w:rFonts w:ascii="Times New Roman" w:eastAsia="SimSun" w:hAnsi="Times New Roman"/>
          <w:color w:val="000000" w:themeColor="text1"/>
          <w:sz w:val="28"/>
          <w:szCs w:val="28"/>
        </w:rPr>
        <w:t xml:space="preserve">62 530 администраторов начислений (администраторы доходов бюджетов бюджетной системы Российской Федерации, государственные </w:t>
      </w:r>
      <w:r>
        <w:rPr>
          <w:rFonts w:ascii="Times New Roman" w:eastAsia="SimSun" w:hAnsi="Times New Roman"/>
          <w:color w:val="000000" w:themeColor="text1"/>
          <w:sz w:val="28"/>
          <w:szCs w:val="28"/>
        </w:rPr>
        <w:br/>
        <w:t>и муниципальные учреждения), из числа которых 45 320 администраторами начислений обеспечивается взаимодействие с ГИС ГМП, что составляет 72 процента.</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ar-SA"/>
        </w:rPr>
        <w:t>За 2016 год участниками передано в ГИС ГМП 1 194 630 450 извещений о начислениях и извещений о приеме к исполнению распоряжений.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1.6. Обеспечение организации исполнения судебных актов, решений налоговых органов и обеспечение опытного внедрения организации исполнения электронного исполнительного документа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1.6.1. Отчет о предъявленных в органы Федерального казначейства исполнительных документах по денежным обязательствам федеральных казенных учреждений, предусматривающих единовременные выплаты на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На 1 января 2017 года в ТОФК поступили 49 707 исполнительных документа на сумму 17 630 442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Из них 8 903 исполнительных документов на сумму 6 407 615 тыс. рублей были возвращены без исполнения взыскателям или в суды </w:t>
      </w:r>
      <w:r>
        <w:rPr>
          <w:rFonts w:ascii="Times New Roman" w:eastAsia="Times New Roman" w:hAnsi="Times New Roman"/>
          <w:color w:val="000000" w:themeColor="text1"/>
          <w:sz w:val="28"/>
          <w:szCs w:val="28"/>
          <w:lang w:eastAsia="ru-RU"/>
        </w:rPr>
        <w:br/>
        <w:t>по основаниям, указанным в пунктах 3, 3.1 и 3.2 статьи 242.1 Бюджетного кодекса.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за указанный период ТОФК было принято </w:t>
      </w:r>
      <w:r>
        <w:rPr>
          <w:rFonts w:ascii="Times New Roman" w:eastAsia="Times New Roman" w:hAnsi="Times New Roman"/>
          <w:color w:val="000000" w:themeColor="text1"/>
          <w:sz w:val="28"/>
          <w:szCs w:val="28"/>
          <w:lang w:eastAsia="ru-RU"/>
        </w:rPr>
        <w:br/>
        <w:t xml:space="preserve">к исполнению 40 804 исполнительных документа с общей суммой указанных в них денежных средств, равной 11 222 827 тыс. рублей. </w:t>
      </w:r>
      <w:r>
        <w:rPr>
          <w:rFonts w:ascii="Times New Roman" w:eastAsia="Times New Roman" w:hAnsi="Times New Roman"/>
          <w:color w:val="000000" w:themeColor="text1"/>
          <w:sz w:val="28"/>
          <w:szCs w:val="28"/>
          <w:lang w:eastAsia="ru-RU"/>
        </w:rPr>
        <w:br/>
        <w:t>С учетом остатка на исполнении находились 44 924 исполнительных документа на сумму 16 713 569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За указанный период федеральными казенными учреждениями исполнено 42 698 исполнительных документов с общей суммой указанных </w:t>
      </w:r>
      <w:r>
        <w:rPr>
          <w:rFonts w:ascii="Times New Roman" w:eastAsia="Times New Roman" w:hAnsi="Times New Roman"/>
          <w:color w:val="000000" w:themeColor="text1"/>
          <w:sz w:val="28"/>
          <w:szCs w:val="28"/>
          <w:lang w:eastAsia="ru-RU"/>
        </w:rPr>
        <w:br/>
        <w:t>в них денежных средств равной 12 033 790 тыс. рублей (95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неисполнением требований исполнительных документов направлены 1 758 уведомлений о приостановлении операций </w:t>
      </w:r>
      <w:r>
        <w:rPr>
          <w:rFonts w:ascii="Times New Roman" w:eastAsia="Times New Roman" w:hAnsi="Times New Roman"/>
          <w:color w:val="000000" w:themeColor="text1"/>
          <w:sz w:val="28"/>
          <w:szCs w:val="28"/>
          <w:lang w:eastAsia="ru-RU"/>
        </w:rPr>
        <w:br/>
        <w:t>по расходованию средств на лицевых счетах подведомственных федеральным казенным учреждениям учреждениях.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Визуальное отображение процесса исполнения представлено </w:t>
      </w:r>
      <w:r>
        <w:rPr>
          <w:rFonts w:ascii="Times New Roman" w:eastAsia="Times New Roman" w:hAnsi="Times New Roman"/>
          <w:color w:val="000000" w:themeColor="text1"/>
          <w:sz w:val="28"/>
          <w:szCs w:val="28"/>
          <w:lang w:eastAsia="ru-RU"/>
        </w:rPr>
        <w:br/>
        <w:t>на диаграммах 30 и 31.</w:t>
      </w:r>
    </w:p>
    <w:p>
      <w:pPr>
        <w:spacing w:before="120" w:after="120" w:line="240" w:lineRule="auto"/>
        <w:ind w:firstLine="7088"/>
        <w:jc w:val="center"/>
        <w:rPr>
          <w:rFonts w:ascii="Times New Roman" w:hAnsi="Times New Roman"/>
          <w:color w:val="000000" w:themeColor="text1"/>
          <w:sz w:val="28"/>
          <w:szCs w:val="28"/>
        </w:rPr>
      </w:pPr>
      <w:r>
        <w:rPr>
          <w:rFonts w:ascii="Times New Roman" w:hAnsi="Times New Roman"/>
          <w:color w:val="000000" w:themeColor="text1"/>
          <w:sz w:val="28"/>
          <w:szCs w:val="28"/>
        </w:rPr>
        <w:t>Диаграмма 30</w:t>
      </w:r>
    </w:p>
    <w:p>
      <w:pPr>
        <w:spacing w:before="240" w:after="120" w:line="240" w:lineRule="auto"/>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303520" cy="4269851"/>
            <wp:effectExtent l="0" t="0" r="11430" b="1651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pPr>
        <w:pageBreakBefore/>
        <w:spacing w:after="120" w:line="240" w:lineRule="auto"/>
        <w:ind w:firstLine="7088"/>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31</w:t>
      </w:r>
    </w:p>
    <w:p>
      <w:pPr>
        <w:jc w:val="center"/>
        <w:rPr>
          <w:rFonts w:ascii="Times New Roman" w:hAnsi="Times New Roman"/>
          <w:b/>
          <w:color w:val="000000" w:themeColor="text1"/>
          <w:sz w:val="28"/>
          <w:szCs w:val="28"/>
        </w:rPr>
      </w:pPr>
      <w:r>
        <w:rPr>
          <w:rFonts w:ascii="Times New Roman" w:hAnsi="Times New Roman"/>
          <w:noProof/>
          <w:color w:val="000000" w:themeColor="text1"/>
          <w:lang w:eastAsia="ru-RU"/>
        </w:rPr>
        <w:drawing>
          <wp:inline distT="0" distB="0" distL="0" distR="0">
            <wp:extent cx="5359179" cy="3204376"/>
            <wp:effectExtent l="0" t="0" r="13335" b="15240"/>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1.6.2. Сводные данные о предъявленных в органы Федерального казначейства исполнительных документах по денежным обязательствам казенных учреждений субъекта Российский Федерации и муниципальных казенных учреждений, предусматривающих единовременные выплаты на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На 1 января 2017 года в ТОФК поступили 66 464 исполнительных документа на сумму 10 650 229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Из них 11 352 исполнительных документа на сумму </w:t>
      </w:r>
      <w:r>
        <w:rPr>
          <w:rFonts w:ascii="Times New Roman" w:eastAsia="Times New Roman" w:hAnsi="Times New Roman"/>
          <w:color w:val="000000" w:themeColor="text1"/>
          <w:sz w:val="28"/>
          <w:szCs w:val="28"/>
          <w:lang w:eastAsia="ru-RU"/>
        </w:rPr>
        <w:br/>
        <w:t xml:space="preserve">4 441 367 тыс. рублей были возвращены без исполнения взыскателям </w:t>
      </w:r>
      <w:r>
        <w:rPr>
          <w:rFonts w:ascii="Times New Roman" w:eastAsia="Times New Roman" w:hAnsi="Times New Roman"/>
          <w:color w:val="000000" w:themeColor="text1"/>
          <w:sz w:val="28"/>
          <w:szCs w:val="28"/>
          <w:lang w:eastAsia="ru-RU"/>
        </w:rPr>
        <w:br/>
        <w:t>или в суды по основаниям, указанным в пунктах 3, 3.1 и 3.2 статьи 242.1 Бюджетного кодекса.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в указанном периоде ТОФК были приняты </w:t>
      </w:r>
      <w:r>
        <w:rPr>
          <w:rFonts w:ascii="Times New Roman" w:eastAsia="Times New Roman" w:hAnsi="Times New Roman"/>
          <w:color w:val="000000" w:themeColor="text1"/>
          <w:sz w:val="28"/>
          <w:szCs w:val="28"/>
          <w:lang w:eastAsia="ru-RU"/>
        </w:rPr>
        <w:br/>
        <w:t>к исполнению 55 112 исполнительных документов с общей суммой указанных в них денежных средств равной 6 208 862 тыс. рублей.</w:t>
      </w:r>
      <w:r>
        <w:rPr>
          <w:rFonts w:ascii="Times New Roman" w:eastAsia="Times New Roman" w:hAnsi="Times New Roman"/>
          <w:color w:val="000000" w:themeColor="text1"/>
          <w:sz w:val="28"/>
          <w:szCs w:val="28"/>
          <w:lang w:eastAsia="ru-RU"/>
        </w:rPr>
        <w:br/>
        <w:t>С учетом остатка на исполнении находились 67 929 исполнительных документов на сумму 10 242 130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1 января 2017 года казенными учреждениями субъекта Российской Федерации и муниципальными казенными учреждениями были исполнены 61 332 исполнительных документа с общей суммой указанных </w:t>
      </w:r>
      <w:r>
        <w:rPr>
          <w:rFonts w:ascii="Times New Roman" w:eastAsia="Times New Roman" w:hAnsi="Times New Roman"/>
          <w:color w:val="000000" w:themeColor="text1"/>
          <w:sz w:val="28"/>
          <w:szCs w:val="28"/>
          <w:lang w:eastAsia="ru-RU"/>
        </w:rPr>
        <w:br/>
        <w:t>в них денежных средств равной 7 076 998 тыс. рублей (90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В связи с неисполнением требований исполнительных документов направлено 11 281 уведомление о приостановлении операций </w:t>
      </w:r>
      <w:r>
        <w:rPr>
          <w:rFonts w:ascii="Times New Roman" w:eastAsia="Times New Roman" w:hAnsi="Times New Roman"/>
          <w:color w:val="000000" w:themeColor="text1"/>
          <w:sz w:val="28"/>
          <w:szCs w:val="28"/>
          <w:lang w:eastAsia="ru-RU"/>
        </w:rPr>
        <w:br/>
        <w:t xml:space="preserve">по расходованию средств на лицевых счетах казенных учреждений. </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Визуальное отображение процесса исполнения представлено </w:t>
      </w:r>
      <w:r>
        <w:rPr>
          <w:rFonts w:ascii="Times New Roman" w:eastAsia="Times New Roman" w:hAnsi="Times New Roman"/>
          <w:color w:val="000000" w:themeColor="text1"/>
          <w:sz w:val="28"/>
          <w:szCs w:val="28"/>
          <w:lang w:eastAsia="ru-RU"/>
        </w:rPr>
        <w:br/>
        <w:t>на диаграммах 32 и 33.</w:t>
      </w:r>
    </w:p>
    <w:p>
      <w:pPr>
        <w:spacing w:after="120" w:line="240" w:lineRule="auto"/>
        <w:ind w:firstLine="7088"/>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32</w:t>
      </w:r>
    </w:p>
    <w:p>
      <w:pPr>
        <w:spacing w:after="0" w:line="240" w:lineRule="auto"/>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88549" cy="3013544"/>
            <wp:effectExtent l="0" t="0" r="22225" b="1587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pPr>
        <w:spacing w:before="120" w:after="120" w:line="240" w:lineRule="auto"/>
        <w:ind w:firstLine="7088"/>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33</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645427" cy="3848431"/>
            <wp:effectExtent l="0" t="0" r="1270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1.6.3. Сводные данные о предъявленных в органы Федерального казначейства исполнительных документах по денежным обязательствам федеральных бюджетных учреждений, бюджетных учреждений субъектов Российской Федерации и муниципальных бюджетных учреждений, предусматривающих единовременные выплаты на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На 1 января 2017 года в ТОФК предъявлены 134 908 исполнительных документов на сумму 18 142 783 тыс. рублей по денежным обязательствам вышеуказанных учреждений.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Из них возвращены 17 363 исполнительных документа на сумму </w:t>
      </w:r>
      <w:r>
        <w:rPr>
          <w:rFonts w:ascii="Times New Roman" w:eastAsia="Times New Roman" w:hAnsi="Times New Roman"/>
          <w:color w:val="000000" w:themeColor="text1"/>
          <w:sz w:val="28"/>
          <w:szCs w:val="28"/>
          <w:lang w:eastAsia="ru-RU"/>
        </w:rPr>
        <w:br/>
        <w:t>4 069 490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указанный период ТОФК были приняты к исполнению 117 545 исполнительных документов с общей суммой указанных в них денежных средств равной 14 073 293 тыс. рублей. С учетом остатка на исполнении находились 135 173 исполнительных документа на сумму 17 819 272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Исполнены 116 141 исполнительный документ с общей суммой указанных в них денежных средств равной 11 351 547 тыс. рублей (86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неисполнением требований исполнительных документов направлены 26 306 уведомлений о приостановлении операций </w:t>
      </w:r>
      <w:r>
        <w:rPr>
          <w:rFonts w:ascii="Times New Roman" w:eastAsia="Times New Roman" w:hAnsi="Times New Roman"/>
          <w:color w:val="000000" w:themeColor="text1"/>
          <w:sz w:val="28"/>
          <w:szCs w:val="28"/>
          <w:lang w:eastAsia="ru-RU"/>
        </w:rPr>
        <w:br/>
        <w:t xml:space="preserve">по расходованию средств на лицевых счетах бюджетных учреждений. </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Визуальное отображение процесса исполнения представлено </w:t>
      </w:r>
      <w:r>
        <w:rPr>
          <w:rFonts w:ascii="Times New Roman" w:eastAsia="Times New Roman" w:hAnsi="Times New Roman"/>
          <w:color w:val="000000" w:themeColor="text1"/>
          <w:sz w:val="28"/>
          <w:szCs w:val="28"/>
          <w:lang w:eastAsia="ru-RU"/>
        </w:rPr>
        <w:br/>
        <w:t>на диаграммах 34 и 35.</w:t>
      </w:r>
    </w:p>
    <w:p>
      <w:pPr>
        <w:spacing w:before="120" w:after="120" w:line="240" w:lineRule="auto"/>
        <w:ind w:firstLine="7088"/>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34</w:t>
      </w:r>
    </w:p>
    <w:p>
      <w:pPr>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470497" cy="2934032"/>
            <wp:effectExtent l="0" t="0" r="16510" b="1905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pPr>
        <w:spacing w:before="120" w:after="120" w:line="240" w:lineRule="auto"/>
        <w:ind w:firstLine="7088"/>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35</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168348" cy="2798859"/>
            <wp:effectExtent l="0" t="0" r="13335" b="20955"/>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pPr>
        <w:spacing w:after="0" w:line="360" w:lineRule="atLeast"/>
        <w:ind w:firstLine="709"/>
        <w:jc w:val="right"/>
        <w:rPr>
          <w:rFonts w:ascii="Times New Roman" w:hAnsi="Times New Roman"/>
          <w:color w:val="000000" w:themeColor="text1"/>
          <w:sz w:val="28"/>
          <w:szCs w:val="28"/>
        </w:rPr>
      </w:pP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1.6.4. Главные распорядители средств федерального бюджета, формирующие основные показатели отчетности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1 января 2017 года выделяются 10 ГРБС, формирующих наибольшие числовые показатели как по количеству предъявленных </w:t>
      </w:r>
      <w:r>
        <w:rPr>
          <w:rFonts w:ascii="Times New Roman" w:eastAsia="Times New Roman" w:hAnsi="Times New Roman"/>
          <w:color w:val="000000" w:themeColor="text1"/>
          <w:sz w:val="28"/>
          <w:szCs w:val="28"/>
          <w:lang w:eastAsia="ru-RU"/>
        </w:rPr>
        <w:br/>
        <w:t xml:space="preserve">в ТОФК исполнительных документов, так и по сумме указанных </w:t>
      </w:r>
      <w:r>
        <w:rPr>
          <w:rFonts w:ascii="Times New Roman" w:eastAsia="Times New Roman" w:hAnsi="Times New Roman"/>
          <w:color w:val="000000" w:themeColor="text1"/>
          <w:sz w:val="28"/>
          <w:szCs w:val="28"/>
          <w:lang w:eastAsia="ru-RU"/>
        </w:rPr>
        <w:br/>
        <w:t>в них денежных средств:</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ФТС России – 11 988 исполнительных документов на сумму </w:t>
      </w:r>
      <w:r>
        <w:rPr>
          <w:rFonts w:ascii="Times New Roman" w:eastAsia="Times New Roman" w:hAnsi="Times New Roman"/>
          <w:color w:val="000000" w:themeColor="text1"/>
          <w:sz w:val="28"/>
          <w:szCs w:val="28"/>
          <w:lang w:eastAsia="ru-RU"/>
        </w:rPr>
        <w:br/>
        <w:t>1 432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Минобороны России – 8 243 исполнительных документа на сумму 5 303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ФНС России – 6 607 исполнительных документов на сумму </w:t>
      </w:r>
      <w:r>
        <w:rPr>
          <w:rFonts w:ascii="Times New Roman" w:eastAsia="Times New Roman" w:hAnsi="Times New Roman"/>
          <w:color w:val="000000" w:themeColor="text1"/>
          <w:sz w:val="28"/>
          <w:szCs w:val="28"/>
          <w:lang w:eastAsia="ru-RU"/>
        </w:rPr>
        <w:br/>
        <w:t>1 560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МВД России – 4 495 исполнительных документов на сумму 1 936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МЧС России – 4 398 исполнительных документов на сумму 878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ФСИН России – 3 865 исполнительных документов на сумму 704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ФССП России – 2 512 исполнительных документов на сумму 124 млн рублей;</w:t>
      </w:r>
    </w:p>
    <w:p>
      <w:pPr>
        <w:spacing w:after="0" w:line="360" w:lineRule="atLeast"/>
        <w:ind w:firstLine="5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Росимущество – 1 119 исполнительных документов на сумму 838 млн рублей;</w:t>
      </w:r>
    </w:p>
    <w:p>
      <w:pPr>
        <w:spacing w:after="0" w:line="360" w:lineRule="atLeast"/>
        <w:ind w:firstLine="54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Росреестр – 1 155 исполнительных документов на сумму 27 млн рублей;</w:t>
      </w:r>
    </w:p>
    <w:p>
      <w:pPr>
        <w:spacing w:after="0" w:line="360" w:lineRule="atLeast"/>
        <w:ind w:firstLine="54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ФАС России – 1 031 исполнительный документ на сумму 20 млн рублей.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Количество и сумма по предъявленным в ТОФК исполнительным документам к другим ГРБС составило 4 334 исполнительных документа </w:t>
      </w:r>
      <w:r>
        <w:rPr>
          <w:rFonts w:ascii="Times New Roman" w:eastAsia="Times New Roman" w:hAnsi="Times New Roman"/>
          <w:color w:val="000000" w:themeColor="text1"/>
          <w:sz w:val="28"/>
          <w:szCs w:val="28"/>
          <w:lang w:eastAsia="ru-RU"/>
        </w:rPr>
        <w:br/>
        <w:t>на сумму 4 808 млн рублей.</w:t>
      </w:r>
    </w:p>
    <w:p>
      <w:pPr>
        <w:spacing w:before="120" w:after="120" w:line="240" w:lineRule="auto"/>
        <w:ind w:firstLine="6946"/>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36</w:t>
      </w:r>
    </w:p>
    <w:p>
      <w:pPr>
        <w:jc w:val="center"/>
        <w:rPr>
          <w:rFonts w:ascii="Times New Roman" w:hAnsi="Times New Roman"/>
          <w:b/>
          <w:color w:val="000000" w:themeColor="text1"/>
          <w:sz w:val="28"/>
          <w:szCs w:val="28"/>
        </w:rPr>
      </w:pPr>
      <w:r>
        <w:rPr>
          <w:rFonts w:ascii="Times New Roman" w:hAnsi="Times New Roman"/>
          <w:b/>
          <w:color w:val="000000" w:themeColor="text1"/>
          <w:sz w:val="28"/>
          <w:szCs w:val="28"/>
        </w:rPr>
        <w:t>Сравнение количественного показателя процесса исполнения (шт.)</w:t>
      </w:r>
    </w:p>
    <w:p>
      <w:pPr>
        <w:spacing w:before="120" w:after="120" w:line="240" w:lineRule="auto"/>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168348" cy="2798859"/>
            <wp:effectExtent l="0" t="0" r="0" b="1905"/>
            <wp:docPr id="125" name="Диаграмма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pPr>
        <w:spacing w:before="120"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37</w:t>
      </w:r>
    </w:p>
    <w:p>
      <w:pPr>
        <w:jc w:val="center"/>
        <w:rPr>
          <w:rFonts w:ascii="Times New Roman" w:hAnsi="Times New Roman"/>
          <w:b/>
          <w:color w:val="000000" w:themeColor="text1"/>
          <w:sz w:val="28"/>
          <w:szCs w:val="28"/>
        </w:rPr>
      </w:pPr>
      <w:r>
        <w:rPr>
          <w:rFonts w:ascii="Times New Roman" w:hAnsi="Times New Roman"/>
          <w:b/>
          <w:color w:val="000000" w:themeColor="text1"/>
          <w:sz w:val="28"/>
          <w:szCs w:val="28"/>
        </w:rPr>
        <w:t>Сравнение суммарного показателя процесса исполнения (млн рублей)</w:t>
      </w:r>
    </w:p>
    <w:p>
      <w:pPr>
        <w:spacing w:before="120" w:after="120" w:line="240" w:lineRule="auto"/>
        <w:jc w:val="center"/>
        <w:rPr>
          <w:rFonts w:ascii="Times New Roman" w:hAnsi="Times New Roman"/>
          <w:b/>
          <w:color w:val="000000" w:themeColor="text1"/>
          <w:sz w:val="28"/>
          <w:szCs w:val="28"/>
        </w:rPr>
      </w:pPr>
      <w:r>
        <w:rPr>
          <w:rFonts w:ascii="Times New Roman" w:hAnsi="Times New Roman"/>
          <w:noProof/>
          <w:color w:val="000000" w:themeColor="text1"/>
          <w:lang w:eastAsia="ru-RU"/>
        </w:rPr>
        <w:drawing>
          <wp:inline distT="0" distB="0" distL="0" distR="0">
            <wp:extent cx="4786686" cy="3180522"/>
            <wp:effectExtent l="0" t="0" r="0" b="1270"/>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1.6.5. Сводные данные о предъявленных в органы Федерального казначейства решениях налоговых органов по денежным обязательствам федеральных казенных учреждений, казенных учреждений субъекта Российский Федерации и муниципальных казенных учреждений на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На 1 января 2017 года в ТОФК поступили 51 259 решений налоговых органов (далее – РНО) на сумму 1 092 517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Из них 2 790 РНО на сумму 89 894 тыс. рублей были возвращены </w:t>
      </w:r>
      <w:r>
        <w:rPr>
          <w:rFonts w:ascii="Times New Roman" w:eastAsia="Times New Roman" w:hAnsi="Times New Roman"/>
          <w:color w:val="000000" w:themeColor="text1"/>
          <w:sz w:val="28"/>
          <w:szCs w:val="28"/>
          <w:lang w:eastAsia="ru-RU"/>
        </w:rPr>
        <w:br/>
        <w:t>без исполнения.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в указанном периоде 2016 года ТОФК было принято </w:t>
      </w:r>
      <w:r>
        <w:rPr>
          <w:rFonts w:ascii="Times New Roman" w:eastAsia="Times New Roman" w:hAnsi="Times New Roman"/>
          <w:color w:val="000000" w:themeColor="text1"/>
          <w:sz w:val="28"/>
          <w:szCs w:val="28"/>
          <w:lang w:eastAsia="ru-RU"/>
        </w:rPr>
        <w:br/>
        <w:t>к исполнению 48 469 РНО с общей суммой указанных в них денежных средств равной 1 002 623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За данный период федеральными казенными учреждениями, казенными учреждениями субъекта Российской Федерации </w:t>
      </w:r>
      <w:r>
        <w:rPr>
          <w:rFonts w:ascii="Times New Roman" w:eastAsia="Times New Roman" w:hAnsi="Times New Roman"/>
          <w:color w:val="000000" w:themeColor="text1"/>
          <w:sz w:val="28"/>
          <w:szCs w:val="28"/>
          <w:lang w:eastAsia="ru-RU"/>
        </w:rPr>
        <w:br/>
        <w:t xml:space="preserve">и муниципальными казенными учреждениями были исполнены 40 004 РНО с общей суммой указанных в них денежных средств равной </w:t>
      </w:r>
      <w:r>
        <w:rPr>
          <w:rFonts w:ascii="Times New Roman" w:eastAsia="Times New Roman" w:hAnsi="Times New Roman"/>
          <w:color w:val="000000" w:themeColor="text1"/>
          <w:sz w:val="28"/>
          <w:szCs w:val="28"/>
          <w:lang w:eastAsia="ru-RU"/>
        </w:rPr>
        <w:br/>
        <w:t>708 795 тыс. рублей (83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неисполнением требований РНО направлены 7 196 уведомлений о приостановлении операций по расходованию средств </w:t>
      </w:r>
      <w:r>
        <w:rPr>
          <w:rFonts w:ascii="Times New Roman" w:eastAsia="Times New Roman" w:hAnsi="Times New Roman"/>
          <w:color w:val="000000" w:themeColor="text1"/>
          <w:sz w:val="28"/>
          <w:szCs w:val="28"/>
          <w:lang w:eastAsia="ru-RU"/>
        </w:rPr>
        <w:br/>
        <w:t>на лицевых счетах казенных учреждений.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Визуальное отображение процесса исполнения представлено </w:t>
      </w:r>
      <w:r>
        <w:rPr>
          <w:rFonts w:ascii="Times New Roman" w:eastAsia="Times New Roman" w:hAnsi="Times New Roman"/>
          <w:color w:val="000000" w:themeColor="text1"/>
          <w:sz w:val="28"/>
          <w:szCs w:val="28"/>
          <w:lang w:eastAsia="ru-RU"/>
        </w:rPr>
        <w:br/>
        <w:t>на диаграммах 38 и 39.</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38</w:t>
      </w:r>
    </w:p>
    <w:p>
      <w:pPr>
        <w:jc w:val="center"/>
        <w:rPr>
          <w:rFonts w:ascii="Times New Roman" w:hAnsi="Times New Roman"/>
          <w:b/>
          <w:color w:val="000000" w:themeColor="text1"/>
          <w:sz w:val="28"/>
          <w:szCs w:val="28"/>
        </w:rPr>
      </w:pPr>
      <w:r>
        <w:rPr>
          <w:rFonts w:ascii="Times New Roman" w:hAnsi="Times New Roman"/>
          <w:noProof/>
          <w:color w:val="000000" w:themeColor="text1"/>
          <w:lang w:eastAsia="ru-RU"/>
        </w:rPr>
        <w:drawing>
          <wp:inline distT="0" distB="0" distL="0" distR="0">
            <wp:extent cx="5724939" cy="2782956"/>
            <wp:effectExtent l="0" t="0" r="9525" b="1778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39</w:t>
      </w:r>
    </w:p>
    <w:p>
      <w:pPr>
        <w:jc w:val="center"/>
        <w:rPr>
          <w:rFonts w:ascii="Times New Roman" w:hAnsi="Times New Roman"/>
          <w:b/>
          <w:color w:val="000000" w:themeColor="text1"/>
          <w:sz w:val="28"/>
          <w:szCs w:val="28"/>
        </w:rPr>
      </w:pPr>
      <w:r>
        <w:rPr>
          <w:rFonts w:ascii="Times New Roman" w:hAnsi="Times New Roman"/>
          <w:noProof/>
          <w:color w:val="000000" w:themeColor="text1"/>
          <w:lang w:eastAsia="ru-RU"/>
        </w:rPr>
        <w:drawing>
          <wp:inline distT="0" distB="0" distL="0" distR="0">
            <wp:extent cx="5748793" cy="2806811"/>
            <wp:effectExtent l="0" t="0" r="23495" b="1270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pPr>
        <w:spacing w:before="120" w:after="120" w:line="240" w:lineRule="auto"/>
        <w:ind w:firstLine="539"/>
        <w:jc w:val="both"/>
        <w:rPr>
          <w:rFonts w:ascii="Times New Roman" w:hAnsi="Times New Roman"/>
          <w:b/>
          <w:color w:val="000000" w:themeColor="text1"/>
          <w:sz w:val="28"/>
          <w:szCs w:val="28"/>
        </w:rPr>
      </w:pPr>
      <w:r>
        <w:rPr>
          <w:rFonts w:ascii="Times New Roman" w:hAnsi="Times New Roman"/>
          <w:b/>
          <w:color w:val="000000" w:themeColor="text1"/>
          <w:sz w:val="28"/>
          <w:szCs w:val="28"/>
        </w:rPr>
        <w:t>1.6.6. Сводные данные о предъявленных в органы Федерального казначейства решениях налоговых органов по денежным обязательствам федеральных бюджетных учреждений, бюджетных учреждений субъектов Российской Федерации и муниципальных бюджетных учреждений на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На 1 января 2017 года ТОФК предъявлены 52 571 РНО на сумму 2 166 723 тыс. рублей по денежным обязательствам вышеуказанных учреждений.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Из них возвращено 2 438 РНО на сумму 143 410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указанный период ТОФК были приняты к исполнению 50 133 РНО с общей суммой указанных в них денежных средств равной 2 023 313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Исполнены 43 534 РНО с общей суммой указанных в них денежных средств равной 1 520 134 тыс. рублей (87 процентов).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неисполнением требований РНО направлены 8 661 уведомление о приостановлении операций по расходованию средств </w:t>
      </w:r>
      <w:r>
        <w:rPr>
          <w:rFonts w:ascii="Times New Roman" w:eastAsia="Times New Roman" w:hAnsi="Times New Roman"/>
          <w:color w:val="000000" w:themeColor="text1"/>
          <w:sz w:val="28"/>
          <w:szCs w:val="28"/>
          <w:lang w:eastAsia="ru-RU"/>
        </w:rPr>
        <w:br/>
        <w:t xml:space="preserve">на лицевых счетах бюджетных учреждений. </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Визуальное отображение процесса исполнения представлено </w:t>
      </w:r>
      <w:r>
        <w:rPr>
          <w:rFonts w:ascii="Times New Roman" w:eastAsia="Times New Roman" w:hAnsi="Times New Roman"/>
          <w:color w:val="000000" w:themeColor="text1"/>
          <w:sz w:val="28"/>
          <w:szCs w:val="28"/>
          <w:lang w:eastAsia="ru-RU"/>
        </w:rPr>
        <w:br/>
        <w:t>на диаграммах 40 и 41.</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40</w:t>
      </w:r>
    </w:p>
    <w:p>
      <w:pPr>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581815" cy="2536466"/>
            <wp:effectExtent l="0" t="0" r="19050" b="1651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41</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573865" cy="2639833"/>
            <wp:effectExtent l="0" t="0" r="27305" b="27305"/>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1.6.7. Обеспечение организации исполнения судебных актов, решений налоговых органов и обеспечение опытного внедрения организации исполнения электронного исполнительного документа </w:t>
      </w:r>
      <w:r>
        <w:rPr>
          <w:rFonts w:ascii="Times New Roman" w:hAnsi="Times New Roman"/>
          <w:b/>
          <w:color w:val="000000" w:themeColor="text1"/>
          <w:sz w:val="28"/>
          <w:szCs w:val="28"/>
        </w:rPr>
        <w:br/>
        <w:t>по форматам, утвержденным постановлением Правительства Российской Федерации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2016 году в рамках исполнения Государственного контракта</w:t>
      </w:r>
      <w:r>
        <w:rPr>
          <w:rFonts w:ascii="Times New Roman" w:eastAsiaTheme="minorHAnsi" w:hAnsi="Times New Roman"/>
          <w:color w:val="000000" w:themeColor="text1"/>
          <w:sz w:val="28"/>
          <w:szCs w:val="28"/>
        </w:rPr>
        <w:br/>
        <w:t>от 10 февраля 2016 г. № УФТ-11/2016 на выполнение работ (оказание услуг) по развитию и эксплуатации прикладного программного обеспечения «Автоматизированная система Федерального казначейства» в прикладном программном обеспечении Автоматизированной системе Федерального казначейства (далее – ППО «АСФК») обеспечена возможность исполнения электронного исполнительного документа по форматам, утвержденным</w:t>
      </w:r>
      <w:r>
        <w:rPr>
          <w:rFonts w:ascii="Times New Roman" w:eastAsia="Times New Roman" w:hAnsi="Times New Roman"/>
          <w:color w:val="000000" w:themeColor="text1"/>
          <w:sz w:val="28"/>
          <w:szCs w:val="28"/>
        </w:rPr>
        <w:t xml:space="preserve"> </w:t>
      </w:r>
      <w:r>
        <w:rPr>
          <w:rFonts w:ascii="Times New Roman" w:eastAsia="Times New Roman" w:hAnsi="Times New Roman"/>
          <w:color w:val="000000" w:themeColor="text1"/>
          <w:sz w:val="28"/>
          <w:szCs w:val="28"/>
        </w:rPr>
        <w:lastRenderedPageBreak/>
        <w:t>постановлением Правительства Российской Федерации от 10 января 2015 г. № 1121 «Об утверждении требований к форматам исполнительных документов, вынесенных и (или) направленных для исполнения в форме электронного документа»</w:t>
      </w:r>
      <w:r>
        <w:rPr>
          <w:rFonts w:ascii="Times New Roman" w:eastAsiaTheme="minorHAnsi" w:hAnsi="Times New Roman"/>
          <w:color w:val="000000" w:themeColor="text1"/>
          <w:sz w:val="28"/>
          <w:szCs w:val="28"/>
        </w:rPr>
        <w:t xml:space="preserve"> (далее – Постановление № 1121), полученного </w:t>
      </w:r>
      <w:r>
        <w:rPr>
          <w:rFonts w:ascii="Times New Roman" w:eastAsiaTheme="minorHAnsi" w:hAnsi="Times New Roman"/>
          <w:color w:val="000000" w:themeColor="text1"/>
          <w:sz w:val="28"/>
          <w:szCs w:val="28"/>
        </w:rPr>
        <w:br/>
        <w:t>от органов судебной системы</w:t>
      </w:r>
      <w:r>
        <w:rPr>
          <w:rFonts w:ascii="Times New Roman" w:eastAsia="Times New Roman" w:hAnsi="Times New Roman"/>
          <w:color w:val="000000" w:themeColor="text1"/>
          <w:sz w:val="28"/>
          <w:szCs w:val="28"/>
        </w:rPr>
        <w:t>.</w:t>
      </w:r>
    </w:p>
    <w:p>
      <w:pPr>
        <w:spacing w:after="0" w:line="360" w:lineRule="atLeast"/>
        <w:ind w:firstLine="709"/>
        <w:jc w:val="both"/>
        <w:rPr>
          <w:rFonts w:ascii="Times New Roman" w:eastAsia="Times New Roman" w:hAnsi="Times New Roman"/>
          <w:i/>
          <w:color w:val="000000" w:themeColor="text1"/>
          <w:sz w:val="24"/>
          <w:szCs w:val="24"/>
        </w:rPr>
      </w:pPr>
      <w:r>
        <w:rPr>
          <w:rFonts w:ascii="Times New Roman" w:eastAsia="Times New Roman" w:hAnsi="Times New Roman"/>
          <w:color w:val="000000" w:themeColor="text1"/>
          <w:sz w:val="28"/>
          <w:szCs w:val="28"/>
        </w:rPr>
        <w:t>На базе Управления Федерального казначейства УФК по г. Москве, УФК по Кировской области и УФК по Ставропольскому краю осуществлены испытания по импорту, учету и хранению электронных исполнительных документов, формат которых соответствует требованиям Постановления № 1121. По результатам испытаний выявлен список нормативных актов, нуждающихся в изменении, подготовлены предложения по изменению законодательной базы исполнения судебных актов, зарегистрированы дальнейшие доработки ППО «АСФК».</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rPr>
        <w:t xml:space="preserve">Разработан инструмент, позволяющий </w:t>
      </w:r>
      <w:r>
        <w:rPr>
          <w:rFonts w:ascii="Times New Roman" w:eastAsia="Times New Roman" w:hAnsi="Times New Roman"/>
          <w:color w:val="000000" w:themeColor="text1"/>
          <w:sz w:val="28"/>
          <w:szCs w:val="28"/>
          <w:lang w:eastAsia="ru-RU"/>
        </w:rPr>
        <w:t xml:space="preserve">осуществлять в </w:t>
      </w:r>
      <w:r>
        <w:rPr>
          <w:rFonts w:ascii="Times New Roman" w:eastAsia="Times New Roman" w:hAnsi="Times New Roman"/>
          <w:color w:val="000000" w:themeColor="text1"/>
          <w:sz w:val="28"/>
          <w:szCs w:val="28"/>
        </w:rPr>
        <w:t xml:space="preserve">ППО «АСФК» </w:t>
      </w:r>
      <w:r>
        <w:rPr>
          <w:rFonts w:ascii="Times New Roman" w:eastAsia="Times New Roman" w:hAnsi="Times New Roman"/>
          <w:color w:val="000000" w:themeColor="text1"/>
          <w:sz w:val="28"/>
          <w:szCs w:val="28"/>
          <w:lang w:eastAsia="ru-RU"/>
        </w:rPr>
        <w:t xml:space="preserve">юридическую правовую экспертизу </w:t>
      </w:r>
      <w:r>
        <w:rPr>
          <w:rFonts w:ascii="Times New Roman" w:eastAsiaTheme="minorHAnsi" w:hAnsi="Times New Roman"/>
          <w:color w:val="000000" w:themeColor="text1"/>
          <w:sz w:val="28"/>
          <w:szCs w:val="28"/>
        </w:rPr>
        <w:t xml:space="preserve">судебных актов, решений налоговых органов в электронном виде без использования бумажного документооборота, что существенно снизило трудоемкость указанной операций и время ее выполнения, обеспечило удобное хранение информации по правовым экспертизам, а также быстрый поиск </w:t>
      </w:r>
      <w:r>
        <w:rPr>
          <w:rFonts w:ascii="Times New Roman" w:eastAsiaTheme="minorHAnsi" w:hAnsi="Times New Roman"/>
          <w:color w:val="000000" w:themeColor="text1"/>
          <w:sz w:val="28"/>
          <w:szCs w:val="28"/>
        </w:rPr>
        <w:br/>
        <w:t>и обеспечение расширение доступности к документам.</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 Исполнение учетных функций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2.1. Обеспечение прозрачности и доступности информации </w:t>
      </w:r>
      <w:r>
        <w:rPr>
          <w:rFonts w:ascii="Times New Roman" w:hAnsi="Times New Roman"/>
          <w:b/>
          <w:color w:val="000000" w:themeColor="text1"/>
          <w:sz w:val="28"/>
          <w:szCs w:val="28"/>
        </w:rPr>
        <w:br/>
        <w:t>о государственном секторе и общественных финансах</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2.1.1. Формирование и представление ежемесячной отчетности </w:t>
      </w:r>
      <w:r>
        <w:rPr>
          <w:rFonts w:ascii="Times New Roman" w:hAnsi="Times New Roman"/>
          <w:b/>
          <w:color w:val="000000" w:themeColor="text1"/>
          <w:sz w:val="28"/>
          <w:szCs w:val="28"/>
        </w:rPr>
        <w:br/>
        <w:t xml:space="preserve">по кассовому обслуживанию исполнения бюджетов бюджетной системы Российской Федерации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со статьями 166.1 и 241.1 Бюджетного кодекса </w:t>
      </w:r>
      <w:r>
        <w:rPr>
          <w:rFonts w:ascii="Times New Roman" w:hAnsi="Times New Roman"/>
          <w:color w:val="000000" w:themeColor="text1"/>
          <w:sz w:val="28"/>
          <w:szCs w:val="28"/>
        </w:rPr>
        <w:br/>
        <w:t>и Инструкцией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 декабря 2010 г. № 191н (далее – Инструкция № 191н), представлялись ежемесячно:</w:t>
      </w:r>
    </w:p>
    <w:p>
      <w:pPr>
        <w:tabs>
          <w:tab w:val="left" w:pos="113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Федеральным казначейством в Министерство финансов Российской Федерации – Консолидированный отчет о кассовых поступлениях </w:t>
      </w:r>
      <w:r>
        <w:rPr>
          <w:rFonts w:ascii="Times New Roman" w:hAnsi="Times New Roman"/>
          <w:color w:val="000000" w:themeColor="text1"/>
          <w:sz w:val="28"/>
          <w:szCs w:val="28"/>
        </w:rPr>
        <w:br/>
        <w:t>и выбытиях (ф. 0503152);</w:t>
      </w:r>
    </w:p>
    <w:p>
      <w:pPr>
        <w:tabs>
          <w:tab w:val="left" w:pos="1134"/>
        </w:tabs>
        <w:spacing w:after="0" w:line="360" w:lineRule="atLeast"/>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 </w:t>
      </w:r>
      <w:r>
        <w:rPr>
          <w:rFonts w:ascii="Times New Roman" w:hAnsi="Times New Roman"/>
          <w:color w:val="000000" w:themeColor="text1"/>
          <w:sz w:val="28"/>
          <w:szCs w:val="28"/>
        </w:rPr>
        <w:t>ТОФК:</w:t>
      </w:r>
    </w:p>
    <w:p>
      <w:pPr>
        <w:tabs>
          <w:tab w:val="left" w:pos="993"/>
        </w:tabs>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финансовые органы, уполномоченные на формирование бюджетной отчетности соответствующего консолидированного бюджета бюджетной </w:t>
      </w:r>
      <w:r>
        <w:rPr>
          <w:rFonts w:ascii="Times New Roman" w:hAnsi="Times New Roman"/>
          <w:color w:val="000000" w:themeColor="text1"/>
          <w:sz w:val="28"/>
          <w:szCs w:val="28"/>
        </w:rPr>
        <w:lastRenderedPageBreak/>
        <w:t>системы Российской Федерации - Консолидированный отчет о кассовых поступлениях и выбытиях (ф. 0503152);</w:t>
      </w:r>
    </w:p>
    <w:p>
      <w:pPr>
        <w:tabs>
          <w:tab w:val="left" w:pos="993"/>
          <w:tab w:val="left" w:pos="1276"/>
        </w:tabs>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финансовые органы бюджетов, кассовое обслуживание которых </w:t>
      </w:r>
      <w:r>
        <w:rPr>
          <w:rFonts w:ascii="Times New Roman" w:hAnsi="Times New Roman"/>
          <w:color w:val="000000" w:themeColor="text1"/>
          <w:sz w:val="28"/>
          <w:szCs w:val="28"/>
        </w:rPr>
        <w:br/>
        <w:t xml:space="preserve">они осуществляют, – Баланс по операциям кассового обслуживания исполнения бюджета </w:t>
      </w:r>
      <w:hyperlink r:id="rId64" w:history="1">
        <w:r>
          <w:rPr>
            <w:rFonts w:ascii="Times New Roman" w:hAnsi="Times New Roman"/>
            <w:color w:val="000000" w:themeColor="text1"/>
            <w:sz w:val="28"/>
            <w:szCs w:val="28"/>
          </w:rPr>
          <w:t>(ф. 0503150)</w:t>
        </w:r>
      </w:hyperlink>
      <w:r>
        <w:rPr>
          <w:rFonts w:ascii="Times New Roman" w:hAnsi="Times New Roman"/>
          <w:color w:val="000000" w:themeColor="text1"/>
          <w:sz w:val="28"/>
          <w:szCs w:val="28"/>
        </w:rPr>
        <w:t xml:space="preserve">, Отчет по поступлениям и выбытиям (ф. 0503151), </w:t>
      </w:r>
      <w:r>
        <w:rPr>
          <w:rFonts w:ascii="Times New Roman" w:hAnsi="Times New Roman"/>
          <w:bCs/>
          <w:color w:val="000000" w:themeColor="text1"/>
          <w:sz w:val="28"/>
          <w:szCs w:val="28"/>
        </w:rPr>
        <w:t xml:space="preserve">Баланс по операциям кассового обслуживания бюджетных учреждений, автономных учреждений и иных организаций (ф. 0503154), </w:t>
      </w:r>
      <w:r>
        <w:rPr>
          <w:rFonts w:ascii="Times New Roman" w:hAnsi="Times New Roman"/>
          <w:color w:val="000000" w:themeColor="text1"/>
          <w:sz w:val="28"/>
          <w:szCs w:val="28"/>
        </w:rPr>
        <w:t>Отчет о кассовом поступлении и выбытии средств бюджетных учреждений, автономных учреждений и иных организаций (ф. 0503155).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Федеральным казначейством в соответствии со статьями 166.1, 241.1, 264.3 и 264.7 Бюджетного кодекса и Инструкцией № 191н в Министерство финансов Российской Федерации ежемесячно представлялись:</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 </w:t>
      </w:r>
      <w:r>
        <w:rPr>
          <w:rFonts w:ascii="Times New Roman" w:hAnsi="Times New Roman"/>
          <w:color w:val="000000" w:themeColor="text1"/>
          <w:sz w:val="28"/>
          <w:szCs w:val="28"/>
        </w:rPr>
        <w:t xml:space="preserve">Отчет об исполнении бюджета (по федеральному бюджету) (ф. 0503117);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Российской Федерации и бюджетов государственных внебюджетных фондов (ф. 0507021).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приказами Министерства финансов Российской Федерации от 11 апреля 2016 г. № 116 «Об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 перечня таких форм, а также рекомендаций по формированию некоторых форм» (далее – Приказ Минфина России № 116) и от 16 сентября 2014 г. № 293 </w:t>
      </w:r>
      <w:r>
        <w:rPr>
          <w:rFonts w:ascii="Times New Roman" w:hAnsi="Times New Roman"/>
          <w:color w:val="000000" w:themeColor="text1"/>
          <w:sz w:val="28"/>
          <w:szCs w:val="28"/>
        </w:rPr>
        <w:br/>
        <w:t xml:space="preserve">«Об организации работы по составлению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Российской Федерации» (далее – Приказ Минфина России № 293) для дальнейшего направления </w:t>
      </w:r>
      <w:r>
        <w:rPr>
          <w:rFonts w:ascii="Times New Roman" w:hAnsi="Times New Roman"/>
          <w:color w:val="000000" w:themeColor="text1"/>
          <w:sz w:val="28"/>
          <w:szCs w:val="28"/>
        </w:rPr>
        <w:br/>
        <w:t xml:space="preserve">в Правительство Российской Федерации ежеквартально представлялись: </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федерального бюджета (ф. 0507011);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Российской Федерации и бюджетов государственных внебюджетных фондов (ф. 0507021);</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Сводные сведения об исполнении судебных решений по денежным обязательствам федерального бюджета (ф. 0507024) и пояснительная записка к ним;</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Отчет о размещении средств федерального бюджета на банковские депозиты (ф. 0507029);</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предоставлении межбюджетных трансфертов бюджетам субъектам Российской Федерации (ф. 0507052);</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формировании и использовании средств Фонда национального благосостояния (ф. 0507062);</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формировании и использовании средств Резервного фонда (ф. 0507063);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Отчет о кассовом зачислении, распределении и поступлении ввозных таможенных пошлин, а также специальных, антидемпинговых </w:t>
      </w:r>
      <w:r>
        <w:rPr>
          <w:rFonts w:ascii="Times New Roman" w:hAnsi="Times New Roman"/>
          <w:color w:val="000000" w:themeColor="text1"/>
          <w:sz w:val="28"/>
          <w:szCs w:val="28"/>
        </w:rPr>
        <w:br/>
        <w:t>и компенсационных пошлин в рамках Евразийского экономического союза (ф. 0507068);</w:t>
      </w:r>
    </w:p>
    <w:p>
      <w:pPr>
        <w:tabs>
          <w:tab w:val="left" w:pos="851"/>
          <w:tab w:val="left" w:pos="113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предоставлении бюджетных кредитов на пополнение остатков средств на счетах бюджетов субъектов Российской Федерации (ф. 0507070);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 результатах покупки (продажи) ценных бумаг </w:t>
      </w:r>
      <w:r>
        <w:rPr>
          <w:rFonts w:ascii="Times New Roman" w:hAnsi="Times New Roman"/>
          <w:color w:val="000000" w:themeColor="text1"/>
          <w:sz w:val="28"/>
          <w:szCs w:val="28"/>
        </w:rPr>
        <w:br/>
        <w:t>по договорам репо (ф. 0507072).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отчетность по кассовому исполнению бюджетов бюджетной системы Российской Федерации представлялась Федеральным казначейством в Министерство финансов Российской Федерации </w:t>
      </w:r>
      <w:r>
        <w:rPr>
          <w:rFonts w:ascii="Times New Roman" w:hAnsi="Times New Roman"/>
          <w:color w:val="000000" w:themeColor="text1"/>
          <w:sz w:val="28"/>
          <w:szCs w:val="28"/>
        </w:rPr>
        <w:br/>
        <w:t xml:space="preserve">в установленные сроки, что, в свою очередь, обеспечило ее своевременное представление Министерством финансов Российской Федерации </w:t>
      </w:r>
      <w:r>
        <w:rPr>
          <w:rFonts w:ascii="Times New Roman" w:hAnsi="Times New Roman"/>
          <w:color w:val="000000" w:themeColor="text1"/>
          <w:sz w:val="28"/>
          <w:szCs w:val="28"/>
        </w:rPr>
        <w:br/>
        <w:t>в Правительство Российской Федерации (схема</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3). </w:t>
      </w:r>
    </w:p>
    <w:p>
      <w:pPr>
        <w:pStyle w:val="ConsPlusNormal"/>
        <w:spacing w:line="360" w:lineRule="atLeast"/>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Федеральным казначейством осуществлялось представление </w:t>
      </w:r>
      <w:r>
        <w:rPr>
          <w:rFonts w:ascii="Times New Roman" w:hAnsi="Times New Roman" w:cs="Times New Roman"/>
          <w:color w:val="000000" w:themeColor="text1"/>
          <w:sz w:val="28"/>
          <w:szCs w:val="28"/>
        </w:rPr>
        <w:br/>
        <w:t xml:space="preserve">в Международный валютный фонд (далее – МВФ) ежемесячной отчетности по статистике государственных финансов Российской Федерации </w:t>
      </w:r>
      <w:r>
        <w:rPr>
          <w:rFonts w:ascii="Times New Roman" w:hAnsi="Times New Roman" w:cs="Times New Roman"/>
          <w:color w:val="000000" w:themeColor="text1"/>
          <w:sz w:val="28"/>
          <w:szCs w:val="28"/>
        </w:rPr>
        <w:br/>
        <w:t xml:space="preserve">в соответствии с Руководством по статистике государственных финансов 2014 года (далее – Руководство СГФ) </w:t>
      </w:r>
      <w:r>
        <w:rPr>
          <w:rFonts w:ascii="Times New Roman" w:hAnsi="Times New Roman" w:cs="Times New Roman"/>
          <w:color w:val="000000" w:themeColor="text1"/>
          <w:sz w:val="28"/>
          <w:szCs w:val="28"/>
          <w:vertAlign w:val="superscript"/>
        </w:rPr>
        <w:footnoteReference w:id="4"/>
      </w:r>
      <w:r>
        <w:rPr>
          <w:rFonts w:ascii="Times New Roman" w:hAnsi="Times New Roman" w:cs="Times New Roman"/>
          <w:color w:val="000000" w:themeColor="text1"/>
          <w:sz w:val="28"/>
          <w:szCs w:val="28"/>
        </w:rPr>
        <w:t xml:space="preserve">, НПА Министерства финансов Российской Федерации по бюджетному учету и бюджетной отчетности (План счетов бюджетного учета и Инструкция по его применению, утвержденные приказом Министерства финансов Российской Федерации </w:t>
      </w:r>
      <w:r>
        <w:rPr>
          <w:rFonts w:ascii="Times New Roman" w:hAnsi="Times New Roman" w:cs="Times New Roman"/>
          <w:color w:val="000000" w:themeColor="text1"/>
          <w:sz w:val="28"/>
          <w:szCs w:val="28"/>
        </w:rPr>
        <w:br/>
        <w:t xml:space="preserve">от 6 декабря 2010 г. № 162н (далее – Инструкция № 162н), Инструкция № 191н и др.).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Система показателей отчетности по статистике государственных финансов позволяет оценить экономическую деятельность и влияние органов государственного управления на экономику страны, </w:t>
      </w:r>
      <w:r>
        <w:rPr>
          <w:rFonts w:ascii="Times New Roman" w:hAnsi="Times New Roman"/>
          <w:color w:val="000000" w:themeColor="text1"/>
          <w:sz w:val="28"/>
          <w:szCs w:val="28"/>
        </w:rPr>
        <w:lastRenderedPageBreak/>
        <w:t>последовательно и систематически изучать динамику финансовых операций, финансовой позиции и состояние ликвидности сектора государственного управления или государственного сектора Российской Федерации.</w:t>
      </w: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Схема 3</w:t>
      </w:r>
    </w:p>
    <w:p>
      <w:pPr>
        <w:spacing w:line="360" w:lineRule="atLeast"/>
        <w:jc w:val="both"/>
        <w:rPr>
          <w:rFonts w:ascii="Times New Roman" w:hAnsi="Times New Roman"/>
          <w:bCs/>
          <w:color w:val="000000" w:themeColor="text1"/>
          <w:sz w:val="28"/>
          <w:szCs w:val="28"/>
        </w:rPr>
      </w:pPr>
      <w:r>
        <w:rPr>
          <w:rFonts w:ascii="Times New Roman" w:hAnsi="Times New Roman"/>
          <w:color w:val="000000" w:themeColor="text1"/>
          <w:sz w:val="28"/>
          <w:szCs w:val="28"/>
        </w:rPr>
        <w:object w:dxaOrig="4807" w:dyaOrig="3589">
          <v:shape id="_x0000_i1025" type="#_x0000_t75" style="width:448.3pt;height:324.3pt" o:ole="">
            <v:imagedata r:id="rId65" o:title=""/>
          </v:shape>
          <o:OLEObject Type="Embed" ProgID="PowerPoint.Slide.8" ShapeID="_x0000_i1025" DrawAspect="Content" ObjectID="_1552751725" r:id="rId66"/>
        </w:objec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Федеральное казначейство в соответствии со статьями 264.3 и 264.7 Бюджетного кодекса ежегодно, начиная с отчетности за 2005 год, формирует и представляет бюджетную (бухгалтерскую) отчетность </w:t>
      </w:r>
      <w:r>
        <w:rPr>
          <w:rFonts w:ascii="Times New Roman" w:hAnsi="Times New Roman"/>
          <w:color w:val="000000" w:themeColor="text1"/>
          <w:sz w:val="28"/>
          <w:szCs w:val="28"/>
        </w:rPr>
        <w:br/>
        <w:t xml:space="preserve">об исполнении бюджетов бюджетной системы Российской Федерации </w:t>
      </w:r>
      <w:r>
        <w:rPr>
          <w:rFonts w:ascii="Times New Roman" w:hAnsi="Times New Roman"/>
          <w:color w:val="000000" w:themeColor="text1"/>
          <w:sz w:val="28"/>
          <w:szCs w:val="28"/>
        </w:rPr>
        <w:br/>
        <w:t>в Министерство финансов Российской Федерации. Указанные формы приближены к требованиям, предъявляемым к их составлению международными стандартами финансовой отчетности в общественном секторе (далее – МСФО).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формирование ежегодной бюджетной (бухгалтерской) отчетности об исполнении бюджетов бюджетной системы Российской Федерации за 2015 год осуществлялось в соответствии с НПА Российской Федерации – Бюджетным кодексом, Инструкцией по применению Единого </w:t>
      </w:r>
      <w:hyperlink r:id="rId67" w:history="1">
        <w:r>
          <w:rPr>
            <w:rFonts w:ascii="Times New Roman" w:hAnsi="Times New Roman"/>
            <w:color w:val="000000" w:themeColor="text1"/>
            <w:sz w:val="28"/>
            <w:szCs w:val="28"/>
          </w:rPr>
          <w:t>плана</w:t>
        </w:r>
      </w:hyperlink>
      <w:r>
        <w:rPr>
          <w:rFonts w:ascii="Times New Roman" w:hAnsi="Times New Roman"/>
          <w:color w:val="000000" w:themeColor="text1"/>
          <w:sz w:val="28"/>
          <w:szCs w:val="28"/>
        </w:rPr>
        <w:t xml:space="preserve"> счетов бухгалтерского учета для органов государственной власти (государственных органов), органов местного самоуправления, органов управления ГВФ РФ, государственных академий наук, государственных </w:t>
      </w:r>
      <w:r>
        <w:rPr>
          <w:rFonts w:ascii="Times New Roman" w:hAnsi="Times New Roman"/>
          <w:color w:val="000000" w:themeColor="text1"/>
          <w:sz w:val="28"/>
          <w:szCs w:val="28"/>
        </w:rPr>
        <w:lastRenderedPageBreak/>
        <w:t>(муниципальных) учреждений, утвержденной приказом Министерства финансов Российской Федерации от 1 декабря 2010 г. № 157н (далее – Инструкция № 157н), Инструкцией № 162н, Инструкцией по применению Плана счетов бухгалтерского учета бюджетных учреждений, утвержденной приказом Министерства финансов Российской Федерации от 16 декабря 2010 г. № 174н (далее – Инструкция № 174н), Инструкцией по применению Плана счетов бухгалтерского учета автономных учреждений, утвержденной приказом Министерства финансов Российской Федерации от 23 декабря 2010 г. № 183н (далее – Инструкция № 183н), Инструкцией по применению Плана счетов казначейского учета, утвержденной приказом Министерства финансов Российской Федерации от 30 ноября 2015 г. № 184н (далее – Инструкция № 184н), Инструкцией № 191н, Инструкцией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Министерства финансов Российской Федерации от 25 марта 2011 г. № 33н (далее – Инструкция № 33н), приказом Минфина России № 116.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Бюджетная (бухгалтерская) отчетность публично-правовых образований формировалась в составе следующих форм: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бюджетной отчетности: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Справка по заключению счетов бюджетного учета отчетного финансового года (ф. 0503110);</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 финансовых результатах деятельности </w:t>
      </w:r>
      <w:hyperlink r:id="rId68" w:history="1">
        <w:r>
          <w:rPr>
            <w:rFonts w:ascii="Times New Roman" w:hAnsi="Times New Roman"/>
            <w:color w:val="000000" w:themeColor="text1"/>
            <w:sz w:val="28"/>
            <w:szCs w:val="28"/>
          </w:rPr>
          <w:t>(ф. 0503121)</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Справка по консолидируемым расчетам (ф. 0503125);</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об исполнении бюджета главного распорядителя, распорядителя, получателя бюджетных средств, главного администратора, администратора источников финансирования дефицита бюджета, главного администратора, администратора доходов бюджета </w:t>
      </w:r>
      <w:hyperlink r:id="rId69" w:history="1">
        <w:r>
          <w:rPr>
            <w:rFonts w:ascii="Times New Roman" w:hAnsi="Times New Roman"/>
            <w:color w:val="000000" w:themeColor="text1"/>
            <w:sz w:val="28"/>
            <w:szCs w:val="28"/>
          </w:rPr>
          <w:t>(ф. 0503127)</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Отчет о бюджетных обязательствах (ф. 0503128);</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Баланс главного распорядителя, распорядителя, получателя бюджетных средств, главного администратора, администратора источников финансирования дефицита бюджета, главного администратора, администратора доходов бюджета </w:t>
      </w:r>
      <w:hyperlink r:id="rId70" w:history="1">
        <w:r>
          <w:rPr>
            <w:rFonts w:ascii="Times New Roman" w:hAnsi="Times New Roman"/>
            <w:color w:val="000000" w:themeColor="text1"/>
            <w:sz w:val="28"/>
            <w:szCs w:val="28"/>
          </w:rPr>
          <w:t>(ф. 0503130)</w:t>
        </w:r>
      </w:hyperlink>
      <w:r>
        <w:rPr>
          <w:rFonts w:ascii="Times New Roman" w:hAnsi="Times New Roman"/>
          <w:color w:val="000000" w:themeColor="text1"/>
          <w:sz w:val="28"/>
          <w:szCs w:val="28"/>
        </w:rPr>
        <w:t xml:space="preserve">;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Справка о суммах консолидируемых поступлений, подлежащих зачислению на счет бюджета (ф. 0503184);</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Пояснительная записка (ф. 0503160);</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об исполнении бюджета </w:t>
      </w:r>
      <w:hyperlink r:id="rId71" w:history="1">
        <w:r>
          <w:rPr>
            <w:rFonts w:ascii="Times New Roman" w:hAnsi="Times New Roman"/>
            <w:color w:val="000000" w:themeColor="text1"/>
            <w:sz w:val="28"/>
            <w:szCs w:val="28"/>
          </w:rPr>
          <w:t>(ф. 0503117)</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Баланс исполнения бюджета </w:t>
      </w:r>
      <w:hyperlink r:id="rId72" w:history="1">
        <w:r>
          <w:rPr>
            <w:rFonts w:ascii="Times New Roman" w:hAnsi="Times New Roman"/>
            <w:color w:val="000000" w:themeColor="text1"/>
            <w:sz w:val="28"/>
            <w:szCs w:val="28"/>
          </w:rPr>
          <w:t>(ф. 0503120)</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Отчет о движении денежных средств (ф. 0503123);</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Отчет об исполнении консолидированного бюджета субъекта Российской Федерации и бюджета территориального государственного внебюджетного фонда </w:t>
      </w:r>
      <w:hyperlink r:id="rId73" w:history="1">
        <w:r>
          <w:rPr>
            <w:rFonts w:ascii="Times New Roman" w:hAnsi="Times New Roman"/>
            <w:color w:val="000000" w:themeColor="text1"/>
            <w:sz w:val="28"/>
            <w:szCs w:val="28"/>
          </w:rPr>
          <w:t>(ф. 0503317)</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Баланс исполнения консолидированного бюджета субъекта Российской Федерации и бюджета территориального государственного внебюджетного фонда </w:t>
      </w:r>
      <w:hyperlink r:id="rId74" w:history="1">
        <w:r>
          <w:rPr>
            <w:rFonts w:ascii="Times New Roman" w:hAnsi="Times New Roman"/>
            <w:color w:val="000000" w:themeColor="text1"/>
            <w:sz w:val="28"/>
            <w:szCs w:val="28"/>
          </w:rPr>
          <w:t>(ф. 0503320)</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Консолидированный отчет о финансовых результатах деятельности</w:t>
      </w:r>
      <w:hyperlink r:id="rId75" w:history="1">
        <w:r>
          <w:rPr>
            <w:rFonts w:ascii="Times New Roman" w:hAnsi="Times New Roman"/>
            <w:color w:val="000000" w:themeColor="text1"/>
            <w:sz w:val="28"/>
            <w:szCs w:val="28"/>
          </w:rPr>
          <w:t>(ф. 0503321)</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Консолидированный отчет о движении денежных средств </w:t>
      </w:r>
      <w:hyperlink r:id="rId76" w:history="1">
        <w:r>
          <w:rPr>
            <w:rFonts w:ascii="Times New Roman" w:hAnsi="Times New Roman"/>
            <w:color w:val="000000" w:themeColor="text1"/>
            <w:sz w:val="28"/>
            <w:szCs w:val="28"/>
          </w:rPr>
          <w:t xml:space="preserve">(ф. 0503323); </w:t>
        </w:r>
      </w:hyperlink>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Пояснительная записка к отчету об исполнении консолидированного бюджета (ф. 0503360);</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бухгалтерской отчетности: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hyperlink r:id="rId77" w:history="1">
        <w:r>
          <w:rPr>
            <w:rFonts w:ascii="Times New Roman" w:hAnsi="Times New Roman"/>
            <w:color w:val="000000" w:themeColor="text1"/>
            <w:sz w:val="28"/>
            <w:szCs w:val="28"/>
          </w:rPr>
          <w:t>Справка</w:t>
        </w:r>
      </w:hyperlink>
      <w:r>
        <w:rPr>
          <w:rFonts w:ascii="Times New Roman" w:hAnsi="Times New Roman"/>
          <w:color w:val="000000" w:themeColor="text1"/>
          <w:sz w:val="28"/>
          <w:szCs w:val="28"/>
        </w:rPr>
        <w:t xml:space="preserve"> по заключению учреждением счетов бухгалтерского учета отчетного финансового года (ф. 0503710);</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 финансовых результатах деятельности учреждения </w:t>
      </w:r>
      <w:hyperlink r:id="rId78" w:history="1">
        <w:r>
          <w:rPr>
            <w:rFonts w:ascii="Times New Roman" w:hAnsi="Times New Roman"/>
            <w:color w:val="000000" w:themeColor="text1"/>
            <w:sz w:val="28"/>
            <w:szCs w:val="28"/>
          </w:rPr>
          <w:t>(ф. 0503721)</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hyperlink r:id="rId79" w:history="1">
        <w:r>
          <w:rPr>
            <w:rFonts w:ascii="Times New Roman" w:hAnsi="Times New Roman"/>
            <w:color w:val="000000" w:themeColor="text1"/>
            <w:sz w:val="28"/>
            <w:szCs w:val="28"/>
          </w:rPr>
          <w:t>Справка</w:t>
        </w:r>
      </w:hyperlink>
      <w:r>
        <w:rPr>
          <w:rFonts w:ascii="Times New Roman" w:hAnsi="Times New Roman"/>
          <w:color w:val="000000" w:themeColor="text1"/>
          <w:sz w:val="28"/>
          <w:szCs w:val="28"/>
        </w:rPr>
        <w:t xml:space="preserve"> по консолидируемым расчетам учреждения (ф. 0503725);</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Баланс государственного (муниципального) учреждения </w:t>
      </w:r>
      <w:hyperlink r:id="rId80" w:history="1">
        <w:r>
          <w:rPr>
            <w:rFonts w:ascii="Times New Roman" w:hAnsi="Times New Roman"/>
            <w:color w:val="000000" w:themeColor="text1"/>
            <w:sz w:val="28"/>
            <w:szCs w:val="28"/>
          </w:rPr>
          <w:t>(ф. 0503730)</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об исполнении учреждением плана его финансово-хозяйственной деятельности </w:t>
      </w:r>
      <w:hyperlink r:id="rId81" w:history="1">
        <w:r>
          <w:rPr>
            <w:rFonts w:ascii="Times New Roman" w:hAnsi="Times New Roman"/>
            <w:color w:val="000000" w:themeColor="text1"/>
            <w:sz w:val="28"/>
            <w:szCs w:val="28"/>
          </w:rPr>
          <w:t>(ф. 0503737)</w:t>
        </w:r>
      </w:hyperlink>
      <w:r>
        <w:rPr>
          <w:rFonts w:ascii="Times New Roman" w:hAnsi="Times New Roman"/>
          <w:color w:val="000000" w:themeColor="text1"/>
          <w:sz w:val="28"/>
          <w:szCs w:val="28"/>
        </w:rPr>
        <w:t>;</w:t>
      </w:r>
    </w:p>
    <w:p>
      <w:pPr>
        <w:tabs>
          <w:tab w:val="left" w:pos="709"/>
        </w:tabs>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Отчет об обязательствах учреждения (ф. 0503738);</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Пояснительная записка к Балансу учреждения </w:t>
      </w:r>
      <w:hyperlink r:id="rId82" w:history="1">
        <w:r>
          <w:rPr>
            <w:rFonts w:ascii="Times New Roman" w:hAnsi="Times New Roman"/>
            <w:color w:val="000000" w:themeColor="text1"/>
            <w:sz w:val="28"/>
            <w:szCs w:val="28"/>
          </w:rPr>
          <w:t>(ф. 0503760)</w:t>
        </w:r>
      </w:hyperlink>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Годовая бюджетная (бухгалтерская) отчетность представлялась Федеральным казначейством в Министерство финансов Российской Федерации в составе, установленном приказом Минфина России № 116:</w:t>
      </w:r>
    </w:p>
    <w:p>
      <w:pPr>
        <w:shd w:val="clear" w:color="auto" w:fill="FFFFFF"/>
        <w:spacing w:after="0" w:line="360" w:lineRule="atLeast"/>
        <w:ind w:firstLine="709"/>
        <w:jc w:val="both"/>
        <w:rPr>
          <w:rFonts w:ascii="Times New Roman" w:hAnsi="Times New Roman"/>
          <w:iCs/>
          <w:color w:val="000000" w:themeColor="text1"/>
          <w:sz w:val="28"/>
          <w:szCs w:val="28"/>
        </w:rPr>
      </w:pPr>
      <w:r>
        <w:rPr>
          <w:rFonts w:ascii="Times New Roman" w:hAnsi="Times New Roman"/>
          <w:iCs/>
          <w:color w:val="000000" w:themeColor="text1"/>
          <w:sz w:val="28"/>
          <w:szCs w:val="28"/>
        </w:rPr>
        <w:t xml:space="preserve">– Отчет об исполнении федерального бюджета (ф. 0507011) </w:t>
      </w:r>
      <w:r>
        <w:rPr>
          <w:rFonts w:ascii="Times New Roman" w:hAnsi="Times New Roman"/>
          <w:iCs/>
          <w:color w:val="000000" w:themeColor="text1"/>
          <w:sz w:val="28"/>
          <w:szCs w:val="28"/>
        </w:rPr>
        <w:br/>
        <w:t>и Пояснительной записки к нему;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использовании ассигнований резервных фондов Правительства Российской Федерации и Резервного фонда Президента Российской Федерации (ф. 0507012);</w:t>
      </w:r>
    </w:p>
    <w:p>
      <w:pPr>
        <w:spacing w:after="0" w:line="360" w:lineRule="atLeast"/>
        <w:ind w:firstLine="709"/>
        <w:jc w:val="both"/>
        <w:rPr>
          <w:rFonts w:ascii="Times New Roman" w:hAnsi="Times New Roman"/>
          <w:iCs/>
          <w:color w:val="000000" w:themeColor="text1"/>
          <w:sz w:val="28"/>
          <w:szCs w:val="28"/>
        </w:rPr>
      </w:pPr>
      <w:r>
        <w:rPr>
          <w:rFonts w:ascii="Times New Roman" w:hAnsi="Times New Roman"/>
          <w:iCs/>
          <w:color w:val="000000" w:themeColor="text1"/>
          <w:sz w:val="28"/>
          <w:szCs w:val="28"/>
        </w:rPr>
        <w:t>– Баланс исполнения федерального бюджета (ф. 0507019);</w:t>
      </w:r>
    </w:p>
    <w:p>
      <w:pPr>
        <w:spacing w:after="0" w:line="360" w:lineRule="atLeast"/>
        <w:ind w:firstLine="709"/>
        <w:jc w:val="both"/>
        <w:rPr>
          <w:rFonts w:ascii="Times New Roman" w:hAnsi="Times New Roman"/>
          <w:iCs/>
          <w:color w:val="000000" w:themeColor="text1"/>
          <w:sz w:val="28"/>
          <w:szCs w:val="28"/>
        </w:rPr>
      </w:pPr>
      <w:r>
        <w:rPr>
          <w:rFonts w:ascii="Times New Roman" w:hAnsi="Times New Roman"/>
          <w:iCs/>
          <w:color w:val="000000" w:themeColor="text1"/>
          <w:sz w:val="28"/>
          <w:szCs w:val="28"/>
        </w:rPr>
        <w:t>– Отчет о финансовых результатах деятельности (по федеральному бюджету) (ф. 0507020);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Российской Федерации и бюджетов государственных внебюджетных фондов (ф. 0507021) и пояснительной записки к нему;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Баланс исполнения консолидированного бюджета Российской Федерации и бюджетов государственных внебюджетных фондов (ф. 0507022);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Отчет о финансовых результатах деятельности </w:t>
      </w:r>
      <w:r>
        <w:rPr>
          <w:rFonts w:ascii="Times New Roman" w:hAnsi="Times New Roman"/>
          <w:color w:val="000000" w:themeColor="text1"/>
          <w:sz w:val="28"/>
          <w:szCs w:val="28"/>
        </w:rPr>
        <w:br/>
        <w:t>(по консолидированному бюджету Российской Федерации и бюджетам государственных внебюджетных фондов) (ф. 0507023);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Сводные сведения об исполнении судебных решений по денежным обязательствам получателей средств федерального бюджета (ф. 0507024) </w:t>
      </w:r>
      <w:r>
        <w:rPr>
          <w:rFonts w:ascii="Times New Roman" w:hAnsi="Times New Roman"/>
          <w:color w:val="000000" w:themeColor="text1"/>
          <w:sz w:val="28"/>
          <w:szCs w:val="28"/>
        </w:rPr>
        <w:br/>
        <w:t>и пояснительная записка к ним;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размещении средств федерального бюджета на банковские депозиты (ф. 0507029);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предоставлении межбюджетных трансфертов бюджетам субъектам Российской Федерации (ф. 0507052);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предоставлении бюджетных кредитов бюджетам субъектов Российской Федерации (ф. 0507053);</w:t>
      </w:r>
    </w:p>
    <w:p>
      <w:pPr>
        <w:spacing w:after="0" w:line="360" w:lineRule="atLeast"/>
        <w:ind w:firstLine="709"/>
        <w:jc w:val="both"/>
        <w:rPr>
          <w:rFonts w:ascii="Times New Roman" w:hAnsi="Times New Roman"/>
          <w:iCs/>
          <w:color w:val="000000" w:themeColor="text1"/>
          <w:sz w:val="28"/>
          <w:szCs w:val="28"/>
        </w:rPr>
      </w:pPr>
      <w:r>
        <w:rPr>
          <w:rFonts w:ascii="Times New Roman" w:hAnsi="Times New Roman"/>
          <w:iCs/>
          <w:color w:val="000000" w:themeColor="text1"/>
          <w:sz w:val="28"/>
          <w:szCs w:val="28"/>
        </w:rPr>
        <w:t>– Отчет о движении денежных средств (по федеральному бюджету) (ф.</w:t>
      </w:r>
      <w:r>
        <w:rPr>
          <w:rFonts w:ascii="Times New Roman" w:hAnsi="Times New Roman"/>
          <w:iCs/>
          <w:color w:val="000000" w:themeColor="text1"/>
          <w:sz w:val="28"/>
          <w:szCs w:val="28"/>
          <w:lang w:val="en-US"/>
        </w:rPr>
        <w:t> </w:t>
      </w:r>
      <w:r>
        <w:rPr>
          <w:rFonts w:ascii="Times New Roman" w:hAnsi="Times New Roman"/>
          <w:iCs/>
          <w:color w:val="000000" w:themeColor="text1"/>
          <w:sz w:val="28"/>
          <w:szCs w:val="28"/>
        </w:rPr>
        <w:t>0507060);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движении денежных средств (по консолидированному бюджету Российской Федерации и бюджетам государственных внебюджетных фондов) (ф. 0507061);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формировании и использовании средств Фонда национального благосостояния (ф. 0507062);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формировании и использовании средств Резервного фонда (ф. 0507063);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Отчет о кассовом зачислении, распределении и поступлении ввозных таможенных пошлин, а также специальных, антидемпинговых </w:t>
      </w:r>
      <w:r>
        <w:rPr>
          <w:rFonts w:ascii="Times New Roman" w:hAnsi="Times New Roman"/>
          <w:color w:val="000000" w:themeColor="text1"/>
          <w:sz w:val="28"/>
          <w:szCs w:val="28"/>
        </w:rPr>
        <w:br/>
        <w:t>и компенсационных пошлин в рамках Евразийского экономического союза (ф. 0507068);</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предоставлении бюджетных кредитов на пополнение остатков средств на счетах бюджетов субъектов Российской Федерации (ф. 0507070).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со статьей 264.7 Бюджетного кодекса указанная отчетность Министерством финансов Российской Федерации представлялась в Правительство Российской Федерации в составе </w:t>
      </w:r>
      <w:r>
        <w:rPr>
          <w:rFonts w:ascii="Times New Roman" w:hAnsi="Times New Roman"/>
          <w:color w:val="000000" w:themeColor="text1"/>
          <w:sz w:val="28"/>
          <w:szCs w:val="28"/>
        </w:rPr>
        <w:br/>
        <w:t xml:space="preserve">и порядке, предусмотренном Положением о представлении в Правительство Российской Федерации ежеквартальной и годовой отчетности </w:t>
      </w:r>
      <w:r>
        <w:rPr>
          <w:rFonts w:ascii="Times New Roman" w:hAnsi="Times New Roman"/>
          <w:color w:val="000000" w:themeColor="text1"/>
          <w:sz w:val="28"/>
          <w:szCs w:val="28"/>
        </w:rPr>
        <w:br/>
        <w:t>об исполнении федерального бюджета, утвержденным постановлением Правительства Российской Федерации от 11 мая 2006 г. № 281 (схема 4).</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Все формы бюджетной (бухгалтерской) отчетности за 2015 год рассмотрены Счетной палатой. Отчет об исполнении федерального бюджета за 2015 год признан Счетной палатой Российской Федерации достоверным.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Отчет об исполнении федерального бюджета за 2015 год принят Государственной Думой Федерального Собрания Российской Федерации </w:t>
      </w:r>
      <w:r>
        <w:rPr>
          <w:rFonts w:ascii="Times New Roman" w:hAnsi="Times New Roman"/>
          <w:color w:val="000000" w:themeColor="text1"/>
          <w:sz w:val="28"/>
          <w:szCs w:val="28"/>
        </w:rPr>
        <w:br/>
        <w:t>21 октября 2016 года, одобрен Советом Федерации Федерального Собрания Российской Федерации 26 октября 2016 года и утвержден Президентом Российской Федерации 31 октября 2016 года.</w:t>
      </w:r>
    </w:p>
    <w:p>
      <w:pPr>
        <w:spacing w:line="360" w:lineRule="atLeast"/>
        <w:jc w:val="right"/>
        <w:rPr>
          <w:rFonts w:ascii="Times New Roman" w:hAnsi="Times New Roman"/>
          <w:color w:val="000000" w:themeColor="text1"/>
          <w:sz w:val="28"/>
          <w:szCs w:val="28"/>
        </w:rPr>
        <w:sectPr>
          <w:headerReference w:type="default" r:id="rId83"/>
          <w:pgSz w:w="11906" w:h="16838" w:code="9"/>
          <w:pgMar w:top="1418" w:right="992" w:bottom="1361" w:left="1701" w:header="709" w:footer="709" w:gutter="0"/>
          <w:cols w:space="708"/>
          <w:docGrid w:linePitch="360"/>
        </w:sectPr>
      </w:pPr>
      <w:r>
        <w:rPr>
          <w:rFonts w:ascii="Times New Roman" w:hAnsi="Times New Roman"/>
          <w:color w:val="000000" w:themeColor="text1"/>
          <w:sz w:val="28"/>
          <w:szCs w:val="28"/>
        </w:rPr>
        <w:lastRenderedPageBreak/>
        <w:t>Схема 4</w:t>
      </w:r>
      <w:r>
        <w:rPr>
          <w:rFonts w:ascii="Times New Roman" w:hAnsi="Times New Roman"/>
          <w:noProof/>
          <w:color w:val="000000" w:themeColor="text1"/>
          <w:sz w:val="28"/>
          <w:szCs w:val="28"/>
          <w:lang w:eastAsia="ru-RU"/>
        </w:rPr>
        <w:drawing>
          <wp:inline distT="0" distB="0" distL="0" distR="0">
            <wp:extent cx="6154420" cy="827722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54420" cy="8277225"/>
                    </a:xfrm>
                    <a:prstGeom prst="rect">
                      <a:avLst/>
                    </a:prstGeom>
                    <a:noFill/>
                    <a:ln>
                      <a:noFill/>
                    </a:ln>
                  </pic:spPr>
                </pic:pic>
              </a:graphicData>
            </a:graphic>
          </wp:inline>
        </w:drawing>
      </w:r>
    </w:p>
    <w:p>
      <w:pPr>
        <w:ind w:firstLine="709"/>
        <w:jc w:val="both"/>
        <w:rPr>
          <w:rFonts w:ascii="Times New Roman" w:hAnsi="Times New Roman"/>
          <w:color w:val="000000" w:themeColor="text1"/>
          <w:sz w:val="24"/>
          <w:szCs w:val="24"/>
        </w:rPr>
      </w:pPr>
      <w:r>
        <w:rPr>
          <w:rFonts w:ascii="Times New Roman" w:hAnsi="Times New Roman"/>
          <w:color w:val="000000" w:themeColor="text1"/>
          <w:sz w:val="28"/>
          <w:szCs w:val="28"/>
        </w:rPr>
        <w:lastRenderedPageBreak/>
        <w:t>Основные характеристики исполнения консолидированного бюджета Российской Федерации и бюджетов государственных внебюджетных фондов за 2015 год приведены в таблице 5.</w:t>
      </w:r>
    </w:p>
    <w:p>
      <w:pPr>
        <w:spacing w:before="240" w:after="120" w:line="240" w:lineRule="auto"/>
        <w:ind w:firstLine="12758"/>
        <w:jc w:val="both"/>
        <w:rPr>
          <w:rFonts w:ascii="Times New Roman" w:hAnsi="Times New Roman"/>
          <w:color w:val="000000" w:themeColor="text1"/>
          <w:sz w:val="28"/>
          <w:szCs w:val="28"/>
        </w:rPr>
      </w:pPr>
      <w:r>
        <w:rPr>
          <w:rFonts w:ascii="Times New Roman" w:hAnsi="Times New Roman"/>
          <w:color w:val="000000" w:themeColor="text1"/>
          <w:sz w:val="28"/>
          <w:szCs w:val="28"/>
        </w:rPr>
        <w:t>Таблица 5</w:t>
      </w:r>
    </w:p>
    <w:tbl>
      <w:tblPr>
        <w:tblW w:w="5000" w:type="pct"/>
        <w:jc w:val="center"/>
        <w:tblLayout w:type="fixed"/>
        <w:tblLook w:val="04A0" w:firstRow="1" w:lastRow="0" w:firstColumn="1" w:lastColumn="0" w:noHBand="0" w:noVBand="1"/>
      </w:tblPr>
      <w:tblGrid>
        <w:gridCol w:w="2944"/>
        <w:gridCol w:w="2552"/>
        <w:gridCol w:w="1476"/>
        <w:gridCol w:w="2190"/>
        <w:gridCol w:w="2755"/>
        <w:gridCol w:w="2358"/>
      </w:tblGrid>
      <w:tr>
        <w:trPr>
          <w:trHeight w:val="723"/>
          <w:jc w:val="center"/>
        </w:trPr>
        <w:tc>
          <w:tcPr>
            <w:tcW w:w="5000" w:type="pct"/>
            <w:gridSpan w:val="6"/>
            <w:tcBorders>
              <w:top w:val="nil"/>
              <w:left w:val="nil"/>
              <w:bottom w:val="nil"/>
              <w:right w:val="nil"/>
            </w:tcBorders>
            <w:vAlign w:val="bottom"/>
            <w:hideMark/>
          </w:tcPr>
          <w:p>
            <w:pPr>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8"/>
                <w:szCs w:val="28"/>
              </w:rPr>
              <w:t>Отчет об исполнении консолидированного бюджета Российской Федерации и бюджетов государственных внебюджетных фондов за 2015 год</w:t>
            </w:r>
          </w:p>
        </w:tc>
      </w:tr>
      <w:tr>
        <w:trPr>
          <w:trHeight w:val="1388"/>
          <w:jc w:val="center"/>
        </w:trPr>
        <w:tc>
          <w:tcPr>
            <w:tcW w:w="1031" w:type="pct"/>
            <w:tcBorders>
              <w:top w:val="single" w:sz="4" w:space="0" w:color="auto"/>
              <w:left w:val="single" w:sz="4" w:space="0" w:color="auto"/>
              <w:bottom w:val="single" w:sz="4" w:space="0" w:color="auto"/>
              <w:right w:val="single" w:sz="4" w:space="0" w:color="auto"/>
            </w:tcBorders>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Наименование показателя</w:t>
            </w:r>
          </w:p>
        </w:tc>
        <w:tc>
          <w:tcPr>
            <w:tcW w:w="894" w:type="pct"/>
            <w:tcBorders>
              <w:top w:val="single" w:sz="4" w:space="0" w:color="auto"/>
              <w:left w:val="nil"/>
              <w:bottom w:val="single" w:sz="4" w:space="0" w:color="auto"/>
              <w:right w:val="single" w:sz="4" w:space="0" w:color="auto"/>
            </w:tcBorders>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Консолидированный бюджет Российской Федерации и бюджетов государственных внебюджетных фондов, млрд</w:t>
            </w:r>
            <w:r>
              <w:rPr>
                <w:rFonts w:ascii="Times New Roman" w:hAnsi="Times New Roman"/>
                <w:b/>
                <w:bCs/>
                <w:iCs/>
                <w:color w:val="000000" w:themeColor="text1"/>
              </w:rPr>
              <w:t> рублей</w:t>
            </w:r>
          </w:p>
        </w:tc>
        <w:tc>
          <w:tcPr>
            <w:tcW w:w="517" w:type="pct"/>
            <w:tcBorders>
              <w:top w:val="single" w:sz="4" w:space="0" w:color="auto"/>
              <w:left w:val="nil"/>
              <w:bottom w:val="single" w:sz="4" w:space="0" w:color="auto"/>
              <w:right w:val="single" w:sz="4" w:space="0" w:color="auto"/>
            </w:tcBorders>
            <w:vAlign w:val="center"/>
            <w:hideMark/>
          </w:tcPr>
          <w:p>
            <w:pPr>
              <w:shd w:val="clear" w:color="auto" w:fill="FFFFFF"/>
              <w:spacing w:after="0" w:line="240" w:lineRule="auto"/>
              <w:jc w:val="center"/>
              <w:rPr>
                <w:rFonts w:ascii="Times New Roman" w:hAnsi="Times New Roman"/>
                <w:b/>
                <w:color w:val="000000" w:themeColor="text1"/>
              </w:rPr>
            </w:pPr>
            <w:proofErr w:type="spellStart"/>
            <w:r>
              <w:rPr>
                <w:rFonts w:ascii="Times New Roman" w:hAnsi="Times New Roman"/>
                <w:b/>
                <w:color w:val="000000" w:themeColor="text1"/>
              </w:rPr>
              <w:t>Федераль-ный</w:t>
            </w:r>
            <w:proofErr w:type="spellEnd"/>
            <w:r>
              <w:rPr>
                <w:rFonts w:ascii="Times New Roman" w:hAnsi="Times New Roman"/>
                <w:b/>
                <w:color w:val="000000" w:themeColor="text1"/>
              </w:rPr>
              <w:t xml:space="preserve"> бюджет</w:t>
            </w:r>
          </w:p>
          <w:p>
            <w:pPr>
              <w:shd w:val="clear" w:color="auto" w:fill="FFFFFF"/>
              <w:spacing w:after="0" w:line="240" w:lineRule="auto"/>
              <w:jc w:val="center"/>
              <w:rPr>
                <w:rFonts w:ascii="Times New Roman" w:hAnsi="Times New Roman"/>
                <w:b/>
                <w:color w:val="000000" w:themeColor="text1"/>
              </w:rPr>
            </w:pPr>
            <w:r>
              <w:rPr>
                <w:rFonts w:ascii="Times New Roman" w:hAnsi="Times New Roman"/>
                <w:b/>
                <w:bCs/>
                <w:iCs/>
                <w:color w:val="000000" w:themeColor="text1"/>
              </w:rPr>
              <w:t>млрд рублей</w:t>
            </w:r>
          </w:p>
        </w:tc>
        <w:tc>
          <w:tcPr>
            <w:tcW w:w="767" w:type="pct"/>
            <w:tcBorders>
              <w:top w:val="single" w:sz="4" w:space="0" w:color="auto"/>
              <w:left w:val="nil"/>
              <w:bottom w:val="single" w:sz="4" w:space="0" w:color="auto"/>
              <w:right w:val="single" w:sz="4" w:space="0" w:color="auto"/>
            </w:tcBorders>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 xml:space="preserve">Бюджеты государственных внебюджетных фондов, </w:t>
            </w:r>
            <w:r>
              <w:rPr>
                <w:rFonts w:ascii="Times New Roman" w:hAnsi="Times New Roman"/>
                <w:b/>
                <w:bCs/>
                <w:iCs/>
                <w:color w:val="000000" w:themeColor="text1"/>
              </w:rPr>
              <w:t>млрд рублей</w:t>
            </w:r>
          </w:p>
        </w:tc>
        <w:tc>
          <w:tcPr>
            <w:tcW w:w="965" w:type="pct"/>
            <w:tcBorders>
              <w:top w:val="single" w:sz="4" w:space="0" w:color="auto"/>
              <w:left w:val="nil"/>
              <w:bottom w:val="single" w:sz="4" w:space="0" w:color="auto"/>
              <w:right w:val="single" w:sz="4" w:space="0" w:color="auto"/>
            </w:tcBorders>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Консолидированные бюджеты субъектов Российской Федерации</w:t>
            </w:r>
          </w:p>
          <w:p>
            <w:pPr>
              <w:shd w:val="clear" w:color="auto" w:fill="FFFFFF"/>
              <w:spacing w:after="0" w:line="240" w:lineRule="auto"/>
              <w:jc w:val="center"/>
              <w:rPr>
                <w:rFonts w:ascii="Times New Roman" w:hAnsi="Times New Roman"/>
                <w:b/>
                <w:color w:val="000000" w:themeColor="text1"/>
              </w:rPr>
            </w:pPr>
            <w:r>
              <w:rPr>
                <w:rFonts w:ascii="Times New Roman" w:hAnsi="Times New Roman"/>
                <w:b/>
                <w:bCs/>
                <w:iCs/>
                <w:color w:val="000000" w:themeColor="text1"/>
              </w:rPr>
              <w:t>млрд рублей</w:t>
            </w:r>
          </w:p>
        </w:tc>
        <w:tc>
          <w:tcPr>
            <w:tcW w:w="826" w:type="pct"/>
            <w:tcBorders>
              <w:top w:val="single" w:sz="4" w:space="0" w:color="auto"/>
              <w:left w:val="nil"/>
              <w:bottom w:val="single" w:sz="4" w:space="0" w:color="auto"/>
              <w:right w:val="single" w:sz="4" w:space="0" w:color="auto"/>
            </w:tcBorders>
            <w:vAlign w:val="center"/>
            <w:hideMark/>
          </w:tcPr>
          <w:p>
            <w:pPr>
              <w:shd w:val="clear" w:color="auto" w:fill="FFFFFF"/>
              <w:tabs>
                <w:tab w:val="left" w:pos="512"/>
              </w:tabs>
              <w:spacing w:after="0" w:line="240" w:lineRule="auto"/>
              <w:jc w:val="center"/>
              <w:rPr>
                <w:rFonts w:ascii="Times New Roman" w:hAnsi="Times New Roman"/>
                <w:b/>
                <w:color w:val="000000" w:themeColor="text1"/>
              </w:rPr>
            </w:pPr>
            <w:r>
              <w:rPr>
                <w:rFonts w:ascii="Times New Roman" w:hAnsi="Times New Roman"/>
                <w:b/>
                <w:color w:val="000000" w:themeColor="text1"/>
              </w:rPr>
              <w:t xml:space="preserve">Бюджеты территориальных государственных внебюджетных фондов, </w:t>
            </w:r>
            <w:r>
              <w:rPr>
                <w:rFonts w:ascii="Times New Roman" w:hAnsi="Times New Roman"/>
                <w:b/>
                <w:bCs/>
                <w:iCs/>
                <w:color w:val="000000" w:themeColor="text1"/>
              </w:rPr>
              <w:t>млрд рублей</w:t>
            </w:r>
          </w:p>
        </w:tc>
      </w:tr>
      <w:tr>
        <w:trPr>
          <w:trHeight w:val="379"/>
          <w:jc w:val="center"/>
        </w:trPr>
        <w:tc>
          <w:tcPr>
            <w:tcW w:w="1031" w:type="pct"/>
            <w:tcBorders>
              <w:top w:val="nil"/>
              <w:left w:val="single" w:sz="4" w:space="0" w:color="auto"/>
              <w:bottom w:val="single" w:sz="4" w:space="0" w:color="auto"/>
              <w:right w:val="single" w:sz="4" w:space="0" w:color="auto"/>
            </w:tcBorders>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Кассовый метод</w:t>
            </w:r>
          </w:p>
        </w:tc>
        <w:tc>
          <w:tcPr>
            <w:tcW w:w="894" w:type="pct"/>
            <w:tcBorders>
              <w:top w:val="nil"/>
              <w:left w:val="nil"/>
              <w:bottom w:val="nil"/>
              <w:right w:val="single" w:sz="4" w:space="0" w:color="auto"/>
            </w:tcBorders>
            <w:noWrap/>
            <w:vAlign w:val="center"/>
            <w:hideMark/>
          </w:tcPr>
          <w:p>
            <w:pPr>
              <w:shd w:val="clear" w:color="auto" w:fill="FFFFFF"/>
              <w:spacing w:after="0" w:line="240" w:lineRule="auto"/>
              <w:jc w:val="center"/>
              <w:rPr>
                <w:rFonts w:ascii="Times New Roman" w:hAnsi="Times New Roman"/>
                <w:bCs/>
                <w:color w:val="000000" w:themeColor="text1"/>
                <w:sz w:val="24"/>
                <w:szCs w:val="24"/>
              </w:rPr>
            </w:pPr>
            <w:r>
              <w:rPr>
                <w:rFonts w:ascii="Times New Roman" w:hAnsi="Times New Roman"/>
                <w:bCs/>
                <w:color w:val="000000" w:themeColor="text1"/>
                <w:sz w:val="24"/>
                <w:szCs w:val="24"/>
              </w:rPr>
              <w:t>1</w:t>
            </w:r>
          </w:p>
        </w:tc>
        <w:tc>
          <w:tcPr>
            <w:tcW w:w="517" w:type="pct"/>
            <w:tcBorders>
              <w:top w:val="nil"/>
              <w:left w:val="nil"/>
              <w:bottom w:val="nil"/>
              <w:right w:val="single" w:sz="4" w:space="0" w:color="auto"/>
            </w:tcBorders>
            <w:noWrap/>
            <w:vAlign w:val="center"/>
            <w:hideMark/>
          </w:tcPr>
          <w:p>
            <w:pPr>
              <w:shd w:val="clear" w:color="auto" w:fill="FFFFFF"/>
              <w:spacing w:after="0" w:line="240" w:lineRule="auto"/>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767" w:type="pct"/>
            <w:tcBorders>
              <w:top w:val="nil"/>
              <w:left w:val="nil"/>
              <w:bottom w:val="nil"/>
              <w:right w:val="single" w:sz="4" w:space="0" w:color="auto"/>
            </w:tcBorders>
            <w:noWrap/>
            <w:vAlign w:val="center"/>
            <w:hideMark/>
          </w:tcPr>
          <w:p>
            <w:pPr>
              <w:shd w:val="clear" w:color="auto" w:fill="FFFFFF"/>
              <w:spacing w:after="0" w:line="240" w:lineRule="auto"/>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965" w:type="pct"/>
            <w:tcBorders>
              <w:top w:val="nil"/>
              <w:left w:val="nil"/>
              <w:bottom w:val="nil"/>
              <w:right w:val="single" w:sz="4" w:space="0" w:color="auto"/>
            </w:tcBorders>
            <w:noWrap/>
            <w:vAlign w:val="center"/>
            <w:hideMark/>
          </w:tcPr>
          <w:p>
            <w:pPr>
              <w:shd w:val="clear" w:color="auto" w:fill="FFFFFF"/>
              <w:spacing w:after="0" w:line="240" w:lineRule="auto"/>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826" w:type="pct"/>
            <w:tcBorders>
              <w:top w:val="nil"/>
              <w:left w:val="nil"/>
              <w:bottom w:val="nil"/>
              <w:right w:val="single" w:sz="4" w:space="0" w:color="auto"/>
            </w:tcBorders>
            <w:noWrap/>
            <w:vAlign w:val="center"/>
            <w:hideMark/>
          </w:tcPr>
          <w:p>
            <w:pPr>
              <w:shd w:val="clear" w:color="auto" w:fill="FFFFFF"/>
              <w:spacing w:after="0" w:line="240" w:lineRule="auto"/>
              <w:jc w:val="center"/>
              <w:rPr>
                <w:rFonts w:ascii="Times New Roman" w:hAnsi="Times New Roman"/>
                <w:bCs/>
                <w:color w:val="000000" w:themeColor="text1"/>
                <w:sz w:val="24"/>
                <w:szCs w:val="24"/>
              </w:rPr>
            </w:pPr>
            <w:r>
              <w:rPr>
                <w:rFonts w:ascii="Times New Roman" w:hAnsi="Times New Roman"/>
                <w:bCs/>
                <w:color w:val="000000" w:themeColor="text1"/>
                <w:sz w:val="24"/>
                <w:szCs w:val="24"/>
              </w:rPr>
              <w:t>5</w:t>
            </w:r>
          </w:p>
        </w:tc>
      </w:tr>
      <w:tr>
        <w:trPr>
          <w:trHeight w:val="357"/>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Доходы</w:t>
            </w:r>
          </w:p>
        </w:tc>
        <w:tc>
          <w:tcPr>
            <w:tcW w:w="894" w:type="pct"/>
            <w:tcBorders>
              <w:top w:val="single" w:sz="8" w:space="0" w:color="auto"/>
              <w:left w:val="single" w:sz="8" w:space="0" w:color="auto"/>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26 922,01</w:t>
            </w:r>
          </w:p>
        </w:tc>
        <w:tc>
          <w:tcPr>
            <w:tcW w:w="517" w:type="pct"/>
            <w:tcBorders>
              <w:top w:val="single" w:sz="8" w:space="0" w:color="auto"/>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13 659,24</w:t>
            </w:r>
          </w:p>
        </w:tc>
        <w:tc>
          <w:tcPr>
            <w:tcW w:w="767" w:type="pct"/>
            <w:tcBorders>
              <w:top w:val="single" w:sz="8" w:space="0" w:color="auto"/>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9 241,46</w:t>
            </w:r>
          </w:p>
        </w:tc>
        <w:tc>
          <w:tcPr>
            <w:tcW w:w="965" w:type="pct"/>
            <w:tcBorders>
              <w:top w:val="single" w:sz="8" w:space="0" w:color="auto"/>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9 308,15</w:t>
            </w:r>
          </w:p>
        </w:tc>
        <w:tc>
          <w:tcPr>
            <w:tcW w:w="826" w:type="pct"/>
            <w:tcBorders>
              <w:top w:val="single" w:sz="8" w:space="0" w:color="auto"/>
              <w:left w:val="nil"/>
              <w:bottom w:val="single" w:sz="4" w:space="0" w:color="auto"/>
              <w:right w:val="single" w:sz="8"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1 588,95</w:t>
            </w:r>
          </w:p>
        </w:tc>
      </w:tr>
      <w:tr>
        <w:trPr>
          <w:trHeight w:val="311"/>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Расходы</w:t>
            </w:r>
          </w:p>
        </w:tc>
        <w:tc>
          <w:tcPr>
            <w:tcW w:w="894" w:type="pct"/>
            <w:tcBorders>
              <w:top w:val="nil"/>
              <w:left w:val="single" w:sz="8" w:space="0" w:color="auto"/>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29 741,50</w:t>
            </w:r>
          </w:p>
        </w:tc>
        <w:tc>
          <w:tcPr>
            <w:tcW w:w="517"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15 620,25</w:t>
            </w:r>
          </w:p>
        </w:tc>
        <w:tc>
          <w:tcPr>
            <w:tcW w:w="767"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9 921,22</w:t>
            </w:r>
          </w:p>
        </w:tc>
        <w:tc>
          <w:tcPr>
            <w:tcW w:w="965"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9 479,75</w:t>
            </w:r>
          </w:p>
        </w:tc>
        <w:tc>
          <w:tcPr>
            <w:tcW w:w="826" w:type="pct"/>
            <w:tcBorders>
              <w:top w:val="nil"/>
              <w:left w:val="nil"/>
              <w:bottom w:val="single" w:sz="4" w:space="0" w:color="auto"/>
              <w:right w:val="single" w:sz="8"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1 596,08</w:t>
            </w:r>
          </w:p>
        </w:tc>
      </w:tr>
      <w:tr>
        <w:trPr>
          <w:trHeight w:val="658"/>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Результат исполнения бюджета (дефицит/профицит)</w:t>
            </w:r>
          </w:p>
        </w:tc>
        <w:tc>
          <w:tcPr>
            <w:tcW w:w="894" w:type="pct"/>
            <w:tcBorders>
              <w:top w:val="nil"/>
              <w:left w:val="single" w:sz="8" w:space="0" w:color="auto"/>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-2 819,49</w:t>
            </w:r>
          </w:p>
        </w:tc>
        <w:tc>
          <w:tcPr>
            <w:tcW w:w="517"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-1961,01</w:t>
            </w:r>
          </w:p>
        </w:tc>
        <w:tc>
          <w:tcPr>
            <w:tcW w:w="767"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-679,76</w:t>
            </w:r>
          </w:p>
        </w:tc>
        <w:tc>
          <w:tcPr>
            <w:tcW w:w="965" w:type="pct"/>
            <w:tcBorders>
              <w:top w:val="nil"/>
              <w:left w:val="nil"/>
              <w:bottom w:val="single" w:sz="4" w:space="0" w:color="auto"/>
              <w:right w:val="single" w:sz="4"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-171,60</w:t>
            </w:r>
          </w:p>
        </w:tc>
        <w:tc>
          <w:tcPr>
            <w:tcW w:w="826" w:type="pct"/>
            <w:tcBorders>
              <w:top w:val="nil"/>
              <w:left w:val="nil"/>
              <w:bottom w:val="single" w:sz="4" w:space="0" w:color="auto"/>
              <w:right w:val="single" w:sz="8" w:space="0" w:color="auto"/>
            </w:tcBorders>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-7,13</w:t>
            </w:r>
          </w:p>
        </w:tc>
      </w:tr>
      <w:tr>
        <w:trPr>
          <w:trHeight w:val="758"/>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финансирования дефицита бюджетов-всего</w:t>
            </w:r>
          </w:p>
        </w:tc>
        <w:tc>
          <w:tcPr>
            <w:tcW w:w="894" w:type="pct"/>
            <w:tcBorders>
              <w:top w:val="nil"/>
              <w:left w:val="single" w:sz="8" w:space="0" w:color="auto"/>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2 819,49</w:t>
            </w:r>
          </w:p>
        </w:tc>
        <w:tc>
          <w:tcPr>
            <w:tcW w:w="51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1 961,01</w:t>
            </w:r>
          </w:p>
        </w:tc>
        <w:tc>
          <w:tcPr>
            <w:tcW w:w="76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679,76</w:t>
            </w:r>
          </w:p>
        </w:tc>
        <w:tc>
          <w:tcPr>
            <w:tcW w:w="965"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171,60</w:t>
            </w:r>
          </w:p>
        </w:tc>
        <w:tc>
          <w:tcPr>
            <w:tcW w:w="826" w:type="pct"/>
            <w:tcBorders>
              <w:top w:val="nil"/>
              <w:left w:val="nil"/>
              <w:bottom w:val="single" w:sz="4" w:space="0" w:color="auto"/>
              <w:right w:val="single" w:sz="8"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7,13</w:t>
            </w:r>
          </w:p>
        </w:tc>
      </w:tr>
      <w:tr>
        <w:trPr>
          <w:trHeight w:val="692"/>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Источники внутреннего финансирования дефицитов бюджетов</w:t>
            </w:r>
          </w:p>
        </w:tc>
        <w:tc>
          <w:tcPr>
            <w:tcW w:w="894" w:type="pct"/>
            <w:tcBorders>
              <w:top w:val="nil"/>
              <w:left w:val="single" w:sz="8" w:space="0" w:color="auto"/>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1 713,29</w:t>
            </w:r>
          </w:p>
        </w:tc>
        <w:tc>
          <w:tcPr>
            <w:tcW w:w="51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1 242,41</w:t>
            </w:r>
          </w:p>
        </w:tc>
        <w:tc>
          <w:tcPr>
            <w:tcW w:w="76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190,12</w:t>
            </w:r>
          </w:p>
        </w:tc>
        <w:tc>
          <w:tcPr>
            <w:tcW w:w="965"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280,77</w:t>
            </w:r>
          </w:p>
        </w:tc>
        <w:tc>
          <w:tcPr>
            <w:tcW w:w="826" w:type="pct"/>
            <w:tcBorders>
              <w:top w:val="nil"/>
              <w:left w:val="nil"/>
              <w:bottom w:val="single" w:sz="4" w:space="0" w:color="auto"/>
              <w:right w:val="single" w:sz="8"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w:t>
            </w:r>
          </w:p>
        </w:tc>
      </w:tr>
      <w:tr>
        <w:trPr>
          <w:trHeight w:val="60"/>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Источники внешнего финансирования дефицитов бюджетов</w:t>
            </w:r>
          </w:p>
        </w:tc>
        <w:tc>
          <w:tcPr>
            <w:tcW w:w="894" w:type="pct"/>
            <w:tcBorders>
              <w:top w:val="nil"/>
              <w:left w:val="single" w:sz="8" w:space="0" w:color="auto"/>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-295,99</w:t>
            </w:r>
          </w:p>
        </w:tc>
        <w:tc>
          <w:tcPr>
            <w:tcW w:w="51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-295,99</w:t>
            </w:r>
          </w:p>
        </w:tc>
        <w:tc>
          <w:tcPr>
            <w:tcW w:w="767"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p>
        </w:tc>
        <w:tc>
          <w:tcPr>
            <w:tcW w:w="965" w:type="pct"/>
            <w:tcBorders>
              <w:top w:val="nil"/>
              <w:left w:val="nil"/>
              <w:bottom w:val="single" w:sz="4"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p>
        </w:tc>
        <w:tc>
          <w:tcPr>
            <w:tcW w:w="826" w:type="pct"/>
            <w:tcBorders>
              <w:top w:val="nil"/>
              <w:left w:val="nil"/>
              <w:bottom w:val="single" w:sz="4" w:space="0" w:color="auto"/>
              <w:right w:val="single" w:sz="8"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w:t>
            </w:r>
          </w:p>
        </w:tc>
      </w:tr>
      <w:tr>
        <w:trPr>
          <w:trHeight w:val="279"/>
          <w:jc w:val="center"/>
        </w:trPr>
        <w:tc>
          <w:tcPr>
            <w:tcW w:w="1031" w:type="pct"/>
            <w:tcBorders>
              <w:top w:val="nil"/>
              <w:left w:val="single" w:sz="4" w:space="0" w:color="auto"/>
              <w:bottom w:val="single" w:sz="4" w:space="0" w:color="auto"/>
              <w:right w:val="nil"/>
            </w:tcBorders>
            <w:vAlign w:val="center"/>
            <w:hideMark/>
          </w:tcPr>
          <w:p>
            <w:pPr>
              <w:shd w:val="clear" w:color="auto" w:fill="FFFFFF"/>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Изменение остатков средств на счетах по учету средств бюджета</w:t>
            </w:r>
          </w:p>
        </w:tc>
        <w:tc>
          <w:tcPr>
            <w:tcW w:w="894" w:type="pct"/>
            <w:tcBorders>
              <w:top w:val="nil"/>
              <w:left w:val="single" w:sz="8" w:space="0" w:color="auto"/>
              <w:bottom w:val="single" w:sz="8"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1 402,19</w:t>
            </w:r>
          </w:p>
        </w:tc>
        <w:tc>
          <w:tcPr>
            <w:tcW w:w="517" w:type="pct"/>
            <w:tcBorders>
              <w:top w:val="nil"/>
              <w:left w:val="nil"/>
              <w:bottom w:val="single" w:sz="8"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1 014,59</w:t>
            </w:r>
          </w:p>
        </w:tc>
        <w:tc>
          <w:tcPr>
            <w:tcW w:w="767" w:type="pct"/>
            <w:tcBorders>
              <w:top w:val="nil"/>
              <w:left w:val="nil"/>
              <w:bottom w:val="single" w:sz="8"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rPr>
              <w:t>489,64</w:t>
            </w:r>
          </w:p>
        </w:tc>
        <w:tc>
          <w:tcPr>
            <w:tcW w:w="965" w:type="pct"/>
            <w:tcBorders>
              <w:top w:val="nil"/>
              <w:left w:val="nil"/>
              <w:bottom w:val="single" w:sz="8" w:space="0" w:color="auto"/>
              <w:right w:val="single" w:sz="4"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-109,17</w:t>
            </w:r>
          </w:p>
        </w:tc>
        <w:tc>
          <w:tcPr>
            <w:tcW w:w="826" w:type="pct"/>
            <w:tcBorders>
              <w:top w:val="nil"/>
              <w:left w:val="nil"/>
              <w:bottom w:val="single" w:sz="8" w:space="0" w:color="auto"/>
              <w:right w:val="single" w:sz="8" w:space="0" w:color="auto"/>
            </w:tcBorders>
            <w:noWrap/>
            <w:vAlign w:val="center"/>
            <w:hideMark/>
          </w:tcPr>
          <w:p>
            <w:pPr>
              <w:shd w:val="clear" w:color="auto" w:fill="FFFFFF"/>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7,13</w:t>
            </w:r>
          </w:p>
        </w:tc>
      </w:tr>
    </w:tbl>
    <w:p>
      <w:pPr>
        <w:spacing w:line="240" w:lineRule="atLeast"/>
        <w:ind w:firstLine="72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Состояние активов и обязательств Российской Федерации по бюджетной (бухгалтерской) отчетности </w:t>
      </w:r>
      <w:r>
        <w:rPr>
          <w:rFonts w:ascii="Times New Roman" w:hAnsi="Times New Roman"/>
          <w:color w:val="000000" w:themeColor="text1"/>
          <w:sz w:val="28"/>
          <w:szCs w:val="28"/>
        </w:rPr>
        <w:br/>
        <w:t>по состоянию на 1 января 2016 года отражено в таблице 6.</w:t>
      </w:r>
    </w:p>
    <w:p>
      <w:pPr>
        <w:spacing w:before="240" w:after="120" w:line="240" w:lineRule="auto"/>
        <w:ind w:firstLine="12474"/>
        <w:jc w:val="both"/>
        <w:rPr>
          <w:rFonts w:ascii="Times New Roman" w:hAnsi="Times New Roman"/>
          <w:color w:val="000000" w:themeColor="text1"/>
          <w:sz w:val="28"/>
          <w:szCs w:val="28"/>
        </w:rPr>
      </w:pPr>
      <w:r>
        <w:rPr>
          <w:rFonts w:ascii="Times New Roman" w:hAnsi="Times New Roman"/>
          <w:color w:val="000000" w:themeColor="text1"/>
          <w:sz w:val="28"/>
          <w:szCs w:val="28"/>
        </w:rPr>
        <w:t>Таблица 6</w:t>
      </w:r>
    </w:p>
    <w:p>
      <w:pPr>
        <w:spacing w:after="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Баланс об исполнении консолидированного бюджета Российской Федерации и бюджетов государственных</w:t>
      </w:r>
    </w:p>
    <w:p>
      <w:pPr>
        <w:spacing w:after="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внебюджетных фондов по состоянию на 1 января 2016 года</w:t>
      </w:r>
    </w:p>
    <w:tbl>
      <w:tblPr>
        <w:tblpPr w:leftFromText="180" w:rightFromText="180" w:vertAnchor="page" w:horzAnchor="margin" w:tblpY="4547"/>
        <w:tblW w:w="13651" w:type="dxa"/>
        <w:tblLayout w:type="fixed"/>
        <w:tblLook w:val="04A0" w:firstRow="1" w:lastRow="0" w:firstColumn="1" w:lastColumn="0" w:noHBand="0" w:noVBand="1"/>
      </w:tblPr>
      <w:tblGrid>
        <w:gridCol w:w="2105"/>
        <w:gridCol w:w="2708"/>
        <w:gridCol w:w="1853"/>
        <w:gridCol w:w="2138"/>
        <w:gridCol w:w="2281"/>
        <w:gridCol w:w="2566"/>
      </w:tblGrid>
      <w:tr>
        <w:trPr>
          <w:trHeight w:val="1204"/>
        </w:trPr>
        <w:tc>
          <w:tcPr>
            <w:tcW w:w="2105" w:type="dxa"/>
            <w:tcBorders>
              <w:top w:val="single" w:sz="4" w:space="0" w:color="auto"/>
              <w:left w:val="single" w:sz="4" w:space="0" w:color="auto"/>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Наименование показателя</w:t>
            </w:r>
          </w:p>
        </w:tc>
        <w:tc>
          <w:tcPr>
            <w:tcW w:w="2708" w:type="dxa"/>
            <w:tcBorders>
              <w:top w:val="single" w:sz="4" w:space="0" w:color="auto"/>
              <w:left w:val="nil"/>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 xml:space="preserve">Консолидированный бюджет Российской Федерации и бюджетов государственных внебюджетных фондов, </w:t>
            </w:r>
            <w:r>
              <w:rPr>
                <w:rFonts w:ascii="Times New Roman" w:hAnsi="Times New Roman"/>
                <w:b/>
                <w:bCs/>
                <w:iCs/>
                <w:color w:val="000000" w:themeColor="text1"/>
              </w:rPr>
              <w:t>млрд рублей</w:t>
            </w:r>
          </w:p>
        </w:tc>
        <w:tc>
          <w:tcPr>
            <w:tcW w:w="1853" w:type="dxa"/>
            <w:tcBorders>
              <w:top w:val="single" w:sz="4" w:space="0" w:color="auto"/>
              <w:left w:val="nil"/>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 xml:space="preserve">Федеральный бюджет </w:t>
            </w:r>
            <w:r>
              <w:rPr>
                <w:rFonts w:ascii="Times New Roman" w:hAnsi="Times New Roman"/>
                <w:b/>
                <w:bCs/>
                <w:iCs/>
                <w:color w:val="000000" w:themeColor="text1"/>
              </w:rPr>
              <w:t>млрд рублей</w:t>
            </w:r>
          </w:p>
        </w:tc>
        <w:tc>
          <w:tcPr>
            <w:tcW w:w="2138" w:type="dxa"/>
            <w:tcBorders>
              <w:top w:val="single" w:sz="4" w:space="0" w:color="auto"/>
              <w:left w:val="nil"/>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 xml:space="preserve">Бюджеты государственных внебюджетных фондов, </w:t>
            </w:r>
            <w:r>
              <w:rPr>
                <w:rFonts w:ascii="Times New Roman" w:hAnsi="Times New Roman"/>
                <w:b/>
                <w:bCs/>
                <w:iCs/>
                <w:color w:val="000000" w:themeColor="text1"/>
              </w:rPr>
              <w:t>млрд рублей</w:t>
            </w:r>
          </w:p>
        </w:tc>
        <w:tc>
          <w:tcPr>
            <w:tcW w:w="2281" w:type="dxa"/>
            <w:tcBorders>
              <w:top w:val="single" w:sz="4" w:space="0" w:color="auto"/>
              <w:left w:val="nil"/>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 xml:space="preserve">Консолидированные бюджеты субъектов Российской Федерации </w:t>
            </w:r>
            <w:r>
              <w:rPr>
                <w:rFonts w:ascii="Times New Roman" w:hAnsi="Times New Roman"/>
                <w:b/>
                <w:bCs/>
                <w:iCs/>
                <w:color w:val="000000" w:themeColor="text1"/>
              </w:rPr>
              <w:t>млрд рублей</w:t>
            </w:r>
          </w:p>
        </w:tc>
        <w:tc>
          <w:tcPr>
            <w:tcW w:w="2566" w:type="dxa"/>
            <w:tcBorders>
              <w:top w:val="single" w:sz="4" w:space="0" w:color="auto"/>
              <w:left w:val="nil"/>
              <w:bottom w:val="single" w:sz="4" w:space="0" w:color="auto"/>
              <w:right w:val="single" w:sz="4" w:space="0" w:color="auto"/>
            </w:tcBorders>
            <w:vAlign w:val="center"/>
            <w:hideMark/>
          </w:tcPr>
          <w:p>
            <w:pPr>
              <w:spacing w:after="0" w:line="240" w:lineRule="atLeast"/>
              <w:jc w:val="center"/>
              <w:rPr>
                <w:rFonts w:ascii="Times New Roman" w:hAnsi="Times New Roman"/>
                <w:b/>
                <w:color w:val="000000" w:themeColor="text1"/>
              </w:rPr>
            </w:pPr>
            <w:r>
              <w:rPr>
                <w:rFonts w:ascii="Times New Roman" w:hAnsi="Times New Roman"/>
                <w:b/>
                <w:color w:val="000000" w:themeColor="text1"/>
              </w:rPr>
              <w:t xml:space="preserve">Бюджеты территориальных государственных внебюджетных фондов, </w:t>
            </w:r>
            <w:r>
              <w:rPr>
                <w:rFonts w:ascii="Times New Roman" w:hAnsi="Times New Roman"/>
                <w:b/>
                <w:bCs/>
                <w:iCs/>
                <w:color w:val="000000" w:themeColor="text1"/>
              </w:rPr>
              <w:t>млрд рублей</w:t>
            </w:r>
          </w:p>
        </w:tc>
      </w:tr>
      <w:tr>
        <w:trPr>
          <w:trHeight w:val="234"/>
        </w:trPr>
        <w:tc>
          <w:tcPr>
            <w:tcW w:w="2105" w:type="dxa"/>
            <w:tcBorders>
              <w:top w:val="nil"/>
              <w:left w:val="single" w:sz="4" w:space="0" w:color="auto"/>
              <w:bottom w:val="single" w:sz="4" w:space="0" w:color="auto"/>
              <w:right w:val="single" w:sz="4" w:space="0" w:color="auto"/>
            </w:tcBorders>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1</w:t>
            </w:r>
          </w:p>
        </w:tc>
        <w:tc>
          <w:tcPr>
            <w:tcW w:w="2708" w:type="dxa"/>
            <w:tcBorders>
              <w:top w:val="nil"/>
              <w:left w:val="nil"/>
              <w:bottom w:val="single" w:sz="8" w:space="0" w:color="auto"/>
              <w:right w:val="single" w:sz="4" w:space="0" w:color="auto"/>
            </w:tcBorders>
            <w:noWrap/>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2</w:t>
            </w:r>
          </w:p>
        </w:tc>
        <w:tc>
          <w:tcPr>
            <w:tcW w:w="1853" w:type="dxa"/>
            <w:tcBorders>
              <w:top w:val="nil"/>
              <w:left w:val="nil"/>
              <w:bottom w:val="single" w:sz="8" w:space="0" w:color="auto"/>
              <w:right w:val="single" w:sz="4" w:space="0" w:color="auto"/>
            </w:tcBorders>
            <w:noWrap/>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3</w:t>
            </w:r>
          </w:p>
        </w:tc>
        <w:tc>
          <w:tcPr>
            <w:tcW w:w="2138" w:type="dxa"/>
            <w:tcBorders>
              <w:top w:val="nil"/>
              <w:left w:val="nil"/>
              <w:bottom w:val="single" w:sz="8" w:space="0" w:color="auto"/>
              <w:right w:val="single" w:sz="4" w:space="0" w:color="auto"/>
            </w:tcBorders>
            <w:noWrap/>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4</w:t>
            </w:r>
          </w:p>
        </w:tc>
        <w:tc>
          <w:tcPr>
            <w:tcW w:w="2281" w:type="dxa"/>
            <w:tcBorders>
              <w:top w:val="nil"/>
              <w:left w:val="nil"/>
              <w:bottom w:val="single" w:sz="8" w:space="0" w:color="auto"/>
              <w:right w:val="single" w:sz="4" w:space="0" w:color="auto"/>
            </w:tcBorders>
            <w:noWrap/>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5</w:t>
            </w:r>
          </w:p>
        </w:tc>
        <w:tc>
          <w:tcPr>
            <w:tcW w:w="2566" w:type="dxa"/>
            <w:tcBorders>
              <w:top w:val="nil"/>
              <w:left w:val="nil"/>
              <w:bottom w:val="single" w:sz="8" w:space="0" w:color="auto"/>
              <w:right w:val="single" w:sz="4" w:space="0" w:color="auto"/>
            </w:tcBorders>
            <w:noWrap/>
            <w:vAlign w:val="center"/>
            <w:hideMark/>
          </w:tcPr>
          <w:p>
            <w:pPr>
              <w:spacing w:after="0" w:line="240" w:lineRule="atLeast"/>
              <w:ind w:firstLine="709"/>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6</w:t>
            </w:r>
          </w:p>
        </w:tc>
      </w:tr>
      <w:tr>
        <w:trPr>
          <w:trHeight w:val="450"/>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АКТИВ</w:t>
            </w:r>
          </w:p>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 Нефинансовые активы</w:t>
            </w:r>
          </w:p>
        </w:tc>
        <w:tc>
          <w:tcPr>
            <w:tcW w:w="2708" w:type="dxa"/>
            <w:tcBorders>
              <w:top w:val="nil"/>
              <w:left w:val="single" w:sz="8" w:space="0" w:color="auto"/>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40 906,17</w:t>
            </w:r>
          </w:p>
        </w:tc>
        <w:tc>
          <w:tcPr>
            <w:tcW w:w="1853"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25 853,62</w:t>
            </w:r>
          </w:p>
        </w:tc>
        <w:tc>
          <w:tcPr>
            <w:tcW w:w="2138"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67,91</w:t>
            </w:r>
          </w:p>
        </w:tc>
        <w:tc>
          <w:tcPr>
            <w:tcW w:w="2281"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14 980,33</w:t>
            </w:r>
          </w:p>
        </w:tc>
        <w:tc>
          <w:tcPr>
            <w:tcW w:w="2566" w:type="dxa"/>
            <w:tcBorders>
              <w:top w:val="nil"/>
              <w:left w:val="nil"/>
              <w:bottom w:val="single" w:sz="4" w:space="0" w:color="auto"/>
              <w:right w:val="single" w:sz="8"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4,32</w:t>
            </w:r>
          </w:p>
        </w:tc>
      </w:tr>
      <w:tr>
        <w:trPr>
          <w:trHeight w:val="302"/>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II. Финансовые активы</w:t>
            </w:r>
          </w:p>
        </w:tc>
        <w:tc>
          <w:tcPr>
            <w:tcW w:w="2708" w:type="dxa"/>
            <w:tcBorders>
              <w:top w:val="nil"/>
              <w:left w:val="single" w:sz="8" w:space="0" w:color="auto"/>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48 977,27</w:t>
            </w:r>
          </w:p>
        </w:tc>
        <w:tc>
          <w:tcPr>
            <w:tcW w:w="1853"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31 912,64</w:t>
            </w:r>
          </w:p>
        </w:tc>
        <w:tc>
          <w:tcPr>
            <w:tcW w:w="2138"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2 886,14</w:t>
            </w:r>
          </w:p>
        </w:tc>
        <w:tc>
          <w:tcPr>
            <w:tcW w:w="2281"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15 036,79</w:t>
            </w:r>
          </w:p>
        </w:tc>
        <w:tc>
          <w:tcPr>
            <w:tcW w:w="2566" w:type="dxa"/>
            <w:tcBorders>
              <w:top w:val="nil"/>
              <w:left w:val="nil"/>
              <w:bottom w:val="single" w:sz="4" w:space="0" w:color="auto"/>
              <w:right w:val="single" w:sz="8"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57,50</w:t>
            </w:r>
          </w:p>
        </w:tc>
      </w:tr>
      <w:tr>
        <w:trPr>
          <w:trHeight w:val="94"/>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
                <w:bCs/>
                <w:color w:val="000000" w:themeColor="text1"/>
                <w:sz w:val="24"/>
                <w:szCs w:val="24"/>
              </w:rPr>
            </w:pPr>
            <w:r>
              <w:rPr>
                <w:rFonts w:ascii="Times New Roman" w:hAnsi="Times New Roman"/>
                <w:b/>
                <w:bCs/>
                <w:color w:val="000000" w:themeColor="text1"/>
                <w:sz w:val="24"/>
                <w:szCs w:val="24"/>
              </w:rPr>
              <w:t>Баланс</w:t>
            </w:r>
          </w:p>
        </w:tc>
        <w:tc>
          <w:tcPr>
            <w:tcW w:w="2708" w:type="dxa"/>
            <w:tcBorders>
              <w:top w:val="nil"/>
              <w:left w:val="single" w:sz="8" w:space="0" w:color="auto"/>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89 883,44</w:t>
            </w:r>
          </w:p>
        </w:tc>
        <w:tc>
          <w:tcPr>
            <w:tcW w:w="1853"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57 766,26</w:t>
            </w:r>
          </w:p>
        </w:tc>
        <w:tc>
          <w:tcPr>
            <w:tcW w:w="2138"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2 954,05</w:t>
            </w:r>
          </w:p>
        </w:tc>
        <w:tc>
          <w:tcPr>
            <w:tcW w:w="2281"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30 017,12</w:t>
            </w:r>
          </w:p>
        </w:tc>
        <w:tc>
          <w:tcPr>
            <w:tcW w:w="2566" w:type="dxa"/>
            <w:tcBorders>
              <w:top w:val="nil"/>
              <w:left w:val="nil"/>
              <w:bottom w:val="single" w:sz="4" w:space="0" w:color="auto"/>
              <w:right w:val="single" w:sz="8" w:space="0" w:color="auto"/>
            </w:tcBorders>
            <w:noWrap/>
            <w:vAlign w:val="center"/>
            <w:hideMark/>
          </w:tcPr>
          <w:p>
            <w:pPr>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61,82</w:t>
            </w:r>
          </w:p>
        </w:tc>
      </w:tr>
      <w:tr>
        <w:trPr>
          <w:trHeight w:val="268"/>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ПАССИВ</w:t>
            </w:r>
          </w:p>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III. Обязательства</w:t>
            </w:r>
          </w:p>
        </w:tc>
        <w:tc>
          <w:tcPr>
            <w:tcW w:w="2708" w:type="dxa"/>
            <w:tcBorders>
              <w:top w:val="nil"/>
              <w:left w:val="single" w:sz="8" w:space="0" w:color="auto"/>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13 144,49</w:t>
            </w:r>
          </w:p>
        </w:tc>
        <w:tc>
          <w:tcPr>
            <w:tcW w:w="1853"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9 802,20</w:t>
            </w:r>
          </w:p>
        </w:tc>
        <w:tc>
          <w:tcPr>
            <w:tcW w:w="2138"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1 005,19</w:t>
            </w:r>
          </w:p>
        </w:tc>
        <w:tc>
          <w:tcPr>
            <w:tcW w:w="2281"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3 240,12</w:t>
            </w:r>
          </w:p>
        </w:tc>
        <w:tc>
          <w:tcPr>
            <w:tcW w:w="2566" w:type="dxa"/>
            <w:tcBorders>
              <w:top w:val="nil"/>
              <w:left w:val="nil"/>
              <w:bottom w:val="single" w:sz="4" w:space="0" w:color="auto"/>
              <w:right w:val="single" w:sz="8"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12,80</w:t>
            </w:r>
          </w:p>
        </w:tc>
      </w:tr>
      <w:tr>
        <w:trPr>
          <w:trHeight w:val="292"/>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IV. Финансовый результат</w:t>
            </w:r>
          </w:p>
        </w:tc>
        <w:tc>
          <w:tcPr>
            <w:tcW w:w="2708" w:type="dxa"/>
            <w:tcBorders>
              <w:top w:val="nil"/>
              <w:left w:val="single" w:sz="8" w:space="0" w:color="auto"/>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76 738,95</w:t>
            </w:r>
          </w:p>
        </w:tc>
        <w:tc>
          <w:tcPr>
            <w:tcW w:w="1853"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47 964,06</w:t>
            </w:r>
          </w:p>
        </w:tc>
        <w:tc>
          <w:tcPr>
            <w:tcW w:w="2138" w:type="dxa"/>
            <w:tcBorders>
              <w:top w:val="nil"/>
              <w:left w:val="nil"/>
              <w:bottom w:val="single" w:sz="4" w:space="0" w:color="auto"/>
              <w:right w:val="single" w:sz="4"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1 948,86</w:t>
            </w:r>
          </w:p>
        </w:tc>
        <w:tc>
          <w:tcPr>
            <w:tcW w:w="2281" w:type="dxa"/>
            <w:tcBorders>
              <w:top w:val="nil"/>
              <w:left w:val="nil"/>
              <w:bottom w:val="single" w:sz="4" w:space="0" w:color="auto"/>
              <w:right w:val="single" w:sz="4" w:space="0" w:color="auto"/>
            </w:tcBorders>
            <w:noWrap/>
            <w:vAlign w:val="center"/>
            <w:hideMark/>
          </w:tcPr>
          <w:p>
            <w:pPr>
              <w:spacing w:after="0" w:line="240" w:lineRule="atLeast"/>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26 777,00</w:t>
            </w:r>
          </w:p>
        </w:tc>
        <w:tc>
          <w:tcPr>
            <w:tcW w:w="2566" w:type="dxa"/>
            <w:tcBorders>
              <w:top w:val="nil"/>
              <w:left w:val="nil"/>
              <w:bottom w:val="single" w:sz="4" w:space="0" w:color="auto"/>
              <w:right w:val="single" w:sz="8" w:space="0" w:color="auto"/>
            </w:tcBorders>
            <w:noWrap/>
            <w:vAlign w:val="center"/>
            <w:hideMark/>
          </w:tcPr>
          <w:p>
            <w:pPr>
              <w:spacing w:after="0" w:line="240" w:lineRule="atLeast"/>
              <w:ind w:firstLine="709"/>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49,02</w:t>
            </w:r>
          </w:p>
        </w:tc>
      </w:tr>
      <w:tr>
        <w:trPr>
          <w:trHeight w:val="462"/>
        </w:trPr>
        <w:tc>
          <w:tcPr>
            <w:tcW w:w="2105" w:type="dxa"/>
            <w:tcBorders>
              <w:top w:val="nil"/>
              <w:left w:val="single" w:sz="4" w:space="0" w:color="auto"/>
              <w:bottom w:val="single" w:sz="4" w:space="0" w:color="auto"/>
              <w:right w:val="nil"/>
            </w:tcBorders>
            <w:vAlign w:val="center"/>
            <w:hideMark/>
          </w:tcPr>
          <w:p>
            <w:pPr>
              <w:spacing w:after="0" w:line="240" w:lineRule="atLeast"/>
              <w:rPr>
                <w:rFonts w:ascii="Times New Roman" w:hAnsi="Times New Roman"/>
                <w:b/>
                <w:bCs/>
                <w:color w:val="000000" w:themeColor="text1"/>
                <w:sz w:val="24"/>
                <w:szCs w:val="24"/>
              </w:rPr>
            </w:pPr>
            <w:r>
              <w:rPr>
                <w:rFonts w:ascii="Times New Roman" w:hAnsi="Times New Roman"/>
                <w:b/>
                <w:bCs/>
                <w:color w:val="000000" w:themeColor="text1"/>
                <w:sz w:val="24"/>
                <w:szCs w:val="24"/>
              </w:rPr>
              <w:t>Баланс</w:t>
            </w:r>
          </w:p>
        </w:tc>
        <w:tc>
          <w:tcPr>
            <w:tcW w:w="2708" w:type="dxa"/>
            <w:tcBorders>
              <w:top w:val="nil"/>
              <w:left w:val="single" w:sz="8" w:space="0" w:color="auto"/>
              <w:bottom w:val="single" w:sz="8" w:space="0" w:color="auto"/>
              <w:right w:val="single" w:sz="4" w:space="0" w:color="auto"/>
            </w:tcBorders>
            <w:noWrap/>
            <w:vAlign w:val="center"/>
            <w:hideMark/>
          </w:tcPr>
          <w:p>
            <w:pPr>
              <w:tabs>
                <w:tab w:val="left" w:pos="1498"/>
              </w:tabs>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89 883,44</w:t>
            </w:r>
          </w:p>
        </w:tc>
        <w:tc>
          <w:tcPr>
            <w:tcW w:w="1853" w:type="dxa"/>
            <w:tcBorders>
              <w:top w:val="nil"/>
              <w:left w:val="nil"/>
              <w:bottom w:val="single" w:sz="8" w:space="0" w:color="auto"/>
              <w:right w:val="single" w:sz="4" w:space="0" w:color="auto"/>
            </w:tcBorders>
            <w:noWrap/>
            <w:vAlign w:val="center"/>
            <w:hideMark/>
          </w:tcPr>
          <w:p>
            <w:pPr>
              <w:spacing w:after="0" w:line="240" w:lineRule="atLeast"/>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57 766,26</w:t>
            </w:r>
          </w:p>
        </w:tc>
        <w:tc>
          <w:tcPr>
            <w:tcW w:w="2138" w:type="dxa"/>
            <w:tcBorders>
              <w:top w:val="nil"/>
              <w:left w:val="nil"/>
              <w:bottom w:val="single" w:sz="8" w:space="0" w:color="auto"/>
              <w:right w:val="single" w:sz="4" w:space="0" w:color="auto"/>
            </w:tcBorders>
            <w:noWrap/>
            <w:vAlign w:val="center"/>
            <w:hideMark/>
          </w:tcPr>
          <w:p>
            <w:pPr>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2 954,05</w:t>
            </w:r>
          </w:p>
        </w:tc>
        <w:tc>
          <w:tcPr>
            <w:tcW w:w="2281" w:type="dxa"/>
            <w:tcBorders>
              <w:top w:val="nil"/>
              <w:left w:val="nil"/>
              <w:bottom w:val="single" w:sz="8" w:space="0" w:color="auto"/>
              <w:right w:val="single" w:sz="4" w:space="0" w:color="auto"/>
            </w:tcBorders>
            <w:noWrap/>
            <w:vAlign w:val="center"/>
            <w:hideMark/>
          </w:tcPr>
          <w:p>
            <w:pPr>
              <w:spacing w:after="0" w:line="240" w:lineRule="atLeast"/>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30 017,12</w:t>
            </w:r>
          </w:p>
        </w:tc>
        <w:tc>
          <w:tcPr>
            <w:tcW w:w="2566" w:type="dxa"/>
            <w:tcBorders>
              <w:top w:val="nil"/>
              <w:left w:val="nil"/>
              <w:bottom w:val="single" w:sz="8" w:space="0" w:color="auto"/>
              <w:right w:val="single" w:sz="8" w:space="0" w:color="auto"/>
            </w:tcBorders>
            <w:noWrap/>
            <w:vAlign w:val="center"/>
            <w:hideMark/>
          </w:tcPr>
          <w:p>
            <w:pPr>
              <w:spacing w:after="0" w:line="240" w:lineRule="atLeast"/>
              <w:ind w:firstLine="709"/>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61,82</w:t>
            </w:r>
          </w:p>
        </w:tc>
      </w:tr>
    </w:tbl>
    <w:p>
      <w:pPr>
        <w:spacing w:line="360" w:lineRule="atLeast"/>
        <w:ind w:firstLine="709"/>
        <w:jc w:val="both"/>
        <w:rPr>
          <w:rFonts w:ascii="Times New Roman" w:hAnsi="Times New Roman"/>
          <w:color w:val="000000" w:themeColor="text1"/>
          <w:sz w:val="28"/>
          <w:szCs w:val="28"/>
        </w:rPr>
      </w:pPr>
    </w:p>
    <w:p>
      <w:pPr>
        <w:spacing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Финансовые результаты деятельности и параметры движения денежных средств, достигнутые в процессе исполнения бюджетов бюджетной системы Российской Федерации, представлены в таблицах 7 и 8.</w:t>
      </w:r>
    </w:p>
    <w:p>
      <w:pPr>
        <w:pageBreakBefore/>
        <w:spacing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7</w:t>
      </w:r>
    </w:p>
    <w:tbl>
      <w:tblPr>
        <w:tblW w:w="5000" w:type="pct"/>
        <w:tblLook w:val="04A0" w:firstRow="1" w:lastRow="0" w:firstColumn="1" w:lastColumn="0" w:noHBand="0" w:noVBand="1"/>
      </w:tblPr>
      <w:tblGrid>
        <w:gridCol w:w="337"/>
        <w:gridCol w:w="2156"/>
        <w:gridCol w:w="2510"/>
        <w:gridCol w:w="2022"/>
        <w:gridCol w:w="2485"/>
        <w:gridCol w:w="2293"/>
        <w:gridCol w:w="1831"/>
        <w:gridCol w:w="641"/>
      </w:tblGrid>
      <w:tr>
        <w:trPr>
          <w:trHeight w:val="765"/>
        </w:trPr>
        <w:tc>
          <w:tcPr>
            <w:tcW w:w="122" w:type="pct"/>
            <w:tcBorders>
              <w:top w:val="nil"/>
              <w:left w:val="nil"/>
              <w:right w:val="nil"/>
            </w:tcBorders>
            <w:noWrap/>
            <w:vAlign w:val="bottom"/>
            <w:hideMark/>
          </w:tcPr>
          <w:p>
            <w:pPr>
              <w:spacing w:after="0" w:line="240" w:lineRule="auto"/>
              <w:jc w:val="center"/>
              <w:rPr>
                <w:rFonts w:ascii="Times New Roman" w:hAnsi="Times New Roman"/>
                <w:color w:val="000000" w:themeColor="text1"/>
                <w:sz w:val="28"/>
                <w:szCs w:val="28"/>
              </w:rPr>
            </w:pPr>
          </w:p>
        </w:tc>
        <w:tc>
          <w:tcPr>
            <w:tcW w:w="4650" w:type="pct"/>
            <w:gridSpan w:val="6"/>
            <w:tcBorders>
              <w:top w:val="nil"/>
              <w:left w:val="nil"/>
              <w:right w:val="nil"/>
            </w:tcBorders>
            <w:vAlign w:val="bottom"/>
            <w:hideMark/>
          </w:tcPr>
          <w:p>
            <w:pPr>
              <w:spacing w:after="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Отчет о финансовых результатах деятельности консолидированного бюджета Российской Федерации и бюджетов государственных внебюджетных фондов за 2015 год</w:t>
            </w:r>
          </w:p>
        </w:tc>
        <w:tc>
          <w:tcPr>
            <w:tcW w:w="228" w:type="pct"/>
            <w:tcBorders>
              <w:top w:val="nil"/>
              <w:left w:val="nil"/>
              <w:right w:val="nil"/>
            </w:tcBorders>
            <w:vAlign w:val="bottom"/>
            <w:hideMark/>
          </w:tcPr>
          <w:p>
            <w:pPr>
              <w:spacing w:after="0" w:line="240" w:lineRule="auto"/>
              <w:jc w:val="center"/>
              <w:rPr>
                <w:rFonts w:ascii="Times New Roman" w:hAnsi="Times New Roman"/>
                <w:b/>
                <w:bCs/>
                <w:color w:val="000000" w:themeColor="text1"/>
                <w:sz w:val="28"/>
                <w:szCs w:val="28"/>
              </w:rPr>
            </w:pPr>
          </w:p>
        </w:tc>
      </w:tr>
      <w:tr>
        <w:trPr>
          <w:trHeight w:val="1181"/>
        </w:trPr>
        <w:tc>
          <w:tcPr>
            <w:tcW w:w="8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Наименование показателя</w:t>
            </w:r>
          </w:p>
        </w:tc>
        <w:tc>
          <w:tcPr>
            <w:tcW w:w="883"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 xml:space="preserve">Консолидированный бюджет Российской Федерации и бюджетов государственных внебюджетных фондов, </w:t>
            </w:r>
            <w:r>
              <w:rPr>
                <w:rFonts w:ascii="Times New Roman" w:hAnsi="Times New Roman"/>
                <w:b/>
                <w:bCs/>
                <w:iCs/>
                <w:color w:val="000000" w:themeColor="text1"/>
              </w:rPr>
              <w:t>млрд рублей</w:t>
            </w:r>
          </w:p>
        </w:tc>
        <w:tc>
          <w:tcPr>
            <w:tcW w:w="712"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Федеральный бюджет</w:t>
            </w:r>
          </w:p>
        </w:tc>
        <w:tc>
          <w:tcPr>
            <w:tcW w:w="874"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 xml:space="preserve">Бюджеты государственных внебюджетных фондов, </w:t>
            </w:r>
            <w:r>
              <w:rPr>
                <w:rFonts w:ascii="Times New Roman" w:hAnsi="Times New Roman"/>
                <w:b/>
                <w:bCs/>
                <w:iCs/>
                <w:color w:val="000000" w:themeColor="text1"/>
              </w:rPr>
              <w:t>млрд рублей</w:t>
            </w:r>
          </w:p>
        </w:tc>
        <w:tc>
          <w:tcPr>
            <w:tcW w:w="777"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Консолидированные бюджеты субъектов Российской Федерации</w:t>
            </w:r>
          </w:p>
        </w:tc>
        <w:tc>
          <w:tcPr>
            <w:tcW w:w="869" w:type="pct"/>
            <w:gridSpan w:val="2"/>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rPr>
            </w:pPr>
            <w:r>
              <w:rPr>
                <w:rFonts w:ascii="Times New Roman" w:hAnsi="Times New Roman"/>
                <w:b/>
                <w:color w:val="000000" w:themeColor="text1"/>
              </w:rPr>
              <w:t xml:space="preserve">Бюджеты территориальных государственных внебюджетных фондов, </w:t>
            </w:r>
            <w:r>
              <w:rPr>
                <w:rFonts w:ascii="Times New Roman" w:hAnsi="Times New Roman"/>
                <w:b/>
                <w:bCs/>
                <w:iCs/>
                <w:color w:val="000000" w:themeColor="text1"/>
              </w:rPr>
              <w:t>млрд рублей</w:t>
            </w:r>
          </w:p>
        </w:tc>
      </w:tr>
      <w:tr>
        <w:trPr>
          <w:trHeight w:val="300"/>
        </w:trPr>
        <w:tc>
          <w:tcPr>
            <w:tcW w:w="881" w:type="pct"/>
            <w:gridSpan w:val="2"/>
            <w:tcBorders>
              <w:top w:val="nil"/>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Метод начислений</w:t>
            </w:r>
          </w:p>
        </w:tc>
        <w:tc>
          <w:tcPr>
            <w:tcW w:w="883"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1</w:t>
            </w:r>
          </w:p>
        </w:tc>
        <w:tc>
          <w:tcPr>
            <w:tcW w:w="712"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2</w:t>
            </w:r>
          </w:p>
        </w:tc>
        <w:tc>
          <w:tcPr>
            <w:tcW w:w="874"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3</w:t>
            </w:r>
          </w:p>
        </w:tc>
        <w:tc>
          <w:tcPr>
            <w:tcW w:w="777"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4</w:t>
            </w:r>
          </w:p>
        </w:tc>
        <w:tc>
          <w:tcPr>
            <w:tcW w:w="869" w:type="pct"/>
            <w:gridSpan w:val="2"/>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5</w:t>
            </w:r>
          </w:p>
        </w:tc>
      </w:tr>
      <w:tr>
        <w:trPr>
          <w:trHeight w:val="499"/>
        </w:trPr>
        <w:tc>
          <w:tcPr>
            <w:tcW w:w="881" w:type="pct"/>
            <w:gridSpan w:val="2"/>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Доходы</w:t>
            </w:r>
          </w:p>
        </w:tc>
        <w:tc>
          <w:tcPr>
            <w:tcW w:w="883" w:type="pct"/>
            <w:tcBorders>
              <w:top w:val="single" w:sz="8" w:space="0" w:color="auto"/>
              <w:left w:val="single" w:sz="8"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29 103,92</w:t>
            </w:r>
          </w:p>
        </w:tc>
        <w:tc>
          <w:tcPr>
            <w:tcW w:w="712"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12 945,11</w:t>
            </w:r>
          </w:p>
        </w:tc>
        <w:tc>
          <w:tcPr>
            <w:tcW w:w="874"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9 272,40</w:t>
            </w:r>
          </w:p>
        </w:tc>
        <w:tc>
          <w:tcPr>
            <w:tcW w:w="777"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12 340,61</w:t>
            </w:r>
          </w:p>
        </w:tc>
        <w:tc>
          <w:tcPr>
            <w:tcW w:w="869" w:type="pct"/>
            <w:gridSpan w:val="2"/>
            <w:tcBorders>
              <w:top w:val="single" w:sz="8" w:space="0" w:color="auto"/>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1 592,57</w:t>
            </w:r>
          </w:p>
        </w:tc>
      </w:tr>
      <w:tr>
        <w:trPr>
          <w:trHeight w:val="435"/>
        </w:trPr>
        <w:tc>
          <w:tcPr>
            <w:tcW w:w="881" w:type="pct"/>
            <w:gridSpan w:val="2"/>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Расходы</w:t>
            </w:r>
          </w:p>
        </w:tc>
        <w:tc>
          <w:tcPr>
            <w:tcW w:w="883" w:type="pct"/>
            <w:tcBorders>
              <w:top w:val="nil"/>
              <w:left w:val="single" w:sz="8"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27 541,12</w:t>
            </w:r>
          </w:p>
        </w:tc>
        <w:tc>
          <w:tcPr>
            <w:tcW w:w="712"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13 285,16</w:t>
            </w:r>
          </w:p>
        </w:tc>
        <w:tc>
          <w:tcPr>
            <w:tcW w:w="874"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9 935,49</w:t>
            </w:r>
          </w:p>
        </w:tc>
        <w:tc>
          <w:tcPr>
            <w:tcW w:w="777"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rPr>
            </w:pPr>
            <w:r>
              <w:rPr>
                <w:rFonts w:ascii="Times New Roman" w:hAnsi="Times New Roman"/>
                <w:color w:val="000000" w:themeColor="text1"/>
                <w:sz w:val="24"/>
                <w:szCs w:val="24"/>
              </w:rPr>
              <w:t>9 763,31</w:t>
            </w:r>
          </w:p>
        </w:tc>
        <w:tc>
          <w:tcPr>
            <w:tcW w:w="869" w:type="pct"/>
            <w:gridSpan w:val="2"/>
            <w:tcBorders>
              <w:top w:val="nil"/>
              <w:left w:val="nil"/>
              <w:bottom w:val="single" w:sz="4" w:space="0" w:color="auto"/>
              <w:right w:val="single" w:sz="8"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1 603,92</w:t>
            </w:r>
          </w:p>
        </w:tc>
      </w:tr>
      <w:tr>
        <w:trPr>
          <w:trHeight w:val="527"/>
        </w:trPr>
        <w:tc>
          <w:tcPr>
            <w:tcW w:w="881" w:type="pct"/>
            <w:gridSpan w:val="2"/>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Чистый операционный результат</w:t>
            </w:r>
          </w:p>
        </w:tc>
        <w:tc>
          <w:tcPr>
            <w:tcW w:w="883" w:type="pct"/>
            <w:tcBorders>
              <w:top w:val="nil"/>
              <w:left w:val="single" w:sz="8"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1 562,80</w:t>
            </w:r>
          </w:p>
        </w:tc>
        <w:tc>
          <w:tcPr>
            <w:tcW w:w="712"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-340,05</w:t>
            </w:r>
          </w:p>
        </w:tc>
        <w:tc>
          <w:tcPr>
            <w:tcW w:w="874"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-663,09</w:t>
            </w:r>
          </w:p>
        </w:tc>
        <w:tc>
          <w:tcPr>
            <w:tcW w:w="777"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2 577,30</w:t>
            </w:r>
          </w:p>
        </w:tc>
        <w:tc>
          <w:tcPr>
            <w:tcW w:w="869" w:type="pct"/>
            <w:gridSpan w:val="2"/>
            <w:tcBorders>
              <w:top w:val="nil"/>
              <w:left w:val="nil"/>
              <w:bottom w:val="single" w:sz="4" w:space="0" w:color="auto"/>
              <w:right w:val="single" w:sz="8" w:space="0" w:color="auto"/>
            </w:tcBorders>
            <w:shd w:val="clear" w:color="auto" w:fill="FFFFFF"/>
            <w:vAlign w:val="center"/>
            <w:hideMark/>
          </w:tcPr>
          <w:p>
            <w:pPr>
              <w:spacing w:after="0" w:line="240" w:lineRule="auto"/>
              <w:jc w:val="right"/>
              <w:rPr>
                <w:rFonts w:ascii="Times New Roman" w:hAnsi="Times New Roman"/>
                <w:b/>
                <w:color w:val="000000" w:themeColor="text1"/>
                <w:sz w:val="24"/>
                <w:szCs w:val="24"/>
                <w:lang w:val="en-US"/>
              </w:rPr>
            </w:pPr>
            <w:r>
              <w:rPr>
                <w:rFonts w:ascii="Times New Roman" w:hAnsi="Times New Roman"/>
                <w:b/>
                <w:color w:val="000000" w:themeColor="text1"/>
                <w:sz w:val="24"/>
                <w:szCs w:val="24"/>
              </w:rPr>
              <w:t>-11, 35</w:t>
            </w:r>
          </w:p>
        </w:tc>
      </w:tr>
      <w:tr>
        <w:trPr>
          <w:trHeight w:val="535"/>
        </w:trPr>
        <w:tc>
          <w:tcPr>
            <w:tcW w:w="881" w:type="pct"/>
            <w:gridSpan w:val="2"/>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финансовыми активами</w:t>
            </w:r>
          </w:p>
        </w:tc>
        <w:tc>
          <w:tcPr>
            <w:tcW w:w="883" w:type="pct"/>
            <w:tcBorders>
              <w:top w:val="nil"/>
              <w:left w:val="single" w:sz="8"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1 929,59</w:t>
            </w:r>
          </w:p>
        </w:tc>
        <w:tc>
          <w:tcPr>
            <w:tcW w:w="712"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1 241,22</w:t>
            </w:r>
          </w:p>
        </w:tc>
        <w:tc>
          <w:tcPr>
            <w:tcW w:w="874"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-663,42</w:t>
            </w:r>
          </w:p>
        </w:tc>
        <w:tc>
          <w:tcPr>
            <w:tcW w:w="777"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1 525,31</w:t>
            </w:r>
          </w:p>
        </w:tc>
        <w:tc>
          <w:tcPr>
            <w:tcW w:w="869" w:type="pct"/>
            <w:gridSpan w:val="2"/>
            <w:tcBorders>
              <w:top w:val="nil"/>
              <w:left w:val="nil"/>
              <w:bottom w:val="single" w:sz="4" w:space="0" w:color="auto"/>
              <w:right w:val="single" w:sz="8" w:space="0" w:color="auto"/>
            </w:tcBorders>
            <w:shd w:val="clear" w:color="auto" w:fill="FFFFFF"/>
            <w:vAlign w:val="center"/>
            <w:hideMark/>
          </w:tcPr>
          <w:p>
            <w:pPr>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-12,52</w:t>
            </w:r>
          </w:p>
        </w:tc>
      </w:tr>
      <w:tr>
        <w:trPr>
          <w:trHeight w:val="543"/>
        </w:trPr>
        <w:tc>
          <w:tcPr>
            <w:tcW w:w="881" w:type="pct"/>
            <w:gridSpan w:val="2"/>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нефинансовыми активами</w:t>
            </w:r>
          </w:p>
        </w:tc>
        <w:tc>
          <w:tcPr>
            <w:tcW w:w="883" w:type="pct"/>
            <w:tcBorders>
              <w:top w:val="nil"/>
              <w:left w:val="single" w:sz="8"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291,54</w:t>
            </w:r>
          </w:p>
        </w:tc>
        <w:tc>
          <w:tcPr>
            <w:tcW w:w="712"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-1 036,55</w:t>
            </w:r>
          </w:p>
        </w:tc>
        <w:tc>
          <w:tcPr>
            <w:tcW w:w="87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-0,06</w:t>
            </w:r>
          </w:p>
        </w:tc>
        <w:tc>
          <w:tcPr>
            <w:tcW w:w="777"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1 327,35</w:t>
            </w:r>
          </w:p>
        </w:tc>
        <w:tc>
          <w:tcPr>
            <w:tcW w:w="869" w:type="pct"/>
            <w:gridSpan w:val="2"/>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0,81</w:t>
            </w:r>
          </w:p>
        </w:tc>
      </w:tr>
      <w:tr>
        <w:trPr>
          <w:trHeight w:val="395"/>
        </w:trPr>
        <w:tc>
          <w:tcPr>
            <w:tcW w:w="881" w:type="pct"/>
            <w:gridSpan w:val="2"/>
            <w:tcBorders>
              <w:top w:val="nil"/>
              <w:left w:val="single" w:sz="4" w:space="0" w:color="auto"/>
              <w:bottom w:val="single" w:sz="4" w:space="0" w:color="auto"/>
              <w:right w:val="single" w:sz="8" w:space="0" w:color="auto"/>
            </w:tcBorders>
            <w:shd w:val="clear" w:color="auto" w:fill="FFFFFF"/>
            <w:vAlign w:val="bottom"/>
            <w:hideMark/>
          </w:tcPr>
          <w:p>
            <w:pPr>
              <w:shd w:val="clear" w:color="auto" w:fill="FFFFFF"/>
              <w:spacing w:after="0" w:line="240" w:lineRule="auto"/>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обязательствами</w:t>
            </w:r>
          </w:p>
        </w:tc>
        <w:tc>
          <w:tcPr>
            <w:tcW w:w="883"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658,33</w:t>
            </w:r>
          </w:p>
        </w:tc>
        <w:tc>
          <w:tcPr>
            <w:tcW w:w="712"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544,72</w:t>
            </w:r>
          </w:p>
        </w:tc>
        <w:tc>
          <w:tcPr>
            <w:tcW w:w="874"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-0,39</w:t>
            </w:r>
          </w:p>
        </w:tc>
        <w:tc>
          <w:tcPr>
            <w:tcW w:w="777"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275,36</w:t>
            </w:r>
          </w:p>
        </w:tc>
        <w:tc>
          <w:tcPr>
            <w:tcW w:w="869" w:type="pct"/>
            <w:gridSpan w:val="2"/>
            <w:tcBorders>
              <w:top w:val="nil"/>
              <w:left w:val="nil"/>
              <w:bottom w:val="single" w:sz="8"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4"/>
                <w:szCs w:val="24"/>
                <w:lang w:val="en-US"/>
              </w:rPr>
            </w:pPr>
            <w:r>
              <w:rPr>
                <w:rFonts w:ascii="Times New Roman" w:hAnsi="Times New Roman"/>
                <w:color w:val="000000" w:themeColor="text1"/>
                <w:sz w:val="24"/>
                <w:szCs w:val="24"/>
              </w:rPr>
              <w:t>-0,36</w:t>
            </w:r>
          </w:p>
        </w:tc>
      </w:tr>
    </w:tbl>
    <w:p>
      <w:pPr>
        <w:pageBreakBefore/>
        <w:spacing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8</w:t>
      </w:r>
    </w:p>
    <w:p>
      <w:pPr>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Отчет о движении денежных средств по консолидированному бюджету Российской Федерации и бюджетам государственных внебюджетных фондов за 2015 год</w:t>
      </w:r>
    </w:p>
    <w:tbl>
      <w:tblPr>
        <w:tblW w:w="5000" w:type="pct"/>
        <w:tblLook w:val="04A0" w:firstRow="1" w:lastRow="0" w:firstColumn="1" w:lastColumn="0" w:noHBand="0" w:noVBand="1"/>
      </w:tblPr>
      <w:tblGrid>
        <w:gridCol w:w="2446"/>
        <w:gridCol w:w="679"/>
        <w:gridCol w:w="2692"/>
        <w:gridCol w:w="1939"/>
        <w:gridCol w:w="2153"/>
        <w:gridCol w:w="2156"/>
        <w:gridCol w:w="2210"/>
      </w:tblGrid>
      <w:tr>
        <w:trPr>
          <w:cantSplit/>
          <w:trHeight w:val="1345"/>
        </w:trPr>
        <w:tc>
          <w:tcPr>
            <w:tcW w:w="857"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ind w:hanging="34"/>
              <w:jc w:val="center"/>
              <w:rPr>
                <w:rFonts w:ascii="Times New Roman" w:hAnsi="Times New Roman"/>
                <w:b/>
                <w:color w:val="000000" w:themeColor="text1"/>
                <w:sz w:val="20"/>
                <w:szCs w:val="20"/>
              </w:rPr>
            </w:pPr>
            <w:r>
              <w:rPr>
                <w:rFonts w:ascii="Times New Roman" w:hAnsi="Times New Roman"/>
                <w:b/>
                <w:color w:val="000000" w:themeColor="text1"/>
                <w:sz w:val="20"/>
                <w:szCs w:val="20"/>
              </w:rPr>
              <w:t>Наименование показателя</w:t>
            </w:r>
          </w:p>
        </w:tc>
        <w:tc>
          <w:tcPr>
            <w:tcW w:w="238" w:type="pct"/>
            <w:tcBorders>
              <w:top w:val="single" w:sz="4" w:space="0" w:color="auto"/>
              <w:left w:val="nil"/>
              <w:bottom w:val="single" w:sz="4" w:space="0" w:color="auto"/>
              <w:right w:val="single" w:sz="4" w:space="0" w:color="auto"/>
            </w:tcBorders>
            <w:shd w:val="clear" w:color="auto" w:fill="FFFFFF"/>
            <w:textDirection w:val="btLr"/>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КОСГУ</w:t>
            </w:r>
          </w:p>
        </w:tc>
        <w:tc>
          <w:tcPr>
            <w:tcW w:w="943"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 xml:space="preserve">Консолидированный бюджет Российской Федерации и бюджетов государственных внебюджетных фондов, </w:t>
            </w:r>
            <w:r>
              <w:rPr>
                <w:rFonts w:ascii="Times New Roman" w:hAnsi="Times New Roman"/>
                <w:b/>
                <w:bCs/>
                <w:iCs/>
                <w:color w:val="000000" w:themeColor="text1"/>
                <w:sz w:val="20"/>
                <w:szCs w:val="20"/>
              </w:rPr>
              <w:t>млрд рублей</w:t>
            </w:r>
          </w:p>
        </w:tc>
        <w:tc>
          <w:tcPr>
            <w:tcW w:w="679"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 xml:space="preserve">Федеральный бюджет, </w:t>
            </w:r>
            <w:r>
              <w:rPr>
                <w:rFonts w:ascii="Times New Roman" w:hAnsi="Times New Roman"/>
                <w:b/>
                <w:bCs/>
                <w:iCs/>
                <w:color w:val="000000" w:themeColor="text1"/>
                <w:sz w:val="20"/>
                <w:szCs w:val="20"/>
              </w:rPr>
              <w:t>млрд рублей</w:t>
            </w:r>
          </w:p>
        </w:tc>
        <w:tc>
          <w:tcPr>
            <w:tcW w:w="754"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 xml:space="preserve">Бюджеты государственных внебюджетных фондов, </w:t>
            </w:r>
            <w:r>
              <w:rPr>
                <w:rFonts w:ascii="Times New Roman" w:hAnsi="Times New Roman"/>
                <w:b/>
                <w:bCs/>
                <w:iCs/>
                <w:color w:val="000000" w:themeColor="text1"/>
                <w:sz w:val="20"/>
                <w:szCs w:val="20"/>
              </w:rPr>
              <w:t>млрд рублей</w:t>
            </w:r>
          </w:p>
        </w:tc>
        <w:tc>
          <w:tcPr>
            <w:tcW w:w="755"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 xml:space="preserve">Консолидированные бюджеты субъектов Российской Федерации, </w:t>
            </w:r>
            <w:r>
              <w:rPr>
                <w:rFonts w:ascii="Times New Roman" w:hAnsi="Times New Roman"/>
                <w:b/>
                <w:bCs/>
                <w:iCs/>
                <w:color w:val="000000" w:themeColor="text1"/>
                <w:sz w:val="20"/>
                <w:szCs w:val="20"/>
              </w:rPr>
              <w:t>млрд рублей</w:t>
            </w:r>
          </w:p>
        </w:tc>
        <w:tc>
          <w:tcPr>
            <w:tcW w:w="775" w:type="pct"/>
            <w:tcBorders>
              <w:top w:val="single" w:sz="4"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 xml:space="preserve">Бюджеты территориальных государственных внебюджетных фондов, </w:t>
            </w:r>
            <w:r>
              <w:rPr>
                <w:rFonts w:ascii="Times New Roman" w:hAnsi="Times New Roman"/>
                <w:b/>
                <w:bCs/>
                <w:iCs/>
                <w:color w:val="000000" w:themeColor="text1"/>
                <w:sz w:val="20"/>
                <w:szCs w:val="20"/>
              </w:rPr>
              <w:t>млрд рублей</w:t>
            </w:r>
          </w:p>
        </w:tc>
      </w:tr>
      <w:tr>
        <w:trPr>
          <w:trHeight w:val="58"/>
        </w:trPr>
        <w:tc>
          <w:tcPr>
            <w:tcW w:w="857" w:type="pct"/>
            <w:tcBorders>
              <w:top w:val="nil"/>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Кассовый метод</w:t>
            </w:r>
          </w:p>
        </w:tc>
        <w:tc>
          <w:tcPr>
            <w:tcW w:w="238"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1</w:t>
            </w:r>
          </w:p>
        </w:tc>
        <w:tc>
          <w:tcPr>
            <w:tcW w:w="943"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2</w:t>
            </w:r>
          </w:p>
        </w:tc>
        <w:tc>
          <w:tcPr>
            <w:tcW w:w="679"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3</w:t>
            </w:r>
          </w:p>
        </w:tc>
        <w:tc>
          <w:tcPr>
            <w:tcW w:w="754"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4</w:t>
            </w:r>
          </w:p>
        </w:tc>
        <w:tc>
          <w:tcPr>
            <w:tcW w:w="755"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5</w:t>
            </w:r>
          </w:p>
        </w:tc>
        <w:tc>
          <w:tcPr>
            <w:tcW w:w="775" w:type="pct"/>
            <w:tcBorders>
              <w:top w:val="nil"/>
              <w:left w:val="nil"/>
              <w:bottom w:val="nil"/>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6</w:t>
            </w:r>
          </w:p>
        </w:tc>
      </w:tr>
      <w:tr>
        <w:trPr>
          <w:trHeight w:val="95"/>
        </w:trPr>
        <w:tc>
          <w:tcPr>
            <w:tcW w:w="857" w:type="pct"/>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0"/>
                <w:szCs w:val="20"/>
              </w:rPr>
            </w:pPr>
            <w:r>
              <w:rPr>
                <w:rFonts w:ascii="Times New Roman" w:hAnsi="Times New Roman"/>
                <w:bCs/>
                <w:color w:val="000000" w:themeColor="text1"/>
                <w:sz w:val="20"/>
                <w:szCs w:val="20"/>
              </w:rPr>
              <w:t>ПОСТУПЛЕНИЯ</w:t>
            </w:r>
          </w:p>
        </w:tc>
        <w:tc>
          <w:tcPr>
            <w:tcW w:w="238" w:type="pct"/>
            <w:tcBorders>
              <w:top w:val="single" w:sz="8" w:space="0" w:color="auto"/>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 </w:t>
            </w:r>
          </w:p>
        </w:tc>
        <w:tc>
          <w:tcPr>
            <w:tcW w:w="943"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44 932,56</w:t>
            </w:r>
          </w:p>
        </w:tc>
        <w:tc>
          <w:tcPr>
            <w:tcW w:w="679"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31 532,81</w:t>
            </w:r>
          </w:p>
        </w:tc>
        <w:tc>
          <w:tcPr>
            <w:tcW w:w="754"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9 173,11</w:t>
            </w:r>
          </w:p>
        </w:tc>
        <w:tc>
          <w:tcPr>
            <w:tcW w:w="755" w:type="pct"/>
            <w:tcBorders>
              <w:top w:val="single" w:sz="8" w:space="0" w:color="auto"/>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11 863,12</w:t>
            </w:r>
          </w:p>
        </w:tc>
        <w:tc>
          <w:tcPr>
            <w:tcW w:w="775" w:type="pct"/>
            <w:tcBorders>
              <w:top w:val="single" w:sz="8" w:space="0" w:color="auto"/>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1 588,95</w:t>
            </w:r>
          </w:p>
        </w:tc>
      </w:tr>
      <w:tr>
        <w:trPr>
          <w:trHeight w:val="132"/>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bCs/>
                <w:i/>
                <w:iCs/>
                <w:color w:val="000000" w:themeColor="text1"/>
                <w:sz w:val="20"/>
                <w:szCs w:val="20"/>
              </w:rPr>
            </w:pPr>
            <w:r>
              <w:rPr>
                <w:rFonts w:ascii="Times New Roman" w:hAnsi="Times New Roman"/>
                <w:bCs/>
                <w:i/>
                <w:iCs/>
                <w:color w:val="000000" w:themeColor="text1"/>
                <w:sz w:val="20"/>
                <w:szCs w:val="20"/>
              </w:rPr>
              <w:t>Поступления по текущим операциям всего, в том числе:</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100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27 875,66</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15 164,25</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8 817,04</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9 181,22</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1 588,95</w:t>
            </w:r>
          </w:p>
        </w:tc>
      </w:tr>
      <w:tr>
        <w:trPr>
          <w:trHeight w:val="138"/>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от реализации нефинансовых активов</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400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238,13</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111,24</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0,02</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126,86</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69"/>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с финансовыми активами</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600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14 835,17</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15 556,55</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356,04</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13,89</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66"/>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от осуществления заимствований</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700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1 983,60</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700,77</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2 541,15</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112"/>
        </w:trPr>
        <w:tc>
          <w:tcPr>
            <w:tcW w:w="857" w:type="pct"/>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bCs/>
                <w:color w:val="000000" w:themeColor="text1"/>
                <w:sz w:val="20"/>
                <w:szCs w:val="20"/>
              </w:rPr>
            </w:pPr>
            <w:r>
              <w:rPr>
                <w:rFonts w:ascii="Times New Roman" w:hAnsi="Times New Roman"/>
                <w:bCs/>
                <w:color w:val="000000" w:themeColor="text1"/>
                <w:sz w:val="20"/>
                <w:szCs w:val="20"/>
              </w:rPr>
              <w:t>ВЫБЫТИЯ</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 </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46 335,08</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32 547,73</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9 662,75</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11 753,95</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1 596,08</w:t>
            </w:r>
          </w:p>
        </w:tc>
      </w:tr>
      <w:tr>
        <w:trPr>
          <w:trHeight w:val="138"/>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bCs/>
                <w:i/>
                <w:iCs/>
                <w:color w:val="000000" w:themeColor="text1"/>
                <w:sz w:val="20"/>
                <w:szCs w:val="20"/>
              </w:rPr>
            </w:pPr>
            <w:r>
              <w:rPr>
                <w:rFonts w:ascii="Times New Roman" w:hAnsi="Times New Roman"/>
                <w:bCs/>
                <w:i/>
                <w:iCs/>
                <w:color w:val="000000" w:themeColor="text1"/>
                <w:sz w:val="20"/>
                <w:szCs w:val="20"/>
              </w:rPr>
              <w:t>Выбытия по текущим операциям всего, в том числе:</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200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24 788,50</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12 599,54</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9 485,23</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7 984,56</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bCs/>
                <w:color w:val="000000" w:themeColor="text1"/>
                <w:sz w:val="20"/>
                <w:szCs w:val="20"/>
              </w:rPr>
            </w:pPr>
            <w:r>
              <w:rPr>
                <w:rFonts w:ascii="Times New Roman" w:hAnsi="Times New Roman"/>
                <w:bCs/>
                <w:color w:val="000000" w:themeColor="text1"/>
                <w:sz w:val="20"/>
                <w:szCs w:val="20"/>
              </w:rPr>
              <w:t>1 594,98</w:t>
            </w:r>
          </w:p>
        </w:tc>
      </w:tr>
      <w:tr>
        <w:trPr>
          <w:trHeight w:val="475"/>
        </w:trPr>
        <w:tc>
          <w:tcPr>
            <w:tcW w:w="857" w:type="pct"/>
            <w:tcBorders>
              <w:top w:val="nil"/>
              <w:left w:val="single" w:sz="4" w:space="0" w:color="auto"/>
              <w:bottom w:val="single" w:sz="4" w:space="0" w:color="auto"/>
              <w:right w:val="nil"/>
            </w:tcBorders>
            <w:shd w:val="clear" w:color="auto" w:fill="FFFFFF"/>
            <w:vAlign w:val="center"/>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на приобретение нефинансовых активов</w:t>
            </w:r>
          </w:p>
        </w:tc>
        <w:tc>
          <w:tcPr>
            <w:tcW w:w="238" w:type="pct"/>
            <w:tcBorders>
              <w:top w:val="nil"/>
              <w:left w:val="single" w:sz="8" w:space="0" w:color="auto"/>
              <w:bottom w:val="single" w:sz="4" w:space="0" w:color="auto"/>
              <w:right w:val="single" w:sz="4" w:space="0" w:color="auto"/>
            </w:tcBorders>
            <w:shd w:val="clear" w:color="auto" w:fill="FFFFFF"/>
            <w:noWrap/>
            <w:vAlign w:val="center"/>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300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3 822,88</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2 706,25</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11,66</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1 103,86</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1,10</w:t>
            </w:r>
          </w:p>
        </w:tc>
      </w:tr>
      <w:tr>
        <w:trPr>
          <w:trHeight w:val="69"/>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с финансовыми активами</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500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15 670,07</w:t>
            </w:r>
          </w:p>
        </w:tc>
        <w:tc>
          <w:tcPr>
            <w:tcW w:w="679" w:type="pct"/>
            <w:tcBorders>
              <w:top w:val="nil"/>
              <w:left w:val="nil"/>
              <w:bottom w:val="single" w:sz="4" w:space="0" w:color="auto"/>
              <w:right w:val="single" w:sz="4" w:space="0" w:color="auto"/>
            </w:tcBorders>
            <w:shd w:val="clear" w:color="auto" w:fill="FFFFFF"/>
            <w:vAlign w:val="center"/>
            <w:hideMark/>
          </w:tcPr>
          <w:p>
            <w:pPr>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16 376,39</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165,86</w:t>
            </w: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386,14</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135"/>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на погашение государственного (муниципального) долга</w:t>
            </w:r>
          </w:p>
        </w:tc>
        <w:tc>
          <w:tcPr>
            <w:tcW w:w="238" w:type="pct"/>
            <w:tcBorders>
              <w:top w:val="nil"/>
              <w:left w:val="single" w:sz="8"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800</w:t>
            </w:r>
          </w:p>
        </w:tc>
        <w:tc>
          <w:tcPr>
            <w:tcW w:w="943"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2 053,63</w:t>
            </w:r>
          </w:p>
        </w:tc>
        <w:tc>
          <w:tcPr>
            <w:tcW w:w="679"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865,55</w:t>
            </w:r>
          </w:p>
        </w:tc>
        <w:tc>
          <w:tcPr>
            <w:tcW w:w="754"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p>
        </w:tc>
        <w:tc>
          <w:tcPr>
            <w:tcW w:w="755" w:type="pct"/>
            <w:tcBorders>
              <w:top w:val="nil"/>
              <w:left w:val="nil"/>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2 279,39</w:t>
            </w:r>
          </w:p>
        </w:tc>
        <w:tc>
          <w:tcPr>
            <w:tcW w:w="775" w:type="pct"/>
            <w:tcBorders>
              <w:top w:val="nil"/>
              <w:left w:val="nil"/>
              <w:bottom w:val="single" w:sz="4"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w:t>
            </w:r>
          </w:p>
        </w:tc>
      </w:tr>
      <w:tr>
        <w:trPr>
          <w:trHeight w:val="128"/>
        </w:trPr>
        <w:tc>
          <w:tcPr>
            <w:tcW w:w="857" w:type="pct"/>
            <w:tcBorders>
              <w:top w:val="single" w:sz="4" w:space="0" w:color="auto"/>
              <w:left w:val="single" w:sz="4" w:space="0" w:color="auto"/>
              <w:bottom w:val="single" w:sz="4" w:space="0" w:color="auto"/>
              <w:right w:val="single" w:sz="4" w:space="0" w:color="auto"/>
            </w:tcBorders>
            <w:hideMark/>
          </w:tcPr>
          <w:p>
            <w:pPr>
              <w:shd w:val="clear" w:color="auto" w:fill="FFFFFF"/>
              <w:spacing w:after="0" w:line="240" w:lineRule="auto"/>
              <w:rPr>
                <w:rFonts w:ascii="Times New Roman" w:hAnsi="Times New Roman"/>
                <w:bCs/>
                <w:color w:val="000000" w:themeColor="text1"/>
                <w:sz w:val="20"/>
                <w:szCs w:val="20"/>
              </w:rPr>
            </w:pPr>
            <w:r>
              <w:rPr>
                <w:rFonts w:ascii="Times New Roman" w:hAnsi="Times New Roman"/>
                <w:bCs/>
                <w:color w:val="000000" w:themeColor="text1"/>
                <w:sz w:val="20"/>
                <w:szCs w:val="20"/>
              </w:rPr>
              <w:t xml:space="preserve">Изменение остатков средств - всего, </w:t>
            </w:r>
          </w:p>
          <w:p>
            <w:pPr>
              <w:shd w:val="clear" w:color="auto" w:fill="FFFFFF"/>
              <w:spacing w:after="0" w:line="240" w:lineRule="auto"/>
              <w:rPr>
                <w:rFonts w:ascii="Times New Roman" w:hAnsi="Times New Roman"/>
                <w:bCs/>
                <w:color w:val="000000" w:themeColor="text1"/>
                <w:sz w:val="20"/>
                <w:szCs w:val="20"/>
              </w:rPr>
            </w:pPr>
            <w:r>
              <w:rPr>
                <w:rFonts w:ascii="Times New Roman" w:hAnsi="Times New Roman"/>
                <w:bCs/>
                <w:color w:val="000000" w:themeColor="text1"/>
                <w:sz w:val="20"/>
                <w:szCs w:val="20"/>
              </w:rPr>
              <w:t>в том числе</w:t>
            </w:r>
          </w:p>
        </w:tc>
        <w:tc>
          <w:tcPr>
            <w:tcW w:w="238" w:type="pct"/>
            <w:tcBorders>
              <w:top w:val="single" w:sz="4" w:space="0" w:color="auto"/>
              <w:left w:val="single" w:sz="4" w:space="0" w:color="auto"/>
              <w:bottom w:val="single" w:sz="4" w:space="0" w:color="auto"/>
              <w:right w:val="single" w:sz="4" w:space="0" w:color="auto"/>
            </w:tcBorders>
            <w:noWrap/>
            <w:hideMark/>
          </w:tcPr>
          <w:p>
            <w:pPr>
              <w:shd w:val="clear" w:color="auto" w:fill="FFFFFF"/>
              <w:spacing w:after="0" w:line="240" w:lineRule="auto"/>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 </w:t>
            </w:r>
          </w:p>
        </w:tc>
        <w:tc>
          <w:tcPr>
            <w:tcW w:w="943" w:type="pct"/>
            <w:tcBorders>
              <w:top w:val="single" w:sz="4" w:space="0" w:color="auto"/>
              <w:left w:val="single" w:sz="4" w:space="0" w:color="auto"/>
              <w:bottom w:val="single" w:sz="4" w:space="0" w:color="auto"/>
              <w:right w:val="single" w:sz="4" w:space="0" w:color="auto"/>
            </w:tcBorders>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1 402,52</w:t>
            </w:r>
          </w:p>
        </w:tc>
        <w:tc>
          <w:tcPr>
            <w:tcW w:w="679" w:type="pct"/>
            <w:tcBorders>
              <w:top w:val="single" w:sz="4" w:space="0" w:color="auto"/>
              <w:left w:val="single" w:sz="4" w:space="0" w:color="auto"/>
              <w:bottom w:val="single" w:sz="4" w:space="0" w:color="auto"/>
              <w:right w:val="single" w:sz="4" w:space="0" w:color="auto"/>
            </w:tcBorders>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1 014,92</w:t>
            </w:r>
          </w:p>
        </w:tc>
        <w:tc>
          <w:tcPr>
            <w:tcW w:w="754" w:type="pct"/>
            <w:tcBorders>
              <w:top w:val="single" w:sz="4" w:space="0" w:color="auto"/>
              <w:left w:val="single" w:sz="4" w:space="0" w:color="auto"/>
              <w:bottom w:val="single" w:sz="4" w:space="0" w:color="auto"/>
              <w:right w:val="single" w:sz="4" w:space="0" w:color="auto"/>
            </w:tcBorders>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489,64</w:t>
            </w:r>
          </w:p>
        </w:tc>
        <w:tc>
          <w:tcPr>
            <w:tcW w:w="755" w:type="pct"/>
            <w:tcBorders>
              <w:top w:val="single" w:sz="4" w:space="0" w:color="auto"/>
              <w:left w:val="single" w:sz="4" w:space="0" w:color="auto"/>
              <w:bottom w:val="single" w:sz="4" w:space="0" w:color="auto"/>
              <w:right w:val="single" w:sz="4" w:space="0" w:color="auto"/>
            </w:tcBorders>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-109,17</w:t>
            </w:r>
          </w:p>
        </w:tc>
        <w:tc>
          <w:tcPr>
            <w:tcW w:w="775" w:type="pct"/>
            <w:tcBorders>
              <w:top w:val="single" w:sz="4" w:space="0" w:color="auto"/>
              <w:left w:val="single" w:sz="4" w:space="0" w:color="auto"/>
              <w:bottom w:val="single" w:sz="4" w:space="0" w:color="auto"/>
              <w:right w:val="single" w:sz="4" w:space="0" w:color="auto"/>
            </w:tcBorders>
            <w:hideMark/>
          </w:tcPr>
          <w:p>
            <w:pPr>
              <w:shd w:val="clear" w:color="auto" w:fill="FFFFFF"/>
              <w:spacing w:after="0" w:line="240" w:lineRule="auto"/>
              <w:jc w:val="right"/>
              <w:rPr>
                <w:rFonts w:ascii="Times New Roman" w:hAnsi="Times New Roman"/>
                <w:b/>
                <w:bCs/>
                <w:color w:val="000000" w:themeColor="text1"/>
                <w:sz w:val="20"/>
                <w:szCs w:val="20"/>
              </w:rPr>
            </w:pPr>
            <w:r>
              <w:rPr>
                <w:rFonts w:ascii="Times New Roman" w:hAnsi="Times New Roman"/>
                <w:b/>
                <w:bCs/>
                <w:color w:val="000000" w:themeColor="text1"/>
                <w:sz w:val="20"/>
                <w:szCs w:val="20"/>
              </w:rPr>
              <w:t>7,13</w:t>
            </w:r>
          </w:p>
        </w:tc>
      </w:tr>
      <w:tr>
        <w:trPr>
          <w:trHeight w:val="75"/>
        </w:trPr>
        <w:tc>
          <w:tcPr>
            <w:tcW w:w="857" w:type="pct"/>
            <w:tcBorders>
              <w:top w:val="single" w:sz="4" w:space="0" w:color="auto"/>
              <w:left w:val="single" w:sz="4" w:space="0" w:color="auto"/>
              <w:bottom w:val="single" w:sz="4" w:space="0" w:color="auto"/>
              <w:right w:val="single" w:sz="4" w:space="0" w:color="auto"/>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поступление денежных средств</w:t>
            </w:r>
          </w:p>
        </w:tc>
        <w:tc>
          <w:tcPr>
            <w:tcW w:w="23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510</w:t>
            </w:r>
          </w:p>
        </w:tc>
        <w:tc>
          <w:tcPr>
            <w:tcW w:w="943"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-209 397,17</w:t>
            </w:r>
          </w:p>
        </w:tc>
        <w:tc>
          <w:tcPr>
            <w:tcW w:w="679"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-183 750,73</w:t>
            </w:r>
          </w:p>
        </w:tc>
        <w:tc>
          <w:tcPr>
            <w:tcW w:w="754"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-11 023,15</w:t>
            </w:r>
          </w:p>
        </w:tc>
        <w:tc>
          <w:tcPr>
            <w:tcW w:w="755"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-22 105,92</w:t>
            </w:r>
          </w:p>
        </w:tc>
        <w:tc>
          <w:tcPr>
            <w:tcW w:w="775"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-1 742,79</w:t>
            </w:r>
          </w:p>
        </w:tc>
      </w:tr>
      <w:tr>
        <w:trPr>
          <w:trHeight w:val="72"/>
        </w:trPr>
        <w:tc>
          <w:tcPr>
            <w:tcW w:w="857" w:type="pct"/>
            <w:tcBorders>
              <w:top w:val="nil"/>
              <w:left w:val="single" w:sz="4" w:space="0" w:color="auto"/>
              <w:bottom w:val="single" w:sz="4" w:space="0" w:color="auto"/>
              <w:right w:val="nil"/>
            </w:tcBorders>
            <w:shd w:val="clear" w:color="auto" w:fill="FFFFFF"/>
            <w:vAlign w:val="bottom"/>
            <w:hideMark/>
          </w:tcPr>
          <w:p>
            <w:pPr>
              <w:shd w:val="clear" w:color="auto" w:fill="FFFFFF"/>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выбытие денежных средств</w:t>
            </w:r>
          </w:p>
        </w:tc>
        <w:tc>
          <w:tcPr>
            <w:tcW w:w="238" w:type="pct"/>
            <w:tcBorders>
              <w:top w:val="nil"/>
              <w:left w:val="single" w:sz="8" w:space="0" w:color="auto"/>
              <w:bottom w:val="single" w:sz="8" w:space="0" w:color="auto"/>
              <w:right w:val="single" w:sz="4" w:space="0" w:color="auto"/>
            </w:tcBorders>
            <w:shd w:val="clear" w:color="auto" w:fill="FFFFFF"/>
            <w:noWrap/>
            <w:vAlign w:val="bottom"/>
            <w:hideMark/>
          </w:tcPr>
          <w:p>
            <w:pPr>
              <w:shd w:val="clear" w:color="auto" w:fill="FFFFFF"/>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610</w:t>
            </w:r>
          </w:p>
        </w:tc>
        <w:tc>
          <w:tcPr>
            <w:tcW w:w="943"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210 799,69</w:t>
            </w:r>
          </w:p>
        </w:tc>
        <w:tc>
          <w:tcPr>
            <w:tcW w:w="679"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184 765,65</w:t>
            </w:r>
          </w:p>
        </w:tc>
        <w:tc>
          <w:tcPr>
            <w:tcW w:w="754"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11 512,79</w:t>
            </w:r>
          </w:p>
        </w:tc>
        <w:tc>
          <w:tcPr>
            <w:tcW w:w="755" w:type="pct"/>
            <w:tcBorders>
              <w:top w:val="nil"/>
              <w:left w:val="nil"/>
              <w:bottom w:val="single" w:sz="8" w:space="0" w:color="auto"/>
              <w:right w:val="single" w:sz="4"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21 996,75</w:t>
            </w:r>
          </w:p>
        </w:tc>
        <w:tc>
          <w:tcPr>
            <w:tcW w:w="775" w:type="pct"/>
            <w:tcBorders>
              <w:top w:val="nil"/>
              <w:left w:val="nil"/>
              <w:bottom w:val="single" w:sz="8" w:space="0" w:color="auto"/>
              <w:right w:val="single" w:sz="8" w:space="0" w:color="auto"/>
            </w:tcBorders>
            <w:shd w:val="clear" w:color="auto" w:fill="FFFFFF"/>
            <w:vAlign w:val="center"/>
            <w:hideMark/>
          </w:tcPr>
          <w:p>
            <w:pPr>
              <w:shd w:val="clear" w:color="auto" w:fill="FFFFFF"/>
              <w:spacing w:after="0" w:line="240" w:lineRule="auto"/>
              <w:jc w:val="right"/>
              <w:rPr>
                <w:rFonts w:ascii="Times New Roman" w:hAnsi="Times New Roman"/>
                <w:color w:val="000000" w:themeColor="text1"/>
                <w:sz w:val="20"/>
                <w:szCs w:val="20"/>
              </w:rPr>
            </w:pPr>
            <w:r>
              <w:rPr>
                <w:rFonts w:ascii="Times New Roman" w:hAnsi="Times New Roman"/>
                <w:color w:val="000000" w:themeColor="text1"/>
                <w:sz w:val="20"/>
                <w:szCs w:val="20"/>
              </w:rPr>
              <w:t>1 749,92</w:t>
            </w:r>
          </w:p>
        </w:tc>
      </w:tr>
    </w:tbl>
    <w:p>
      <w:pPr>
        <w:spacing w:line="360" w:lineRule="atLeast"/>
        <w:ind w:firstLine="720"/>
        <w:jc w:val="both"/>
        <w:rPr>
          <w:rFonts w:ascii="Times New Roman" w:hAnsi="Times New Roman"/>
          <w:color w:val="000000" w:themeColor="text1"/>
          <w:sz w:val="28"/>
          <w:szCs w:val="28"/>
        </w:rPr>
        <w:sectPr>
          <w:pgSz w:w="16838" w:h="11906" w:orient="landscape" w:code="9"/>
          <w:pgMar w:top="1701" w:right="1418" w:bottom="992" w:left="1361" w:header="709" w:footer="709" w:gutter="0"/>
          <w:cols w:space="708"/>
          <w:docGrid w:linePitch="360"/>
        </w:sectPr>
      </w:pPr>
    </w:p>
    <w:p>
      <w:pPr>
        <w:spacing w:line="360" w:lineRule="atLeast"/>
        <w:ind w:firstLine="72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Состояние активов и обязательств бюджетных и автономных учреждений на 1 января 2016 года, в отношении которых главные распорядители средств бюджетов бюджетной системы Российской Федерации выполняют функции и полномочия учредителей, отражено </w:t>
      </w:r>
      <w:r>
        <w:rPr>
          <w:rFonts w:ascii="Times New Roman" w:hAnsi="Times New Roman"/>
          <w:color w:val="000000" w:themeColor="text1"/>
          <w:sz w:val="28"/>
          <w:szCs w:val="28"/>
        </w:rPr>
        <w:br/>
        <w:t>в таблице 9.</w:t>
      </w:r>
    </w:p>
    <w:p>
      <w:pPr>
        <w:spacing w:before="240"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9</w:t>
      </w:r>
    </w:p>
    <w:p>
      <w:pPr>
        <w:spacing w:before="120" w:after="120" w:line="240" w:lineRule="auto"/>
        <w:ind w:firstLine="709"/>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 xml:space="preserve">Баланс государственных (муниципальных) учреждений Российской Федерации, субъектов Российской Федерации </w:t>
      </w:r>
      <w:r>
        <w:rPr>
          <w:rFonts w:ascii="Times New Roman" w:hAnsi="Times New Roman"/>
          <w:b/>
          <w:bCs/>
          <w:color w:val="000000" w:themeColor="text1"/>
          <w:sz w:val="28"/>
          <w:szCs w:val="28"/>
        </w:rPr>
        <w:br/>
        <w:t>и муниципальных образований Российской Федерации на 1 января 2016 года</w:t>
      </w:r>
    </w:p>
    <w:tbl>
      <w:tblPr>
        <w:tblW w:w="0" w:type="auto"/>
        <w:tblInd w:w="108" w:type="dxa"/>
        <w:tblLook w:val="04A0" w:firstRow="1" w:lastRow="0" w:firstColumn="1" w:lastColumn="0" w:noHBand="0" w:noVBand="1"/>
      </w:tblPr>
      <w:tblGrid>
        <w:gridCol w:w="2007"/>
        <w:gridCol w:w="1694"/>
        <w:gridCol w:w="2539"/>
        <w:gridCol w:w="3081"/>
      </w:tblGrid>
      <w:tr>
        <w:trPr>
          <w:trHeight w:val="1000"/>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Итого, </w:t>
            </w:r>
            <w:r>
              <w:rPr>
                <w:rFonts w:ascii="Times New Roman" w:hAnsi="Times New Roman"/>
                <w:b/>
                <w:bCs/>
                <w:iCs/>
                <w:color w:val="000000" w:themeColor="text1"/>
                <w:sz w:val="24"/>
                <w:szCs w:val="24"/>
              </w:rPr>
              <w:t>млрд рублей</w:t>
            </w:r>
          </w:p>
        </w:tc>
        <w:tc>
          <w:tcPr>
            <w:tcW w:w="0" w:type="auto"/>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Федеральные бюджетные и автономные учреждения, </w:t>
            </w:r>
            <w:r>
              <w:rPr>
                <w:rFonts w:ascii="Times New Roman" w:hAnsi="Times New Roman"/>
                <w:b/>
                <w:bCs/>
                <w:iCs/>
                <w:color w:val="000000" w:themeColor="text1"/>
                <w:sz w:val="24"/>
                <w:szCs w:val="24"/>
              </w:rPr>
              <w:t>млрд рублей</w:t>
            </w:r>
          </w:p>
        </w:tc>
        <w:tc>
          <w:tcPr>
            <w:tcW w:w="0" w:type="auto"/>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Бюджетные и автономные учреждения бюджетов субъектов Российской Федерации </w:t>
            </w:r>
            <w:r>
              <w:rPr>
                <w:rFonts w:ascii="Times New Roman" w:hAnsi="Times New Roman"/>
                <w:b/>
                <w:color w:val="000000" w:themeColor="text1"/>
                <w:sz w:val="24"/>
                <w:szCs w:val="24"/>
              </w:rPr>
              <w:br/>
              <w:t xml:space="preserve">и муниципальных образований, </w:t>
            </w:r>
            <w:r>
              <w:rPr>
                <w:rFonts w:ascii="Times New Roman" w:hAnsi="Times New Roman"/>
                <w:b/>
                <w:bCs/>
                <w:iCs/>
                <w:color w:val="000000" w:themeColor="text1"/>
                <w:sz w:val="24"/>
                <w:szCs w:val="24"/>
              </w:rPr>
              <w:t>млрд рублей</w:t>
            </w:r>
          </w:p>
        </w:tc>
      </w:tr>
      <w:tr>
        <w:trPr>
          <w:trHeight w:val="166"/>
        </w:trPr>
        <w:tc>
          <w:tcPr>
            <w:tcW w:w="0" w:type="auto"/>
            <w:tcBorders>
              <w:top w:val="nil"/>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1</w:t>
            </w:r>
          </w:p>
        </w:tc>
        <w:tc>
          <w:tcPr>
            <w:tcW w:w="0" w:type="auto"/>
            <w:tcBorders>
              <w:top w:val="nil"/>
              <w:left w:val="nil"/>
              <w:bottom w:val="single" w:sz="8" w:space="0" w:color="auto"/>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2</w:t>
            </w:r>
          </w:p>
        </w:tc>
        <w:tc>
          <w:tcPr>
            <w:tcW w:w="0" w:type="auto"/>
            <w:tcBorders>
              <w:top w:val="nil"/>
              <w:left w:val="nil"/>
              <w:bottom w:val="single" w:sz="8" w:space="0" w:color="auto"/>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3</w:t>
            </w:r>
          </w:p>
        </w:tc>
        <w:tc>
          <w:tcPr>
            <w:tcW w:w="0" w:type="auto"/>
            <w:tcBorders>
              <w:top w:val="nil"/>
              <w:left w:val="nil"/>
              <w:bottom w:val="single" w:sz="8" w:space="0" w:color="auto"/>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4</w:t>
            </w:r>
          </w:p>
        </w:tc>
      </w:tr>
      <w:tr>
        <w:trPr>
          <w:trHeight w:val="258"/>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АКТИВ</w:t>
            </w:r>
          </w:p>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 Нефинансовые активы</w:t>
            </w:r>
          </w:p>
        </w:tc>
        <w:tc>
          <w:tcPr>
            <w:tcW w:w="0" w:type="auto"/>
            <w:tcBorders>
              <w:top w:val="nil"/>
              <w:left w:val="single" w:sz="8" w:space="0" w:color="auto"/>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13 714,09</w:t>
            </w:r>
          </w:p>
        </w:tc>
        <w:tc>
          <w:tcPr>
            <w:tcW w:w="0" w:type="auto"/>
            <w:tcBorders>
              <w:top w:val="nil"/>
              <w:left w:val="nil"/>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5 813,02</w:t>
            </w:r>
          </w:p>
        </w:tc>
        <w:tc>
          <w:tcPr>
            <w:tcW w:w="0" w:type="auto"/>
            <w:tcBorders>
              <w:top w:val="nil"/>
              <w:left w:val="nil"/>
              <w:bottom w:val="single" w:sz="4" w:space="0" w:color="auto"/>
              <w:right w:val="single" w:sz="8"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7 901,07</w:t>
            </w:r>
          </w:p>
        </w:tc>
      </w:tr>
      <w:tr>
        <w:trPr>
          <w:trHeight w:val="209"/>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II. Финансовые активы</w:t>
            </w:r>
          </w:p>
        </w:tc>
        <w:tc>
          <w:tcPr>
            <w:tcW w:w="0" w:type="auto"/>
            <w:tcBorders>
              <w:top w:val="nil"/>
              <w:left w:val="single" w:sz="8" w:space="0" w:color="auto"/>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-12 075,92</w:t>
            </w:r>
          </w:p>
        </w:tc>
        <w:tc>
          <w:tcPr>
            <w:tcW w:w="0" w:type="auto"/>
            <w:tcBorders>
              <w:top w:val="nil"/>
              <w:left w:val="nil"/>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-5 153,98</w:t>
            </w:r>
          </w:p>
        </w:tc>
        <w:tc>
          <w:tcPr>
            <w:tcW w:w="0" w:type="auto"/>
            <w:tcBorders>
              <w:top w:val="nil"/>
              <w:left w:val="nil"/>
              <w:bottom w:val="single" w:sz="4" w:space="0" w:color="auto"/>
              <w:right w:val="single" w:sz="8"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-6 921,94</w:t>
            </w:r>
          </w:p>
        </w:tc>
      </w:tr>
      <w:tr>
        <w:trPr>
          <w:trHeight w:val="437"/>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
                <w:bCs/>
                <w:color w:val="000000" w:themeColor="text1"/>
                <w:sz w:val="24"/>
                <w:szCs w:val="24"/>
              </w:rPr>
            </w:pPr>
            <w:r>
              <w:rPr>
                <w:rFonts w:ascii="Times New Roman" w:hAnsi="Times New Roman"/>
                <w:b/>
                <w:bCs/>
                <w:color w:val="000000" w:themeColor="text1"/>
                <w:sz w:val="24"/>
                <w:szCs w:val="24"/>
              </w:rPr>
              <w:t>Баланс</w:t>
            </w:r>
          </w:p>
        </w:tc>
        <w:tc>
          <w:tcPr>
            <w:tcW w:w="0" w:type="auto"/>
            <w:tcBorders>
              <w:top w:val="nil"/>
              <w:left w:val="single" w:sz="8" w:space="0" w:color="auto"/>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1 638,17</w:t>
            </w:r>
          </w:p>
        </w:tc>
        <w:tc>
          <w:tcPr>
            <w:tcW w:w="0" w:type="auto"/>
            <w:tcBorders>
              <w:top w:val="nil"/>
              <w:left w:val="nil"/>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659,04</w:t>
            </w:r>
          </w:p>
        </w:tc>
        <w:tc>
          <w:tcPr>
            <w:tcW w:w="0" w:type="auto"/>
            <w:tcBorders>
              <w:top w:val="nil"/>
              <w:left w:val="nil"/>
              <w:bottom w:val="single" w:sz="4" w:space="0" w:color="auto"/>
              <w:right w:val="single" w:sz="8" w:space="0" w:color="auto"/>
            </w:tcBorders>
            <w:shd w:val="clear" w:color="auto" w:fill="FFFFFF"/>
            <w:noWrap/>
            <w:vAlign w:val="center"/>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979,13</w:t>
            </w:r>
          </w:p>
        </w:tc>
      </w:tr>
      <w:tr>
        <w:trPr>
          <w:trHeight w:val="257"/>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ПАССИВ</w:t>
            </w:r>
          </w:p>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II. Обязательства</w:t>
            </w:r>
          </w:p>
        </w:tc>
        <w:tc>
          <w:tcPr>
            <w:tcW w:w="0" w:type="auto"/>
            <w:tcBorders>
              <w:top w:val="nil"/>
              <w:left w:val="single" w:sz="8" w:space="0" w:color="auto"/>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216,02</w:t>
            </w:r>
          </w:p>
        </w:tc>
        <w:tc>
          <w:tcPr>
            <w:tcW w:w="0" w:type="auto"/>
            <w:tcBorders>
              <w:top w:val="nil"/>
              <w:left w:val="nil"/>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43,28</w:t>
            </w:r>
          </w:p>
        </w:tc>
        <w:tc>
          <w:tcPr>
            <w:tcW w:w="0" w:type="auto"/>
            <w:tcBorders>
              <w:top w:val="nil"/>
              <w:left w:val="nil"/>
              <w:bottom w:val="single" w:sz="4" w:space="0" w:color="auto"/>
              <w:right w:val="single" w:sz="8"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172,74</w:t>
            </w:r>
          </w:p>
        </w:tc>
      </w:tr>
      <w:tr>
        <w:trPr>
          <w:trHeight w:val="217"/>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IV. Финансовый результат</w:t>
            </w:r>
          </w:p>
        </w:tc>
        <w:tc>
          <w:tcPr>
            <w:tcW w:w="0" w:type="auto"/>
            <w:tcBorders>
              <w:top w:val="nil"/>
              <w:left w:val="single" w:sz="8" w:space="0" w:color="auto"/>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1 422,15</w:t>
            </w:r>
          </w:p>
        </w:tc>
        <w:tc>
          <w:tcPr>
            <w:tcW w:w="0" w:type="auto"/>
            <w:tcBorders>
              <w:top w:val="nil"/>
              <w:left w:val="nil"/>
              <w:bottom w:val="single" w:sz="4"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615,76</w:t>
            </w:r>
          </w:p>
        </w:tc>
        <w:tc>
          <w:tcPr>
            <w:tcW w:w="0" w:type="auto"/>
            <w:tcBorders>
              <w:top w:val="nil"/>
              <w:left w:val="nil"/>
              <w:bottom w:val="single" w:sz="4" w:space="0" w:color="auto"/>
              <w:right w:val="single" w:sz="8" w:space="0" w:color="auto"/>
            </w:tcBorders>
            <w:shd w:val="clear" w:color="auto" w:fill="FFFFFF"/>
            <w:noWrap/>
            <w:vAlign w:val="center"/>
            <w:hideMark/>
          </w:tcPr>
          <w:p>
            <w:pPr>
              <w:spacing w:after="0" w:line="240" w:lineRule="atLeast"/>
              <w:ind w:firstLine="851"/>
              <w:jc w:val="right"/>
              <w:rPr>
                <w:rFonts w:ascii="Times New Roman" w:hAnsi="Times New Roman"/>
                <w:color w:val="000000" w:themeColor="text1"/>
                <w:sz w:val="24"/>
                <w:szCs w:val="24"/>
              </w:rPr>
            </w:pPr>
            <w:r>
              <w:rPr>
                <w:rFonts w:ascii="Times New Roman" w:hAnsi="Times New Roman"/>
                <w:color w:val="000000" w:themeColor="text1"/>
                <w:sz w:val="24"/>
                <w:szCs w:val="24"/>
              </w:rPr>
              <w:t>806,39</w:t>
            </w:r>
          </w:p>
        </w:tc>
      </w:tr>
      <w:tr>
        <w:trPr>
          <w:trHeight w:val="166"/>
        </w:trPr>
        <w:tc>
          <w:tcPr>
            <w:tcW w:w="0" w:type="auto"/>
            <w:tcBorders>
              <w:top w:val="nil"/>
              <w:left w:val="single" w:sz="4" w:space="0" w:color="auto"/>
              <w:bottom w:val="single" w:sz="4" w:space="0" w:color="auto"/>
              <w:right w:val="nil"/>
            </w:tcBorders>
            <w:shd w:val="clear" w:color="auto" w:fill="FFFFFF"/>
            <w:vAlign w:val="center"/>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Баланс</w:t>
            </w:r>
          </w:p>
        </w:tc>
        <w:tc>
          <w:tcPr>
            <w:tcW w:w="0" w:type="auto"/>
            <w:tcBorders>
              <w:top w:val="nil"/>
              <w:left w:val="single" w:sz="8" w:space="0" w:color="auto"/>
              <w:bottom w:val="single" w:sz="8"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1 638,17</w:t>
            </w:r>
          </w:p>
        </w:tc>
        <w:tc>
          <w:tcPr>
            <w:tcW w:w="0" w:type="auto"/>
            <w:tcBorders>
              <w:top w:val="nil"/>
              <w:left w:val="nil"/>
              <w:bottom w:val="single" w:sz="8" w:space="0" w:color="auto"/>
              <w:right w:val="single" w:sz="4"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659,04</w:t>
            </w:r>
          </w:p>
        </w:tc>
        <w:tc>
          <w:tcPr>
            <w:tcW w:w="0" w:type="auto"/>
            <w:tcBorders>
              <w:top w:val="nil"/>
              <w:left w:val="nil"/>
              <w:bottom w:val="single" w:sz="8" w:space="0" w:color="auto"/>
              <w:right w:val="single" w:sz="8" w:space="0" w:color="auto"/>
            </w:tcBorders>
            <w:shd w:val="clear" w:color="auto" w:fill="FFFFFF"/>
            <w:noWrap/>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979,13</w:t>
            </w:r>
          </w:p>
        </w:tc>
      </w:tr>
    </w:tbl>
    <w:p>
      <w:pPr>
        <w:spacing w:after="0" w:line="240" w:lineRule="atLeast"/>
        <w:jc w:val="both"/>
        <w:rPr>
          <w:rFonts w:ascii="Times New Roman" w:hAnsi="Times New Roman"/>
          <w:b/>
          <w:color w:val="000000" w:themeColor="text1"/>
          <w:sz w:val="24"/>
          <w:szCs w:val="24"/>
        </w:rPr>
      </w:pPr>
    </w:p>
    <w:p>
      <w:pPr>
        <w:spacing w:line="360" w:lineRule="atLeast"/>
        <w:ind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Основные характеристики исполнения автономными и бюджетными учреждениями планов финансово-хозяйственной деятельности за 2015 год приведены в таблицах 10 и 11.</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10</w:t>
      </w:r>
    </w:p>
    <w:p>
      <w:pPr>
        <w:spacing w:before="240" w:after="120" w:line="240" w:lineRule="auto"/>
        <w:ind w:firstLine="709"/>
        <w:jc w:val="center"/>
        <w:rPr>
          <w:rFonts w:ascii="Times New Roman" w:hAnsi="Times New Roman"/>
          <w:color w:val="000000" w:themeColor="text1"/>
          <w:sz w:val="28"/>
          <w:szCs w:val="28"/>
        </w:rPr>
      </w:pPr>
      <w:r>
        <w:rPr>
          <w:rFonts w:ascii="Times New Roman" w:hAnsi="Times New Roman"/>
          <w:b/>
          <w:bCs/>
          <w:color w:val="000000" w:themeColor="text1"/>
          <w:sz w:val="28"/>
          <w:szCs w:val="28"/>
        </w:rPr>
        <w:t xml:space="preserve">Информация об исполнении автономными и бюджетными учреждениями планов финансово - хозяйственной деятельности </w:t>
      </w:r>
      <w:r>
        <w:rPr>
          <w:rFonts w:ascii="Times New Roman" w:hAnsi="Times New Roman"/>
          <w:b/>
          <w:bCs/>
          <w:color w:val="000000" w:themeColor="text1"/>
          <w:sz w:val="28"/>
          <w:szCs w:val="28"/>
        </w:rPr>
        <w:br/>
        <w:t>за 2015 год (в части собственных доходов учреждений, средств обязательного медицинского страхования)</w:t>
      </w:r>
    </w:p>
    <w:tbl>
      <w:tblPr>
        <w:tblW w:w="9498" w:type="dxa"/>
        <w:tblInd w:w="-176" w:type="dxa"/>
        <w:tblLayout w:type="fixed"/>
        <w:tblLook w:val="04A0" w:firstRow="1" w:lastRow="0" w:firstColumn="1" w:lastColumn="0" w:noHBand="0" w:noVBand="1"/>
      </w:tblPr>
      <w:tblGrid>
        <w:gridCol w:w="2411"/>
        <w:gridCol w:w="1842"/>
        <w:gridCol w:w="2127"/>
        <w:gridCol w:w="3118"/>
      </w:tblGrid>
      <w:tr>
        <w:trPr>
          <w:trHeight w:val="1168"/>
        </w:trPr>
        <w:tc>
          <w:tcPr>
            <w:tcW w:w="2411"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1842"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Итого, </w:t>
            </w:r>
            <w:r>
              <w:rPr>
                <w:rFonts w:ascii="Times New Roman" w:hAnsi="Times New Roman"/>
                <w:b/>
                <w:bCs/>
                <w:iCs/>
                <w:color w:val="000000" w:themeColor="text1"/>
                <w:sz w:val="24"/>
                <w:szCs w:val="24"/>
              </w:rPr>
              <w:t>млрд рублей</w:t>
            </w:r>
          </w:p>
        </w:tc>
        <w:tc>
          <w:tcPr>
            <w:tcW w:w="2127"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Федеральные бюджетные и автономные учреждения, </w:t>
            </w:r>
            <w:r>
              <w:rPr>
                <w:rFonts w:ascii="Times New Roman" w:hAnsi="Times New Roman"/>
                <w:b/>
                <w:bCs/>
                <w:iCs/>
                <w:color w:val="000000" w:themeColor="text1"/>
                <w:sz w:val="24"/>
                <w:szCs w:val="24"/>
              </w:rPr>
              <w:t>млрд рублей</w:t>
            </w:r>
          </w:p>
        </w:tc>
        <w:tc>
          <w:tcPr>
            <w:tcW w:w="3118"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Бюджетные и автономные учреждения бюджетов субъектов Российской Федерации и муниципальных образований, </w:t>
            </w:r>
            <w:r>
              <w:rPr>
                <w:rFonts w:ascii="Times New Roman" w:hAnsi="Times New Roman"/>
                <w:b/>
                <w:bCs/>
                <w:iCs/>
                <w:color w:val="000000" w:themeColor="text1"/>
                <w:sz w:val="24"/>
                <w:szCs w:val="24"/>
              </w:rPr>
              <w:t>млрд рублей</w:t>
            </w:r>
          </w:p>
        </w:tc>
      </w:tr>
      <w:tr>
        <w:trPr>
          <w:trHeight w:val="179"/>
        </w:trPr>
        <w:tc>
          <w:tcPr>
            <w:tcW w:w="2411" w:type="dxa"/>
            <w:tcBorders>
              <w:top w:val="nil"/>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1 </w:t>
            </w:r>
          </w:p>
        </w:tc>
        <w:tc>
          <w:tcPr>
            <w:tcW w:w="1842"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2127"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3118"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r>
      <w:tr>
        <w:trPr>
          <w:trHeight w:val="312"/>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Доходы</w:t>
            </w:r>
          </w:p>
        </w:tc>
        <w:tc>
          <w:tcPr>
            <w:tcW w:w="1842" w:type="dxa"/>
            <w:tcBorders>
              <w:top w:val="single" w:sz="8" w:space="0" w:color="auto"/>
              <w:left w:val="single" w:sz="8" w:space="0" w:color="auto"/>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2 615,12</w:t>
            </w:r>
          </w:p>
        </w:tc>
        <w:tc>
          <w:tcPr>
            <w:tcW w:w="2127" w:type="dxa"/>
            <w:tcBorders>
              <w:top w:val="single" w:sz="8" w:space="0" w:color="auto"/>
              <w:left w:val="nil"/>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628,92</w:t>
            </w:r>
          </w:p>
        </w:tc>
        <w:tc>
          <w:tcPr>
            <w:tcW w:w="3118" w:type="dxa"/>
            <w:tcBorders>
              <w:top w:val="single" w:sz="8" w:space="0" w:color="auto"/>
              <w:left w:val="nil"/>
              <w:bottom w:val="single" w:sz="4" w:space="0" w:color="auto"/>
              <w:right w:val="single" w:sz="8"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1 986,20</w:t>
            </w:r>
          </w:p>
        </w:tc>
      </w:tr>
      <w:tr>
        <w:trPr>
          <w:trHeight w:val="312"/>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Расходы</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2 559,48</w:t>
            </w:r>
          </w:p>
        </w:tc>
        <w:tc>
          <w:tcPr>
            <w:tcW w:w="2127" w:type="dxa"/>
            <w:tcBorders>
              <w:top w:val="nil"/>
              <w:left w:val="nil"/>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614,65</w:t>
            </w:r>
          </w:p>
        </w:tc>
        <w:tc>
          <w:tcPr>
            <w:tcW w:w="3118" w:type="dxa"/>
            <w:tcBorders>
              <w:top w:val="nil"/>
              <w:left w:val="nil"/>
              <w:bottom w:val="single" w:sz="4" w:space="0" w:color="auto"/>
              <w:right w:val="single" w:sz="8"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1 944,83</w:t>
            </w:r>
          </w:p>
        </w:tc>
      </w:tr>
      <w:tr>
        <w:trPr>
          <w:trHeight w:val="623"/>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Результат исполнения бюджета (дефицит/профицит)</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55,64</w:t>
            </w:r>
          </w:p>
        </w:tc>
        <w:tc>
          <w:tcPr>
            <w:tcW w:w="2127" w:type="dxa"/>
            <w:tcBorders>
              <w:top w:val="nil"/>
              <w:left w:val="nil"/>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14,27</w:t>
            </w:r>
          </w:p>
        </w:tc>
        <w:tc>
          <w:tcPr>
            <w:tcW w:w="3118" w:type="dxa"/>
            <w:tcBorders>
              <w:top w:val="nil"/>
              <w:left w:val="nil"/>
              <w:bottom w:val="single" w:sz="4" w:space="0" w:color="auto"/>
              <w:right w:val="single" w:sz="8"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41,37</w:t>
            </w:r>
          </w:p>
        </w:tc>
      </w:tr>
      <w:tr>
        <w:trPr>
          <w:trHeight w:val="623"/>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финансирования дефицита бюджетов-всего</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-55,64</w:t>
            </w:r>
          </w:p>
        </w:tc>
        <w:tc>
          <w:tcPr>
            <w:tcW w:w="2127" w:type="dxa"/>
            <w:tcBorders>
              <w:top w:val="nil"/>
              <w:left w:val="nil"/>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-14,27</w:t>
            </w:r>
          </w:p>
        </w:tc>
        <w:tc>
          <w:tcPr>
            <w:tcW w:w="3118" w:type="dxa"/>
            <w:tcBorders>
              <w:top w:val="nil"/>
              <w:left w:val="nil"/>
              <w:bottom w:val="single" w:sz="4" w:space="0" w:color="auto"/>
              <w:right w:val="single" w:sz="8" w:space="0" w:color="auto"/>
            </w:tcBorders>
            <w:shd w:val="clear" w:color="auto" w:fill="FFFFFF"/>
            <w:vAlign w:val="center"/>
            <w:hideMark/>
          </w:tcPr>
          <w:p>
            <w:pPr>
              <w:spacing w:after="0" w:line="240" w:lineRule="atLeast"/>
              <w:ind w:firstLine="502"/>
              <w:jc w:val="right"/>
              <w:rPr>
                <w:rFonts w:ascii="Times New Roman" w:hAnsi="Times New Roman"/>
                <w:color w:val="000000" w:themeColor="text1"/>
                <w:sz w:val="24"/>
                <w:szCs w:val="24"/>
              </w:rPr>
            </w:pPr>
            <w:r>
              <w:rPr>
                <w:rFonts w:ascii="Times New Roman" w:hAnsi="Times New Roman"/>
                <w:color w:val="000000" w:themeColor="text1"/>
                <w:sz w:val="24"/>
                <w:szCs w:val="24"/>
              </w:rPr>
              <w:t>-41,37</w:t>
            </w:r>
          </w:p>
        </w:tc>
      </w:tr>
      <w:tr>
        <w:trPr>
          <w:trHeight w:val="750"/>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внутреннего финансирования дефицитов бюджетов</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1,67</w:t>
            </w:r>
          </w:p>
        </w:tc>
        <w:tc>
          <w:tcPr>
            <w:tcW w:w="2127" w:type="dxa"/>
            <w:tcBorders>
              <w:top w:val="nil"/>
              <w:left w:val="nil"/>
              <w:bottom w:val="single" w:sz="4"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2,1</w:t>
            </w:r>
          </w:p>
          <w:p>
            <w:pPr>
              <w:spacing w:after="0" w:line="240" w:lineRule="atLeast"/>
              <w:jc w:val="right"/>
              <w:rPr>
                <w:rFonts w:ascii="Times New Roman" w:hAnsi="Times New Roman"/>
                <w:color w:val="000000" w:themeColor="text1"/>
                <w:sz w:val="24"/>
                <w:szCs w:val="24"/>
              </w:rPr>
            </w:pPr>
          </w:p>
        </w:tc>
        <w:tc>
          <w:tcPr>
            <w:tcW w:w="3118" w:type="dxa"/>
            <w:tcBorders>
              <w:top w:val="nil"/>
              <w:left w:val="nil"/>
              <w:bottom w:val="single" w:sz="4" w:space="0" w:color="auto"/>
              <w:right w:val="single" w:sz="8"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-0,43</w:t>
            </w:r>
          </w:p>
        </w:tc>
      </w:tr>
      <w:tr>
        <w:trPr>
          <w:trHeight w:val="691"/>
        </w:trPr>
        <w:tc>
          <w:tcPr>
            <w:tcW w:w="2411"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внешнего финансирования дефицитов бюджетов</w:t>
            </w:r>
          </w:p>
        </w:tc>
        <w:tc>
          <w:tcPr>
            <w:tcW w:w="1842" w:type="dxa"/>
            <w:tcBorders>
              <w:top w:val="nil"/>
              <w:left w:val="single" w:sz="8" w:space="0" w:color="auto"/>
              <w:bottom w:val="nil"/>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-0,26</w:t>
            </w:r>
          </w:p>
        </w:tc>
        <w:tc>
          <w:tcPr>
            <w:tcW w:w="2127" w:type="dxa"/>
            <w:tcBorders>
              <w:top w:val="nil"/>
              <w:left w:val="nil"/>
              <w:bottom w:val="nil"/>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-0,06</w:t>
            </w:r>
          </w:p>
        </w:tc>
        <w:tc>
          <w:tcPr>
            <w:tcW w:w="3118" w:type="dxa"/>
            <w:tcBorders>
              <w:top w:val="nil"/>
              <w:left w:val="nil"/>
              <w:bottom w:val="nil"/>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-0,2</w:t>
            </w:r>
          </w:p>
        </w:tc>
      </w:tr>
      <w:tr>
        <w:trPr>
          <w:trHeight w:val="326"/>
        </w:trPr>
        <w:tc>
          <w:tcPr>
            <w:tcW w:w="2411" w:type="dxa"/>
            <w:tcBorders>
              <w:top w:val="nil"/>
              <w:left w:val="single" w:sz="4" w:space="0" w:color="auto"/>
              <w:bottom w:val="single" w:sz="4" w:space="0" w:color="auto"/>
              <w:right w:val="single" w:sz="8" w:space="0" w:color="auto"/>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Изменение остатков средств</w:t>
            </w:r>
          </w:p>
        </w:tc>
        <w:tc>
          <w:tcPr>
            <w:tcW w:w="1842" w:type="dxa"/>
            <w:tcBorders>
              <w:top w:val="single" w:sz="4" w:space="0" w:color="auto"/>
              <w:left w:val="nil"/>
              <w:bottom w:val="single" w:sz="8"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-57,05</w:t>
            </w:r>
          </w:p>
        </w:tc>
        <w:tc>
          <w:tcPr>
            <w:tcW w:w="2127" w:type="dxa"/>
            <w:tcBorders>
              <w:top w:val="single" w:sz="4" w:space="0" w:color="auto"/>
              <w:left w:val="nil"/>
              <w:bottom w:val="single" w:sz="8" w:space="0" w:color="auto"/>
              <w:right w:val="single" w:sz="4"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-16,31</w:t>
            </w:r>
          </w:p>
        </w:tc>
        <w:tc>
          <w:tcPr>
            <w:tcW w:w="3118" w:type="dxa"/>
            <w:tcBorders>
              <w:top w:val="single" w:sz="4" w:space="0" w:color="auto"/>
              <w:left w:val="nil"/>
              <w:bottom w:val="single" w:sz="8" w:space="0" w:color="auto"/>
              <w:right w:val="single" w:sz="8" w:space="0" w:color="auto"/>
            </w:tcBorders>
            <w:shd w:val="clear" w:color="auto" w:fill="FFFFFF"/>
            <w:vAlign w:val="center"/>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-40,74</w:t>
            </w:r>
          </w:p>
        </w:tc>
      </w:tr>
    </w:tbl>
    <w:p>
      <w:pPr>
        <w:pageBreakBefore/>
        <w:spacing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11</w:t>
      </w:r>
    </w:p>
    <w:p>
      <w:pPr>
        <w:tabs>
          <w:tab w:val="left" w:pos="601"/>
        </w:tabs>
        <w:spacing w:before="120" w:after="12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 xml:space="preserve">Информация об исполнении автономными и бюджетными учреждениями планов финансово - хозяйственной деятельности </w:t>
      </w:r>
      <w:r>
        <w:rPr>
          <w:rFonts w:ascii="Times New Roman" w:hAnsi="Times New Roman"/>
          <w:b/>
          <w:bCs/>
          <w:color w:val="000000" w:themeColor="text1"/>
          <w:sz w:val="28"/>
          <w:szCs w:val="28"/>
        </w:rPr>
        <w:br/>
        <w:t>за 2015 год (в части субсидий на выполнение государственного (муниципального) задания, на иные цели, бюджетные инвестиции)</w:t>
      </w:r>
    </w:p>
    <w:tbl>
      <w:tblPr>
        <w:tblW w:w="17478" w:type="dxa"/>
        <w:tblInd w:w="108" w:type="dxa"/>
        <w:tblLayout w:type="fixed"/>
        <w:tblLook w:val="04A0" w:firstRow="1" w:lastRow="0" w:firstColumn="1" w:lastColumn="0" w:noHBand="0" w:noVBand="1"/>
      </w:tblPr>
      <w:tblGrid>
        <w:gridCol w:w="2410"/>
        <w:gridCol w:w="1985"/>
        <w:gridCol w:w="2835"/>
        <w:gridCol w:w="2220"/>
        <w:gridCol w:w="8028"/>
      </w:tblGrid>
      <w:tr>
        <w:trPr>
          <w:trHeight w:val="377"/>
        </w:trPr>
        <w:tc>
          <w:tcPr>
            <w:tcW w:w="17478" w:type="dxa"/>
            <w:gridSpan w:val="5"/>
            <w:tcBorders>
              <w:top w:val="nil"/>
              <w:left w:val="nil"/>
              <w:bottom w:val="nil"/>
              <w:right w:val="nil"/>
            </w:tcBorders>
            <w:noWrap/>
            <w:vAlign w:val="center"/>
            <w:hideMark/>
          </w:tcPr>
          <w:p>
            <w:pPr>
              <w:tabs>
                <w:tab w:val="left" w:pos="601"/>
              </w:tabs>
              <w:spacing w:after="0" w:line="240" w:lineRule="atLeast"/>
              <w:jc w:val="center"/>
              <w:rPr>
                <w:rFonts w:ascii="Times New Roman" w:hAnsi="Times New Roman"/>
                <w:b/>
                <w:bCs/>
                <w:color w:val="000000" w:themeColor="text1"/>
                <w:sz w:val="28"/>
                <w:szCs w:val="28"/>
              </w:rPr>
            </w:pPr>
          </w:p>
        </w:tc>
      </w:tr>
      <w:tr>
        <w:trPr>
          <w:gridAfter w:val="1"/>
          <w:wAfter w:w="8028" w:type="dxa"/>
          <w:trHeight w:val="1262"/>
        </w:trPr>
        <w:tc>
          <w:tcPr>
            <w:tcW w:w="2410"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1985"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Итого, млр</w:t>
            </w:r>
            <w:r>
              <w:rPr>
                <w:rFonts w:ascii="Times New Roman" w:hAnsi="Times New Roman"/>
                <w:b/>
                <w:bCs/>
                <w:iCs/>
                <w:color w:val="000000" w:themeColor="text1"/>
                <w:sz w:val="24"/>
                <w:szCs w:val="24"/>
              </w:rPr>
              <w:t>д рублей</w:t>
            </w:r>
          </w:p>
        </w:tc>
        <w:tc>
          <w:tcPr>
            <w:tcW w:w="2835"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Федеральные бюджетные и автономные учреждения, </w:t>
            </w:r>
            <w:r>
              <w:rPr>
                <w:rFonts w:ascii="Times New Roman" w:hAnsi="Times New Roman"/>
                <w:b/>
                <w:bCs/>
                <w:iCs/>
                <w:color w:val="000000" w:themeColor="text1"/>
                <w:sz w:val="24"/>
                <w:szCs w:val="24"/>
              </w:rPr>
              <w:t>млрд рублей</w:t>
            </w:r>
          </w:p>
        </w:tc>
        <w:tc>
          <w:tcPr>
            <w:tcW w:w="2220"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Бюджетные и автономные учреждения бюджетов субъектов Российской Федерации и муниципальных образований, </w:t>
            </w:r>
            <w:r>
              <w:rPr>
                <w:rFonts w:ascii="Times New Roman" w:hAnsi="Times New Roman"/>
                <w:b/>
                <w:bCs/>
                <w:iCs/>
                <w:color w:val="000000" w:themeColor="text1"/>
                <w:sz w:val="24"/>
                <w:szCs w:val="24"/>
              </w:rPr>
              <w:t>млрд рублей</w:t>
            </w:r>
          </w:p>
        </w:tc>
      </w:tr>
      <w:tr>
        <w:trPr>
          <w:gridAfter w:val="1"/>
          <w:wAfter w:w="8028" w:type="dxa"/>
          <w:trHeight w:val="232"/>
        </w:trPr>
        <w:tc>
          <w:tcPr>
            <w:tcW w:w="2410" w:type="dxa"/>
            <w:tcBorders>
              <w:top w:val="nil"/>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 </w:t>
            </w:r>
          </w:p>
        </w:tc>
        <w:tc>
          <w:tcPr>
            <w:tcW w:w="1985"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1</w:t>
            </w:r>
          </w:p>
        </w:tc>
        <w:tc>
          <w:tcPr>
            <w:tcW w:w="2835"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2220"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r>
      <w:tr>
        <w:trPr>
          <w:gridAfter w:val="1"/>
          <w:wAfter w:w="8028" w:type="dxa"/>
          <w:trHeight w:val="316"/>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Доходы</w:t>
            </w:r>
          </w:p>
        </w:tc>
        <w:tc>
          <w:tcPr>
            <w:tcW w:w="1985" w:type="dxa"/>
            <w:tcBorders>
              <w:top w:val="single" w:sz="8" w:space="0" w:color="auto"/>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4 030,52</w:t>
            </w:r>
          </w:p>
        </w:tc>
        <w:tc>
          <w:tcPr>
            <w:tcW w:w="2835" w:type="dxa"/>
            <w:tcBorders>
              <w:top w:val="single" w:sz="8" w:space="0" w:color="auto"/>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955,71</w:t>
            </w:r>
          </w:p>
        </w:tc>
        <w:tc>
          <w:tcPr>
            <w:tcW w:w="2220" w:type="dxa"/>
            <w:tcBorders>
              <w:top w:val="single" w:sz="8" w:space="0" w:color="auto"/>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3 074,81</w:t>
            </w:r>
          </w:p>
        </w:tc>
      </w:tr>
      <w:tr>
        <w:trPr>
          <w:gridAfter w:val="1"/>
          <w:wAfter w:w="8028" w:type="dxa"/>
          <w:trHeight w:val="316"/>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Расходы</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4 029,38</w:t>
            </w:r>
          </w:p>
        </w:tc>
        <w:tc>
          <w:tcPr>
            <w:tcW w:w="2835" w:type="dxa"/>
            <w:tcBorders>
              <w:top w:val="nil"/>
              <w:left w:val="nil"/>
              <w:bottom w:val="single" w:sz="4" w:space="0" w:color="auto"/>
              <w:right w:val="single" w:sz="4" w:space="0" w:color="auto"/>
            </w:tcBorders>
            <w:shd w:val="clear" w:color="auto" w:fill="FFFFFF"/>
            <w:vAlign w:val="bottom"/>
            <w:hideMark/>
          </w:tcPr>
          <w:p>
            <w:pPr>
              <w:spacing w:after="0" w:line="240" w:lineRule="atLeast"/>
              <w:ind w:firstLine="675"/>
              <w:jc w:val="right"/>
              <w:rPr>
                <w:rFonts w:ascii="Times New Roman" w:hAnsi="Times New Roman"/>
                <w:color w:val="000000" w:themeColor="text1"/>
                <w:sz w:val="24"/>
                <w:szCs w:val="24"/>
              </w:rPr>
            </w:pPr>
            <w:r>
              <w:rPr>
                <w:rFonts w:ascii="Times New Roman" w:hAnsi="Times New Roman"/>
                <w:color w:val="000000" w:themeColor="text1"/>
                <w:sz w:val="24"/>
                <w:szCs w:val="24"/>
              </w:rPr>
              <w:t>984,65</w:t>
            </w:r>
          </w:p>
        </w:tc>
        <w:tc>
          <w:tcPr>
            <w:tcW w:w="222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p>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3 044,73</w:t>
            </w:r>
          </w:p>
        </w:tc>
      </w:tr>
      <w:tr>
        <w:trPr>
          <w:gridAfter w:val="1"/>
          <w:wAfter w:w="8028" w:type="dxa"/>
          <w:trHeight w:val="317"/>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Результат исполнения бюджета (дефицит/профицит)</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1,14</w:t>
            </w:r>
          </w:p>
        </w:tc>
        <w:tc>
          <w:tcPr>
            <w:tcW w:w="283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-28,94</w:t>
            </w:r>
          </w:p>
        </w:tc>
        <w:tc>
          <w:tcPr>
            <w:tcW w:w="222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30,08</w:t>
            </w:r>
          </w:p>
        </w:tc>
      </w:tr>
      <w:tr>
        <w:trPr>
          <w:gridAfter w:val="1"/>
          <w:wAfter w:w="8028" w:type="dxa"/>
          <w:trHeight w:val="365"/>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финансирования дефицита бюджетов-всего</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-1,14</w:t>
            </w:r>
          </w:p>
        </w:tc>
        <w:tc>
          <w:tcPr>
            <w:tcW w:w="283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28,94</w:t>
            </w:r>
          </w:p>
        </w:tc>
        <w:tc>
          <w:tcPr>
            <w:tcW w:w="222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-30,08</w:t>
            </w:r>
          </w:p>
        </w:tc>
      </w:tr>
      <w:tr>
        <w:trPr>
          <w:gridAfter w:val="1"/>
          <w:wAfter w:w="8028" w:type="dxa"/>
          <w:trHeight w:val="404"/>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внутреннего финансирования дефицитов бюджетов</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-20,21</w:t>
            </w:r>
          </w:p>
        </w:tc>
        <w:tc>
          <w:tcPr>
            <w:tcW w:w="283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-18,99</w:t>
            </w:r>
          </w:p>
        </w:tc>
        <w:tc>
          <w:tcPr>
            <w:tcW w:w="222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-1,22</w:t>
            </w:r>
          </w:p>
        </w:tc>
      </w:tr>
      <w:tr>
        <w:trPr>
          <w:gridAfter w:val="1"/>
          <w:wAfter w:w="8028" w:type="dxa"/>
          <w:trHeight w:val="409"/>
        </w:trPr>
        <w:tc>
          <w:tcPr>
            <w:tcW w:w="2410" w:type="dxa"/>
            <w:tcBorders>
              <w:top w:val="nil"/>
              <w:left w:val="single" w:sz="4" w:space="0" w:color="auto"/>
              <w:bottom w:val="single" w:sz="4" w:space="0" w:color="auto"/>
              <w:right w:val="nil"/>
            </w:tcBorders>
            <w:shd w:val="clear" w:color="auto" w:fill="FFFFFF"/>
            <w:vAlign w:val="center"/>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Источники внешнего финансирования дефицитов бюджетов</w:t>
            </w:r>
          </w:p>
        </w:tc>
        <w:tc>
          <w:tcPr>
            <w:tcW w:w="1985" w:type="dxa"/>
            <w:tcBorders>
              <w:top w:val="nil"/>
              <w:left w:val="single" w:sz="8" w:space="0" w:color="auto"/>
              <w:bottom w:val="nil"/>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0,00</w:t>
            </w:r>
          </w:p>
        </w:tc>
        <w:tc>
          <w:tcPr>
            <w:tcW w:w="2835" w:type="dxa"/>
            <w:tcBorders>
              <w:top w:val="nil"/>
              <w:left w:val="nil"/>
              <w:bottom w:val="nil"/>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0,00</w:t>
            </w:r>
          </w:p>
        </w:tc>
        <w:tc>
          <w:tcPr>
            <w:tcW w:w="2220" w:type="dxa"/>
            <w:tcBorders>
              <w:top w:val="nil"/>
              <w:left w:val="nil"/>
              <w:bottom w:val="nil"/>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0,00</w:t>
            </w:r>
          </w:p>
        </w:tc>
      </w:tr>
      <w:tr>
        <w:trPr>
          <w:gridAfter w:val="1"/>
          <w:wAfter w:w="8028" w:type="dxa"/>
          <w:trHeight w:val="296"/>
        </w:trPr>
        <w:tc>
          <w:tcPr>
            <w:tcW w:w="2410" w:type="dxa"/>
            <w:tcBorders>
              <w:top w:val="single" w:sz="4" w:space="0" w:color="auto"/>
              <w:left w:val="single" w:sz="4" w:space="0" w:color="auto"/>
              <w:bottom w:val="single" w:sz="4" w:space="0" w:color="auto"/>
              <w:right w:val="single" w:sz="8" w:space="0" w:color="auto"/>
            </w:tcBorders>
            <w:shd w:val="clear" w:color="auto" w:fill="FFFFFF"/>
            <w:vAlign w:val="bottom"/>
            <w:hideMark/>
          </w:tcPr>
          <w:p>
            <w:pPr>
              <w:spacing w:after="0" w:line="240" w:lineRule="atLeast"/>
              <w:ind w:left="-108"/>
              <w:rPr>
                <w:rFonts w:ascii="Times New Roman" w:hAnsi="Times New Roman"/>
                <w:bCs/>
                <w:color w:val="000000" w:themeColor="text1"/>
                <w:sz w:val="24"/>
                <w:szCs w:val="24"/>
              </w:rPr>
            </w:pPr>
            <w:r>
              <w:rPr>
                <w:rFonts w:ascii="Times New Roman" w:hAnsi="Times New Roman"/>
                <w:bCs/>
                <w:color w:val="000000" w:themeColor="text1"/>
                <w:sz w:val="24"/>
                <w:szCs w:val="24"/>
              </w:rPr>
              <w:t>Изменение остатков средств</w:t>
            </w:r>
          </w:p>
        </w:tc>
        <w:tc>
          <w:tcPr>
            <w:tcW w:w="1985" w:type="dxa"/>
            <w:tcBorders>
              <w:top w:val="single" w:sz="4" w:space="0" w:color="auto"/>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19,07</w:t>
            </w:r>
          </w:p>
        </w:tc>
        <w:tc>
          <w:tcPr>
            <w:tcW w:w="2835" w:type="dxa"/>
            <w:tcBorders>
              <w:top w:val="single" w:sz="4" w:space="0" w:color="auto"/>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47,93</w:t>
            </w:r>
          </w:p>
        </w:tc>
        <w:tc>
          <w:tcPr>
            <w:tcW w:w="2220" w:type="dxa"/>
            <w:tcBorders>
              <w:top w:val="single" w:sz="4" w:space="0" w:color="auto"/>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-28,86</w:t>
            </w:r>
          </w:p>
        </w:tc>
      </w:tr>
    </w:tbl>
    <w:p>
      <w:pPr>
        <w:spacing w:line="360" w:lineRule="atLeast"/>
        <w:ind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Финансовые результаты деятельности бюджетных и автономных учреждений за 2015 год представлены в таблице 12.</w:t>
      </w:r>
    </w:p>
    <w:p>
      <w:pPr>
        <w:spacing w:line="360" w:lineRule="atLeast"/>
        <w:jc w:val="right"/>
        <w:rPr>
          <w:rFonts w:ascii="Times New Roman" w:hAnsi="Times New Roman"/>
          <w:color w:val="000000" w:themeColor="text1"/>
          <w:sz w:val="24"/>
          <w:szCs w:val="24"/>
        </w:rPr>
      </w:pPr>
    </w:p>
    <w:p>
      <w:pPr>
        <w:spacing w:line="360" w:lineRule="atLeast"/>
        <w:jc w:val="right"/>
        <w:rPr>
          <w:rFonts w:ascii="Times New Roman" w:hAnsi="Times New Roman"/>
          <w:color w:val="000000" w:themeColor="text1"/>
          <w:sz w:val="24"/>
          <w:szCs w:val="24"/>
        </w:rPr>
      </w:pPr>
    </w:p>
    <w:p>
      <w:pPr>
        <w:pageBreakBefore/>
        <w:spacing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12</w:t>
      </w:r>
    </w:p>
    <w:p>
      <w:pPr>
        <w:spacing w:before="120" w:after="120" w:line="240" w:lineRule="auto"/>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 xml:space="preserve">Информация о финансовых результатах деятельности бюджетных </w:t>
      </w:r>
      <w:r>
        <w:rPr>
          <w:rFonts w:ascii="Times New Roman" w:hAnsi="Times New Roman"/>
          <w:b/>
          <w:bCs/>
          <w:color w:val="000000" w:themeColor="text1"/>
          <w:sz w:val="28"/>
          <w:szCs w:val="28"/>
        </w:rPr>
        <w:br/>
        <w:t>и автономных учреждений за 2015 год</w:t>
      </w:r>
    </w:p>
    <w:tbl>
      <w:tblPr>
        <w:tblW w:w="9227" w:type="dxa"/>
        <w:tblInd w:w="95" w:type="dxa"/>
        <w:tblLook w:val="04A0" w:firstRow="1" w:lastRow="0" w:firstColumn="1" w:lastColumn="0" w:noHBand="0" w:noVBand="1"/>
      </w:tblPr>
      <w:tblGrid>
        <w:gridCol w:w="2281"/>
        <w:gridCol w:w="1701"/>
        <w:gridCol w:w="1985"/>
        <w:gridCol w:w="3260"/>
      </w:tblGrid>
      <w:tr>
        <w:trPr>
          <w:trHeight w:val="1114"/>
        </w:trPr>
        <w:tc>
          <w:tcPr>
            <w:tcW w:w="2281"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1701"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Итого, млр</w:t>
            </w:r>
            <w:r>
              <w:rPr>
                <w:rFonts w:ascii="Times New Roman" w:hAnsi="Times New Roman"/>
                <w:b/>
                <w:bCs/>
                <w:iCs/>
                <w:color w:val="000000" w:themeColor="text1"/>
                <w:sz w:val="24"/>
                <w:szCs w:val="24"/>
              </w:rPr>
              <w:t>д рублей</w:t>
            </w:r>
          </w:p>
        </w:tc>
        <w:tc>
          <w:tcPr>
            <w:tcW w:w="1985"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Федеральные бюджетные и автономные учреждения, млр</w:t>
            </w:r>
            <w:r>
              <w:rPr>
                <w:rFonts w:ascii="Times New Roman" w:hAnsi="Times New Roman"/>
                <w:b/>
                <w:bCs/>
                <w:iCs/>
                <w:color w:val="000000" w:themeColor="text1"/>
                <w:sz w:val="24"/>
                <w:szCs w:val="24"/>
              </w:rPr>
              <w:t>д рублей</w:t>
            </w:r>
          </w:p>
        </w:tc>
        <w:tc>
          <w:tcPr>
            <w:tcW w:w="3260" w:type="dxa"/>
            <w:tcBorders>
              <w:top w:val="single" w:sz="4" w:space="0" w:color="auto"/>
              <w:left w:val="nil"/>
              <w:bottom w:val="single" w:sz="4" w:space="0" w:color="auto"/>
              <w:right w:val="single" w:sz="4" w:space="0" w:color="auto"/>
            </w:tcBorders>
            <w:shd w:val="clear" w:color="auto" w:fill="FFFFFF"/>
            <w:vAlign w:val="center"/>
            <w:hideMark/>
          </w:tcPr>
          <w:p>
            <w:pPr>
              <w:spacing w:after="0"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Бюджетные и автономные учреждения бюджетов субъектов Российской Федерации и муниципальных образований, млр</w:t>
            </w:r>
            <w:r>
              <w:rPr>
                <w:rFonts w:ascii="Times New Roman" w:hAnsi="Times New Roman"/>
                <w:b/>
                <w:bCs/>
                <w:iCs/>
                <w:color w:val="000000" w:themeColor="text1"/>
                <w:sz w:val="24"/>
                <w:szCs w:val="24"/>
              </w:rPr>
              <w:t>д рублей</w:t>
            </w:r>
          </w:p>
        </w:tc>
      </w:tr>
      <w:tr>
        <w:trPr>
          <w:trHeight w:val="306"/>
        </w:trPr>
        <w:tc>
          <w:tcPr>
            <w:tcW w:w="2281" w:type="dxa"/>
            <w:tcBorders>
              <w:top w:val="nil"/>
              <w:left w:val="single" w:sz="4" w:space="0" w:color="auto"/>
              <w:bottom w:val="single" w:sz="4" w:space="0" w:color="auto"/>
              <w:right w:val="single" w:sz="4" w:space="0" w:color="auto"/>
            </w:tcBorders>
            <w:shd w:val="clear" w:color="auto" w:fill="FFFFFF"/>
            <w:vAlign w:val="center"/>
            <w:hideMark/>
          </w:tcPr>
          <w:p>
            <w:pPr>
              <w:spacing w:after="0" w:line="240" w:lineRule="atLeast"/>
              <w:rPr>
                <w:rFonts w:ascii="Times New Roman" w:hAnsi="Times New Roman"/>
                <w:b/>
                <w:bCs/>
                <w:color w:val="000000" w:themeColor="text1"/>
                <w:sz w:val="24"/>
                <w:szCs w:val="24"/>
              </w:rPr>
            </w:pPr>
            <w:r>
              <w:rPr>
                <w:rFonts w:ascii="Times New Roman" w:hAnsi="Times New Roman"/>
                <w:b/>
                <w:bCs/>
                <w:color w:val="000000" w:themeColor="text1"/>
                <w:sz w:val="24"/>
                <w:szCs w:val="24"/>
              </w:rPr>
              <w:t>Метод начислений</w:t>
            </w:r>
          </w:p>
        </w:tc>
        <w:tc>
          <w:tcPr>
            <w:tcW w:w="1701"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1</w:t>
            </w:r>
          </w:p>
        </w:tc>
        <w:tc>
          <w:tcPr>
            <w:tcW w:w="1985"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2</w:t>
            </w:r>
          </w:p>
        </w:tc>
        <w:tc>
          <w:tcPr>
            <w:tcW w:w="3260" w:type="dxa"/>
            <w:tcBorders>
              <w:top w:val="nil"/>
              <w:left w:val="nil"/>
              <w:bottom w:val="nil"/>
              <w:right w:val="single" w:sz="4" w:space="0" w:color="auto"/>
            </w:tcBorders>
            <w:shd w:val="clear" w:color="auto" w:fill="FFFFFF"/>
            <w:noWrap/>
            <w:vAlign w:val="center"/>
            <w:hideMark/>
          </w:tcPr>
          <w:p>
            <w:pPr>
              <w:spacing w:after="0" w:line="240" w:lineRule="atLeast"/>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3</w:t>
            </w:r>
          </w:p>
        </w:tc>
      </w:tr>
      <w:tr>
        <w:trPr>
          <w:trHeight w:val="257"/>
        </w:trPr>
        <w:tc>
          <w:tcPr>
            <w:tcW w:w="2281" w:type="dxa"/>
            <w:tcBorders>
              <w:top w:val="nil"/>
              <w:left w:val="single" w:sz="4" w:space="0" w:color="auto"/>
              <w:bottom w:val="single" w:sz="4" w:space="0" w:color="auto"/>
              <w:right w:val="nil"/>
            </w:tcBorders>
            <w:shd w:val="clear" w:color="auto" w:fill="FFFFFF"/>
            <w:vAlign w:val="bottom"/>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Доходы</w:t>
            </w:r>
          </w:p>
        </w:tc>
        <w:tc>
          <w:tcPr>
            <w:tcW w:w="0" w:type="auto"/>
            <w:tcBorders>
              <w:top w:val="single" w:sz="8" w:space="0" w:color="auto"/>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7 296,09</w:t>
            </w:r>
          </w:p>
        </w:tc>
        <w:tc>
          <w:tcPr>
            <w:tcW w:w="1985" w:type="dxa"/>
            <w:tcBorders>
              <w:top w:val="single" w:sz="8" w:space="0" w:color="auto"/>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1 633,62</w:t>
            </w:r>
          </w:p>
        </w:tc>
        <w:tc>
          <w:tcPr>
            <w:tcW w:w="3260" w:type="dxa"/>
            <w:tcBorders>
              <w:top w:val="single" w:sz="8" w:space="0" w:color="auto"/>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5 662,47</w:t>
            </w:r>
          </w:p>
        </w:tc>
      </w:tr>
      <w:tr>
        <w:trPr>
          <w:trHeight w:val="271"/>
        </w:trPr>
        <w:tc>
          <w:tcPr>
            <w:tcW w:w="2281" w:type="dxa"/>
            <w:tcBorders>
              <w:top w:val="nil"/>
              <w:left w:val="single" w:sz="4" w:space="0" w:color="auto"/>
              <w:bottom w:val="single" w:sz="4" w:space="0" w:color="auto"/>
              <w:right w:val="nil"/>
            </w:tcBorders>
            <w:shd w:val="clear" w:color="auto" w:fill="FFFFFF"/>
            <w:vAlign w:val="bottom"/>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Расходы</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7 026,92</w:t>
            </w:r>
          </w:p>
        </w:tc>
        <w:tc>
          <w:tcPr>
            <w:tcW w:w="198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1 648,49</w:t>
            </w:r>
          </w:p>
        </w:tc>
        <w:tc>
          <w:tcPr>
            <w:tcW w:w="326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5 378,43</w:t>
            </w:r>
          </w:p>
        </w:tc>
      </w:tr>
      <w:tr>
        <w:trPr>
          <w:trHeight w:val="275"/>
        </w:trPr>
        <w:tc>
          <w:tcPr>
            <w:tcW w:w="2281" w:type="dxa"/>
            <w:tcBorders>
              <w:top w:val="nil"/>
              <w:left w:val="single" w:sz="4" w:space="0" w:color="auto"/>
              <w:bottom w:val="single" w:sz="4" w:space="0" w:color="auto"/>
              <w:right w:val="nil"/>
            </w:tcBorders>
            <w:shd w:val="clear" w:color="auto" w:fill="FFFFFF"/>
            <w:vAlign w:val="bottom"/>
            <w:hideMark/>
          </w:tcPr>
          <w:p>
            <w:pPr>
              <w:spacing w:after="0" w:line="240" w:lineRule="atLeast"/>
              <w:rPr>
                <w:rFonts w:ascii="Times New Roman" w:hAnsi="Times New Roman"/>
                <w:b/>
                <w:bCs/>
                <w:color w:val="000000" w:themeColor="text1"/>
                <w:sz w:val="24"/>
                <w:szCs w:val="24"/>
              </w:rPr>
            </w:pPr>
            <w:r>
              <w:rPr>
                <w:rFonts w:ascii="Times New Roman" w:hAnsi="Times New Roman"/>
                <w:b/>
                <w:bCs/>
                <w:color w:val="000000" w:themeColor="text1"/>
                <w:sz w:val="24"/>
                <w:szCs w:val="24"/>
              </w:rPr>
              <w:t>Чистый операционный результат</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269,17</w:t>
            </w:r>
          </w:p>
        </w:tc>
        <w:tc>
          <w:tcPr>
            <w:tcW w:w="198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-14,87</w:t>
            </w:r>
          </w:p>
        </w:tc>
        <w:tc>
          <w:tcPr>
            <w:tcW w:w="326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b/>
                <w:color w:val="000000" w:themeColor="text1"/>
                <w:sz w:val="24"/>
                <w:szCs w:val="24"/>
              </w:rPr>
            </w:pPr>
            <w:r>
              <w:rPr>
                <w:rFonts w:ascii="Times New Roman" w:hAnsi="Times New Roman"/>
                <w:b/>
                <w:color w:val="000000" w:themeColor="text1"/>
                <w:sz w:val="24"/>
                <w:szCs w:val="24"/>
              </w:rPr>
              <w:t>284,04</w:t>
            </w:r>
          </w:p>
        </w:tc>
      </w:tr>
      <w:tr>
        <w:trPr>
          <w:trHeight w:val="423"/>
        </w:trPr>
        <w:tc>
          <w:tcPr>
            <w:tcW w:w="2281" w:type="dxa"/>
            <w:tcBorders>
              <w:top w:val="nil"/>
              <w:left w:val="single" w:sz="4" w:space="0" w:color="auto"/>
              <w:bottom w:val="single" w:sz="4" w:space="0" w:color="auto"/>
              <w:right w:val="nil"/>
            </w:tcBorders>
            <w:shd w:val="clear" w:color="auto" w:fill="FFFFFF"/>
            <w:vAlign w:val="bottom"/>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финансовыми активами</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-475,60</w:t>
            </w:r>
          </w:p>
        </w:tc>
        <w:tc>
          <w:tcPr>
            <w:tcW w:w="198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-308,77</w:t>
            </w:r>
          </w:p>
        </w:tc>
        <w:tc>
          <w:tcPr>
            <w:tcW w:w="326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-166,83</w:t>
            </w:r>
          </w:p>
        </w:tc>
      </w:tr>
      <w:tr>
        <w:trPr>
          <w:trHeight w:val="429"/>
        </w:trPr>
        <w:tc>
          <w:tcPr>
            <w:tcW w:w="2281" w:type="dxa"/>
            <w:tcBorders>
              <w:top w:val="nil"/>
              <w:left w:val="single" w:sz="4" w:space="0" w:color="auto"/>
              <w:bottom w:val="single" w:sz="4" w:space="0" w:color="auto"/>
              <w:right w:val="nil"/>
            </w:tcBorders>
            <w:shd w:val="clear" w:color="auto" w:fill="FFFFFF"/>
            <w:vAlign w:val="bottom"/>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нефинансовыми активами</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791,10</w:t>
            </w:r>
          </w:p>
        </w:tc>
        <w:tc>
          <w:tcPr>
            <w:tcW w:w="1985" w:type="dxa"/>
            <w:tcBorders>
              <w:top w:val="nil"/>
              <w:left w:val="nil"/>
              <w:bottom w:val="single" w:sz="4"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309,66</w:t>
            </w:r>
          </w:p>
        </w:tc>
        <w:tc>
          <w:tcPr>
            <w:tcW w:w="3260" w:type="dxa"/>
            <w:tcBorders>
              <w:top w:val="nil"/>
              <w:left w:val="nil"/>
              <w:bottom w:val="single" w:sz="4"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481,44</w:t>
            </w:r>
          </w:p>
        </w:tc>
      </w:tr>
      <w:tr>
        <w:trPr>
          <w:trHeight w:val="277"/>
        </w:trPr>
        <w:tc>
          <w:tcPr>
            <w:tcW w:w="2281" w:type="dxa"/>
            <w:tcBorders>
              <w:top w:val="nil"/>
              <w:left w:val="single" w:sz="4" w:space="0" w:color="auto"/>
              <w:bottom w:val="single" w:sz="4" w:space="0" w:color="auto"/>
              <w:right w:val="single" w:sz="8" w:space="0" w:color="auto"/>
            </w:tcBorders>
            <w:shd w:val="clear" w:color="auto" w:fill="FFFFFF"/>
            <w:vAlign w:val="bottom"/>
            <w:hideMark/>
          </w:tcPr>
          <w:p>
            <w:pPr>
              <w:spacing w:after="0" w:line="240" w:lineRule="atLeast"/>
              <w:rPr>
                <w:rFonts w:ascii="Times New Roman" w:hAnsi="Times New Roman"/>
                <w:bCs/>
                <w:color w:val="000000" w:themeColor="text1"/>
                <w:sz w:val="24"/>
                <w:szCs w:val="24"/>
              </w:rPr>
            </w:pPr>
            <w:r>
              <w:rPr>
                <w:rFonts w:ascii="Times New Roman" w:hAnsi="Times New Roman"/>
                <w:bCs/>
                <w:color w:val="000000" w:themeColor="text1"/>
                <w:sz w:val="24"/>
                <w:szCs w:val="24"/>
              </w:rPr>
              <w:t>Операции с обязательствами</w:t>
            </w:r>
          </w:p>
        </w:tc>
        <w:tc>
          <w:tcPr>
            <w:tcW w:w="1701" w:type="dxa"/>
            <w:tcBorders>
              <w:top w:val="nil"/>
              <w:left w:val="nil"/>
              <w:bottom w:val="single" w:sz="8"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46,33</w:t>
            </w:r>
          </w:p>
        </w:tc>
        <w:tc>
          <w:tcPr>
            <w:tcW w:w="1985" w:type="dxa"/>
            <w:tcBorders>
              <w:top w:val="nil"/>
              <w:left w:val="nil"/>
              <w:bottom w:val="single" w:sz="8" w:space="0" w:color="auto"/>
              <w:right w:val="single" w:sz="4"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15,76</w:t>
            </w:r>
          </w:p>
        </w:tc>
        <w:tc>
          <w:tcPr>
            <w:tcW w:w="3260" w:type="dxa"/>
            <w:tcBorders>
              <w:top w:val="nil"/>
              <w:left w:val="nil"/>
              <w:bottom w:val="single" w:sz="8" w:space="0" w:color="auto"/>
              <w:right w:val="single" w:sz="8" w:space="0" w:color="auto"/>
            </w:tcBorders>
            <w:shd w:val="clear" w:color="auto" w:fill="FFFFFF"/>
            <w:vAlign w:val="bottom"/>
            <w:hideMark/>
          </w:tcPr>
          <w:p>
            <w:pPr>
              <w:spacing w:after="0" w:line="240" w:lineRule="atLeast"/>
              <w:jc w:val="right"/>
              <w:rPr>
                <w:rFonts w:ascii="Times New Roman" w:hAnsi="Times New Roman"/>
                <w:color w:val="000000" w:themeColor="text1"/>
                <w:sz w:val="24"/>
                <w:szCs w:val="24"/>
              </w:rPr>
            </w:pPr>
            <w:r>
              <w:rPr>
                <w:rFonts w:ascii="Times New Roman" w:hAnsi="Times New Roman"/>
                <w:color w:val="000000" w:themeColor="text1"/>
                <w:sz w:val="24"/>
                <w:szCs w:val="24"/>
              </w:rPr>
              <w:t>30,57</w:t>
            </w:r>
          </w:p>
        </w:tc>
      </w:tr>
    </w:tbl>
    <w:p>
      <w:pPr>
        <w:autoSpaceDE w:val="0"/>
        <w:autoSpaceDN w:val="0"/>
        <w:adjustRightInd w:val="0"/>
        <w:spacing w:before="240"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Федеральное казначейство представило в МВФ годовую отчетность по статистике государственных финансов Российской Федерации, сформированную на основании консолидированной бюджетной (бухгалтерской) отчетности за 2015 год, а именно: Отчета об исполнении консолидированного бюджета Российской Федерации и бюджетов государственных внебюджетных фондов (ф. 0507021), Отчета </w:t>
      </w:r>
      <w:r>
        <w:rPr>
          <w:rFonts w:ascii="Times New Roman" w:hAnsi="Times New Roman"/>
          <w:color w:val="000000" w:themeColor="text1"/>
          <w:sz w:val="28"/>
          <w:szCs w:val="28"/>
        </w:rPr>
        <w:br/>
        <w:t xml:space="preserve">об исполнении бюджета </w:t>
      </w:r>
      <w:hyperlink r:id="rId85" w:history="1">
        <w:r>
          <w:rPr>
            <w:rFonts w:ascii="Times New Roman" w:hAnsi="Times New Roman"/>
            <w:color w:val="000000" w:themeColor="text1"/>
            <w:sz w:val="28"/>
            <w:szCs w:val="28"/>
          </w:rPr>
          <w:t>(ф. 0503117)</w:t>
        </w:r>
      </w:hyperlink>
      <w:r>
        <w:rPr>
          <w:rFonts w:ascii="Times New Roman" w:hAnsi="Times New Roman"/>
          <w:color w:val="000000" w:themeColor="text1"/>
          <w:sz w:val="28"/>
          <w:szCs w:val="28"/>
        </w:rPr>
        <w:t xml:space="preserve">, Отчета об исполнении консолидированного бюджета субъекта Российской Федерации и бюджета территориального государственного внебюджетного фонда </w:t>
      </w:r>
      <w:hyperlink r:id="rId86" w:history="1">
        <w:r>
          <w:rPr>
            <w:rFonts w:ascii="Times New Roman" w:hAnsi="Times New Roman"/>
            <w:color w:val="000000" w:themeColor="text1"/>
            <w:sz w:val="28"/>
            <w:szCs w:val="28"/>
          </w:rPr>
          <w:t>(ф. 0503317)</w:t>
        </w:r>
      </w:hyperlink>
      <w:r>
        <w:rPr>
          <w:rFonts w:ascii="Times New Roman" w:hAnsi="Times New Roman"/>
          <w:color w:val="000000" w:themeColor="text1"/>
          <w:sz w:val="28"/>
          <w:szCs w:val="28"/>
        </w:rPr>
        <w:t xml:space="preserve">, Баланса исполнения консолидированного бюджета субъекта Российской Федерации и бюджета территориального государственного внебюджетного фонда </w:t>
      </w:r>
      <w:hyperlink r:id="rId87" w:history="1">
        <w:r>
          <w:rPr>
            <w:rFonts w:ascii="Times New Roman" w:hAnsi="Times New Roman"/>
            <w:color w:val="000000" w:themeColor="text1"/>
            <w:sz w:val="28"/>
            <w:szCs w:val="28"/>
          </w:rPr>
          <w:t>(ф. 0503320)</w:t>
        </w:r>
      </w:hyperlink>
      <w:r>
        <w:rPr>
          <w:rFonts w:ascii="Times New Roman" w:hAnsi="Times New Roman"/>
          <w:color w:val="000000" w:themeColor="text1"/>
          <w:sz w:val="28"/>
          <w:szCs w:val="28"/>
        </w:rPr>
        <w:t xml:space="preserve">, Консолидированного отчета о финансовых результатах деятельности </w:t>
      </w:r>
      <w:hyperlink r:id="rId88" w:history="1">
        <w:r>
          <w:rPr>
            <w:rFonts w:ascii="Times New Roman" w:hAnsi="Times New Roman"/>
            <w:color w:val="000000" w:themeColor="text1"/>
            <w:sz w:val="28"/>
            <w:szCs w:val="28"/>
          </w:rPr>
          <w:t>(ф. 0503321)</w:t>
        </w:r>
      </w:hyperlink>
      <w:r>
        <w:rPr>
          <w:rFonts w:ascii="Times New Roman" w:hAnsi="Times New Roman"/>
          <w:color w:val="000000" w:themeColor="text1"/>
          <w:sz w:val="28"/>
          <w:szCs w:val="28"/>
        </w:rPr>
        <w:t xml:space="preserve">, Справки по заключению счетов бюджетного учета отчетного финансового года </w:t>
      </w:r>
      <w:hyperlink r:id="rId89" w:history="1">
        <w:r>
          <w:rPr>
            <w:rFonts w:ascii="Times New Roman" w:hAnsi="Times New Roman"/>
            <w:color w:val="000000" w:themeColor="text1"/>
            <w:sz w:val="28"/>
            <w:szCs w:val="28"/>
          </w:rPr>
          <w:t>(ф. 0503110)</w:t>
        </w:r>
      </w:hyperlink>
      <w:r>
        <w:rPr>
          <w:rFonts w:ascii="Times New Roman" w:hAnsi="Times New Roman"/>
          <w:color w:val="000000" w:themeColor="text1"/>
          <w:sz w:val="28"/>
          <w:szCs w:val="28"/>
        </w:rPr>
        <w:t xml:space="preserve">, Баланса государственного (муниципального) учреждения </w:t>
      </w:r>
      <w:hyperlink r:id="rId90" w:history="1">
        <w:r>
          <w:rPr>
            <w:rFonts w:ascii="Times New Roman" w:hAnsi="Times New Roman"/>
            <w:color w:val="000000" w:themeColor="text1"/>
            <w:sz w:val="28"/>
            <w:szCs w:val="28"/>
          </w:rPr>
          <w:t>(ф. 0503730)</w:t>
        </w:r>
      </w:hyperlink>
      <w:r>
        <w:rPr>
          <w:rFonts w:ascii="Times New Roman" w:hAnsi="Times New Roman"/>
          <w:color w:val="000000" w:themeColor="text1"/>
          <w:sz w:val="28"/>
          <w:szCs w:val="28"/>
        </w:rPr>
        <w:t xml:space="preserve">, Отчета об исполнении учреждением плана его финансово-хозяйственной деятельности </w:t>
      </w:r>
      <w:hyperlink r:id="rId91" w:history="1">
        <w:r>
          <w:rPr>
            <w:rFonts w:ascii="Times New Roman" w:hAnsi="Times New Roman"/>
            <w:color w:val="000000" w:themeColor="text1"/>
            <w:sz w:val="28"/>
            <w:szCs w:val="28"/>
          </w:rPr>
          <w:t>(ф. 0503737)</w:t>
        </w:r>
      </w:hyperlink>
      <w:r>
        <w:rPr>
          <w:rFonts w:ascii="Times New Roman" w:hAnsi="Times New Roman"/>
          <w:color w:val="000000" w:themeColor="text1"/>
          <w:sz w:val="28"/>
          <w:szCs w:val="28"/>
        </w:rPr>
        <w:t xml:space="preserve">, Отчета о финансовых результатах деятельности учреждения </w:t>
      </w:r>
      <w:hyperlink r:id="rId92" w:history="1">
        <w:r>
          <w:rPr>
            <w:rFonts w:ascii="Times New Roman" w:hAnsi="Times New Roman"/>
            <w:color w:val="000000" w:themeColor="text1"/>
            <w:sz w:val="28"/>
            <w:szCs w:val="28"/>
          </w:rPr>
          <w:t>(ф. 0503721)</w:t>
        </w:r>
      </w:hyperlink>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Показатели указанной отчетности ежегодно публикуются </w:t>
      </w:r>
      <w:r>
        <w:rPr>
          <w:rFonts w:ascii="Times New Roman" w:hAnsi="Times New Roman"/>
          <w:color w:val="000000" w:themeColor="text1"/>
          <w:sz w:val="28"/>
          <w:szCs w:val="28"/>
        </w:rPr>
        <w:br/>
        <w:t>в Справочнике международной финансовой статистики, что дает возможность проводить сравнительный анализ аналогичных показателей разных стран мира.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Предварительные итоги исполнения консолидированного бюджета Российской Федерации и бюджетов государственных внебюджетных фондов за 2016 год приведены в таблице 13. </w:t>
      </w:r>
    </w:p>
    <w:p>
      <w:pPr>
        <w:spacing w:after="0" w:line="360" w:lineRule="atLeast"/>
        <w:ind w:firstLine="709"/>
        <w:jc w:val="both"/>
        <w:rPr>
          <w:rFonts w:ascii="Times New Roman" w:hAnsi="Times New Roman"/>
          <w:color w:val="000000" w:themeColor="text1"/>
          <w:sz w:val="28"/>
          <w:szCs w:val="28"/>
        </w:rPr>
        <w:sectPr>
          <w:pgSz w:w="11906" w:h="16838" w:code="9"/>
          <w:pgMar w:top="1418" w:right="992" w:bottom="1361" w:left="1701" w:header="709" w:footer="709" w:gutter="0"/>
          <w:cols w:space="708"/>
          <w:docGrid w:linePitch="360"/>
        </w:sectPr>
      </w:pP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13</w:t>
      </w:r>
    </w:p>
    <w:p>
      <w:pPr>
        <w:spacing w:after="120" w:line="360" w:lineRule="atLeast"/>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Предварительные итоги исполнения консолидированного бюджета Российской Федерации и бюджетов государственных внебюджетных фондов за 2016 год</w:t>
      </w:r>
    </w:p>
    <w:tbl>
      <w:tblPr>
        <w:tblStyle w:val="afc"/>
        <w:tblW w:w="14709" w:type="dxa"/>
        <w:tblLayout w:type="fixed"/>
        <w:tblLook w:val="04A0" w:firstRow="1" w:lastRow="0" w:firstColumn="1" w:lastColumn="0" w:noHBand="0" w:noVBand="1"/>
      </w:tblPr>
      <w:tblGrid>
        <w:gridCol w:w="2802"/>
        <w:gridCol w:w="2693"/>
        <w:gridCol w:w="1701"/>
        <w:gridCol w:w="2126"/>
        <w:gridCol w:w="2552"/>
        <w:gridCol w:w="2835"/>
      </w:tblGrid>
      <w:tr>
        <w:trPr>
          <w:trHeight w:val="1828"/>
        </w:trPr>
        <w:tc>
          <w:tcPr>
            <w:tcW w:w="2802"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Наименование показателя</w:t>
            </w:r>
          </w:p>
        </w:tc>
        <w:tc>
          <w:tcPr>
            <w:tcW w:w="2693"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Консолидированный бюджет Российской Федерации и бюджетов государственных внебюджетных фондов, млрд рублей</w:t>
            </w:r>
          </w:p>
        </w:tc>
        <w:tc>
          <w:tcPr>
            <w:tcW w:w="1701"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Федеральный бюджет, млрд рублей</w:t>
            </w:r>
          </w:p>
        </w:tc>
        <w:tc>
          <w:tcPr>
            <w:tcW w:w="2126"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Бюджеты государственных внебюджетных фондов, млрд рублей</w:t>
            </w:r>
          </w:p>
        </w:tc>
        <w:tc>
          <w:tcPr>
            <w:tcW w:w="2552"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Консолидированные бюджеты субъектов Российской Федерации, млрд рублей</w:t>
            </w:r>
          </w:p>
        </w:tc>
        <w:tc>
          <w:tcPr>
            <w:tcW w:w="2835" w:type="dxa"/>
            <w:vAlign w:val="center"/>
          </w:tcPr>
          <w:p>
            <w:pPr>
              <w:spacing w:line="240" w:lineRule="atLeast"/>
              <w:jc w:val="center"/>
              <w:rPr>
                <w:rFonts w:ascii="Times New Roman" w:hAnsi="Times New Roman"/>
                <w:b/>
                <w:color w:val="000000" w:themeColor="text1"/>
                <w:sz w:val="24"/>
                <w:szCs w:val="24"/>
              </w:rPr>
            </w:pPr>
            <w:r>
              <w:rPr>
                <w:rFonts w:ascii="Times New Roman" w:hAnsi="Times New Roman"/>
                <w:b/>
                <w:color w:val="000000" w:themeColor="text1"/>
                <w:sz w:val="24"/>
                <w:szCs w:val="24"/>
              </w:rPr>
              <w:t>Бюджеты территориальных государственных внебюджетных фондов, млрд рублей</w:t>
            </w:r>
          </w:p>
        </w:tc>
      </w:tr>
      <w:tr>
        <w:trPr>
          <w:trHeight w:val="196"/>
        </w:trPr>
        <w:tc>
          <w:tcPr>
            <w:tcW w:w="2802"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693"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701"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2126"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2552"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2835" w:type="dxa"/>
          </w:tcPr>
          <w:p>
            <w:pPr>
              <w:spacing w:line="240" w:lineRule="atLeast"/>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r>
      <w:tr>
        <w:trPr>
          <w:trHeight w:val="220"/>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Доходы</w:t>
            </w:r>
          </w:p>
        </w:tc>
        <w:tc>
          <w:tcPr>
            <w:tcW w:w="2693" w:type="dxa"/>
            <w:vAlign w:val="center"/>
          </w:tcPr>
          <w:p>
            <w:pPr>
              <w:spacing w:line="240" w:lineRule="atLeast"/>
              <w:jc w:val="right"/>
              <w:rPr>
                <w:rFonts w:ascii="Times New Roman" w:hAnsi="Times New Roman"/>
                <w:bCs/>
                <w:color w:val="000000" w:themeColor="text1"/>
                <w:sz w:val="24"/>
                <w:szCs w:val="24"/>
              </w:rPr>
            </w:pPr>
            <w:bookmarkStart w:id="1" w:name="RANGE!D14"/>
            <w:r>
              <w:rPr>
                <w:rFonts w:ascii="Times New Roman" w:hAnsi="Times New Roman"/>
                <w:bCs/>
                <w:color w:val="000000" w:themeColor="text1"/>
                <w:sz w:val="24"/>
                <w:szCs w:val="24"/>
              </w:rPr>
              <w:t>27 746,7</w:t>
            </w:r>
            <w:bookmarkEnd w:id="1"/>
            <w:r>
              <w:rPr>
                <w:rFonts w:ascii="Times New Roman" w:hAnsi="Times New Roman"/>
                <w:bCs/>
                <w:color w:val="000000" w:themeColor="text1"/>
                <w:sz w:val="24"/>
                <w:szCs w:val="24"/>
              </w:rPr>
              <w:t>2</w:t>
            </w:r>
          </w:p>
        </w:tc>
        <w:tc>
          <w:tcPr>
            <w:tcW w:w="1701" w:type="dxa"/>
            <w:vAlign w:val="center"/>
          </w:tcPr>
          <w:p>
            <w:pPr>
              <w:spacing w:line="240" w:lineRule="atLeast"/>
              <w:jc w:val="right"/>
              <w:rPr>
                <w:rFonts w:ascii="Times New Roman" w:hAnsi="Times New Roman"/>
                <w:bCs/>
                <w:color w:val="000000" w:themeColor="text1"/>
                <w:sz w:val="24"/>
                <w:szCs w:val="24"/>
              </w:rPr>
            </w:pPr>
            <w:bookmarkStart w:id="2" w:name="RANGE!E14"/>
            <w:r>
              <w:rPr>
                <w:rFonts w:ascii="Times New Roman" w:hAnsi="Times New Roman"/>
                <w:bCs/>
                <w:color w:val="000000" w:themeColor="text1"/>
                <w:sz w:val="24"/>
                <w:szCs w:val="24"/>
              </w:rPr>
              <w:t>13 460,14</w:t>
            </w:r>
            <w:bookmarkEnd w:id="2"/>
          </w:p>
        </w:tc>
        <w:tc>
          <w:tcPr>
            <w:tcW w:w="2126" w:type="dxa"/>
            <w:vAlign w:val="center"/>
          </w:tcPr>
          <w:p>
            <w:pPr>
              <w:spacing w:line="240" w:lineRule="atLeast"/>
              <w:jc w:val="right"/>
              <w:rPr>
                <w:rFonts w:ascii="Times New Roman" w:hAnsi="Times New Roman"/>
                <w:bCs/>
                <w:color w:val="000000" w:themeColor="text1"/>
                <w:sz w:val="24"/>
                <w:szCs w:val="24"/>
              </w:rPr>
            </w:pPr>
            <w:bookmarkStart w:id="3" w:name="RANGE!F14"/>
            <w:r>
              <w:rPr>
                <w:rFonts w:ascii="Times New Roman" w:hAnsi="Times New Roman"/>
                <w:bCs/>
                <w:color w:val="000000" w:themeColor="text1"/>
                <w:sz w:val="24"/>
                <w:szCs w:val="24"/>
              </w:rPr>
              <w:t>9 464,37</w:t>
            </w:r>
            <w:bookmarkEnd w:id="3"/>
          </w:p>
        </w:tc>
        <w:tc>
          <w:tcPr>
            <w:tcW w:w="2552" w:type="dxa"/>
            <w:vAlign w:val="center"/>
          </w:tcPr>
          <w:p>
            <w:pPr>
              <w:spacing w:line="240" w:lineRule="atLeast"/>
              <w:jc w:val="right"/>
              <w:rPr>
                <w:rFonts w:ascii="Times New Roman" w:hAnsi="Times New Roman"/>
                <w:bCs/>
                <w:color w:val="000000" w:themeColor="text1"/>
                <w:sz w:val="24"/>
                <w:szCs w:val="24"/>
              </w:rPr>
            </w:pPr>
            <w:bookmarkStart w:id="4" w:name="RANGE!G14"/>
            <w:r>
              <w:rPr>
                <w:rFonts w:ascii="Times New Roman" w:hAnsi="Times New Roman"/>
                <w:bCs/>
                <w:color w:val="000000" w:themeColor="text1"/>
                <w:sz w:val="24"/>
                <w:szCs w:val="24"/>
              </w:rPr>
              <w:t>9 923,83</w:t>
            </w:r>
            <w:bookmarkEnd w:id="4"/>
          </w:p>
        </w:tc>
        <w:tc>
          <w:tcPr>
            <w:tcW w:w="2835" w:type="dxa"/>
            <w:vAlign w:val="center"/>
          </w:tcPr>
          <w:p>
            <w:pPr>
              <w:spacing w:line="240" w:lineRule="atLeast"/>
              <w:jc w:val="right"/>
              <w:rPr>
                <w:rFonts w:ascii="Times New Roman" w:hAnsi="Times New Roman"/>
                <w:bCs/>
                <w:color w:val="000000" w:themeColor="text1"/>
                <w:sz w:val="24"/>
                <w:szCs w:val="24"/>
              </w:rPr>
            </w:pPr>
            <w:bookmarkStart w:id="5" w:name="RANGE!H14"/>
            <w:r>
              <w:rPr>
                <w:rFonts w:ascii="Times New Roman" w:hAnsi="Times New Roman"/>
                <w:bCs/>
                <w:color w:val="000000" w:themeColor="text1"/>
                <w:sz w:val="24"/>
                <w:szCs w:val="24"/>
              </w:rPr>
              <w:t>1 637,67</w:t>
            </w:r>
            <w:bookmarkEnd w:id="5"/>
          </w:p>
        </w:tc>
      </w:tr>
      <w:tr>
        <w:trPr>
          <w:trHeight w:val="420"/>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Расходы</w:t>
            </w:r>
          </w:p>
        </w:tc>
        <w:tc>
          <w:tcPr>
            <w:tcW w:w="2693"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30 888,76</w:t>
            </w:r>
          </w:p>
        </w:tc>
        <w:tc>
          <w:tcPr>
            <w:tcW w:w="1701"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16 416,44</w:t>
            </w:r>
          </w:p>
        </w:tc>
        <w:tc>
          <w:tcPr>
            <w:tcW w:w="2126"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9 649,81</w:t>
            </w:r>
          </w:p>
        </w:tc>
        <w:tc>
          <w:tcPr>
            <w:tcW w:w="2552"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9 936,44</w:t>
            </w:r>
          </w:p>
        </w:tc>
        <w:tc>
          <w:tcPr>
            <w:tcW w:w="2835"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1 625,36</w:t>
            </w:r>
          </w:p>
        </w:tc>
      </w:tr>
      <w:tr>
        <w:trPr>
          <w:trHeight w:val="674"/>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Результат исполнения бюджета (дефицит/профицит)</w:t>
            </w:r>
          </w:p>
        </w:tc>
        <w:tc>
          <w:tcPr>
            <w:tcW w:w="2693"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-3 142,04</w:t>
            </w:r>
          </w:p>
          <w:p>
            <w:pPr>
              <w:spacing w:line="240" w:lineRule="atLeast"/>
              <w:ind w:firstLine="709"/>
              <w:jc w:val="right"/>
              <w:rPr>
                <w:rFonts w:ascii="Times New Roman" w:hAnsi="Times New Roman"/>
                <w:color w:val="000000" w:themeColor="text1"/>
                <w:sz w:val="24"/>
                <w:szCs w:val="24"/>
              </w:rPr>
            </w:pPr>
          </w:p>
        </w:tc>
        <w:tc>
          <w:tcPr>
            <w:tcW w:w="1701"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-2 956,30</w:t>
            </w:r>
          </w:p>
        </w:tc>
        <w:tc>
          <w:tcPr>
            <w:tcW w:w="2126"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-185,44</w:t>
            </w:r>
          </w:p>
        </w:tc>
        <w:tc>
          <w:tcPr>
            <w:tcW w:w="2552"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-12,61</w:t>
            </w:r>
          </w:p>
          <w:p>
            <w:pPr>
              <w:spacing w:line="240" w:lineRule="atLeast"/>
              <w:ind w:firstLine="709"/>
              <w:jc w:val="right"/>
              <w:rPr>
                <w:rFonts w:ascii="Times New Roman" w:hAnsi="Times New Roman"/>
                <w:color w:val="000000" w:themeColor="text1"/>
                <w:sz w:val="24"/>
                <w:szCs w:val="24"/>
              </w:rPr>
            </w:pPr>
          </w:p>
        </w:tc>
        <w:tc>
          <w:tcPr>
            <w:tcW w:w="2835"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12,31</w:t>
            </w:r>
          </w:p>
          <w:p>
            <w:pPr>
              <w:spacing w:line="240" w:lineRule="atLeast"/>
              <w:ind w:firstLine="709"/>
              <w:jc w:val="right"/>
              <w:rPr>
                <w:rFonts w:ascii="Times New Roman" w:hAnsi="Times New Roman"/>
                <w:color w:val="000000" w:themeColor="text1"/>
                <w:sz w:val="24"/>
                <w:szCs w:val="24"/>
              </w:rPr>
            </w:pPr>
          </w:p>
        </w:tc>
      </w:tr>
      <w:tr>
        <w:trPr>
          <w:trHeight w:val="907"/>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Источники финансирования дефицита бюджетов, всего</w:t>
            </w:r>
          </w:p>
        </w:tc>
        <w:tc>
          <w:tcPr>
            <w:tcW w:w="2693"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3 142,04</w:t>
            </w:r>
          </w:p>
          <w:p>
            <w:pPr>
              <w:spacing w:line="240" w:lineRule="atLeast"/>
              <w:ind w:firstLine="709"/>
              <w:jc w:val="right"/>
              <w:rPr>
                <w:rFonts w:ascii="Times New Roman" w:hAnsi="Times New Roman"/>
                <w:color w:val="000000" w:themeColor="text1"/>
                <w:sz w:val="24"/>
                <w:szCs w:val="24"/>
              </w:rPr>
            </w:pPr>
          </w:p>
        </w:tc>
        <w:tc>
          <w:tcPr>
            <w:tcW w:w="1701"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2 956,30</w:t>
            </w:r>
          </w:p>
        </w:tc>
        <w:tc>
          <w:tcPr>
            <w:tcW w:w="2126" w:type="dxa"/>
            <w:vAlign w:val="center"/>
          </w:tcPr>
          <w:p>
            <w:pPr>
              <w:spacing w:line="240" w:lineRule="atLeast"/>
              <w:jc w:val="right"/>
              <w:rPr>
                <w:rFonts w:ascii="Times New Roman" w:hAnsi="Times New Roman"/>
                <w:color w:val="000000" w:themeColor="text1"/>
                <w:sz w:val="24"/>
                <w:szCs w:val="24"/>
              </w:rPr>
            </w:pPr>
            <w:r>
              <w:rPr>
                <w:rFonts w:ascii="Times New Roman" w:hAnsi="Times New Roman"/>
                <w:bCs/>
                <w:color w:val="000000" w:themeColor="text1"/>
                <w:sz w:val="24"/>
                <w:szCs w:val="24"/>
              </w:rPr>
              <w:t>185,44</w:t>
            </w:r>
          </w:p>
        </w:tc>
        <w:tc>
          <w:tcPr>
            <w:tcW w:w="2552"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12,61</w:t>
            </w:r>
          </w:p>
          <w:p>
            <w:pPr>
              <w:spacing w:line="240" w:lineRule="atLeast"/>
              <w:ind w:firstLine="709"/>
              <w:jc w:val="right"/>
              <w:rPr>
                <w:rFonts w:ascii="Times New Roman" w:hAnsi="Times New Roman"/>
                <w:color w:val="000000" w:themeColor="text1"/>
                <w:sz w:val="24"/>
                <w:szCs w:val="24"/>
              </w:rPr>
            </w:pPr>
          </w:p>
        </w:tc>
        <w:tc>
          <w:tcPr>
            <w:tcW w:w="2835" w:type="dxa"/>
            <w:vAlign w:val="center"/>
          </w:tcPr>
          <w:p>
            <w:pPr>
              <w:spacing w:line="240" w:lineRule="atLeast"/>
              <w:jc w:val="right"/>
              <w:rPr>
                <w:rFonts w:ascii="Times New Roman" w:hAnsi="Times New Roman"/>
                <w:bCs/>
                <w:color w:val="000000" w:themeColor="text1"/>
                <w:sz w:val="24"/>
                <w:szCs w:val="24"/>
              </w:rPr>
            </w:pPr>
          </w:p>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-12,31</w:t>
            </w:r>
          </w:p>
          <w:p>
            <w:pPr>
              <w:spacing w:line="240" w:lineRule="atLeast"/>
              <w:ind w:firstLine="709"/>
              <w:jc w:val="right"/>
              <w:rPr>
                <w:rFonts w:ascii="Times New Roman" w:hAnsi="Times New Roman"/>
                <w:color w:val="000000" w:themeColor="text1"/>
                <w:sz w:val="24"/>
                <w:szCs w:val="24"/>
              </w:rPr>
            </w:pPr>
          </w:p>
        </w:tc>
      </w:tr>
      <w:tr>
        <w:trPr>
          <w:trHeight w:val="894"/>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Источники внутреннего финансирования дефицита бюджетов</w:t>
            </w:r>
          </w:p>
        </w:tc>
        <w:tc>
          <w:tcPr>
            <w:tcW w:w="2693"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-405,79</w:t>
            </w:r>
          </w:p>
        </w:tc>
        <w:tc>
          <w:tcPr>
            <w:tcW w:w="1701"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-683,80</w:t>
            </w:r>
          </w:p>
        </w:tc>
        <w:tc>
          <w:tcPr>
            <w:tcW w:w="2126"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159,00</w:t>
            </w:r>
          </w:p>
        </w:tc>
        <w:tc>
          <w:tcPr>
            <w:tcW w:w="2552"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119,01</w:t>
            </w:r>
          </w:p>
        </w:tc>
        <w:tc>
          <w:tcPr>
            <w:tcW w:w="2835" w:type="dxa"/>
            <w:vAlign w:val="center"/>
          </w:tcPr>
          <w:p>
            <w:pPr>
              <w:spacing w:line="240" w:lineRule="atLeast"/>
              <w:ind w:firstLine="709"/>
              <w:jc w:val="right"/>
              <w:rPr>
                <w:rFonts w:ascii="Times New Roman" w:hAnsi="Times New Roman"/>
                <w:color w:val="000000" w:themeColor="text1"/>
                <w:sz w:val="24"/>
                <w:szCs w:val="24"/>
              </w:rPr>
            </w:pPr>
          </w:p>
        </w:tc>
      </w:tr>
      <w:tr>
        <w:trPr>
          <w:trHeight w:val="674"/>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Источники внешнего финансирования дефицита бюджетов</w:t>
            </w:r>
          </w:p>
        </w:tc>
        <w:tc>
          <w:tcPr>
            <w:tcW w:w="2693"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14,57</w:t>
            </w:r>
          </w:p>
        </w:tc>
        <w:tc>
          <w:tcPr>
            <w:tcW w:w="1701"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42,80</w:t>
            </w:r>
          </w:p>
        </w:tc>
        <w:tc>
          <w:tcPr>
            <w:tcW w:w="2126"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 </w:t>
            </w:r>
          </w:p>
        </w:tc>
        <w:tc>
          <w:tcPr>
            <w:tcW w:w="2552"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-28,23</w:t>
            </w:r>
          </w:p>
        </w:tc>
        <w:tc>
          <w:tcPr>
            <w:tcW w:w="2835"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 </w:t>
            </w:r>
          </w:p>
        </w:tc>
      </w:tr>
      <w:tr>
        <w:trPr>
          <w:trHeight w:val="686"/>
        </w:trPr>
        <w:tc>
          <w:tcPr>
            <w:tcW w:w="2802" w:type="dxa"/>
            <w:vAlign w:val="center"/>
          </w:tcPr>
          <w:p>
            <w:pPr>
              <w:spacing w:line="240" w:lineRule="atLeast"/>
              <w:rPr>
                <w:rFonts w:ascii="Times New Roman" w:hAnsi="Times New Roman"/>
                <w:color w:val="000000" w:themeColor="text1"/>
                <w:sz w:val="24"/>
                <w:szCs w:val="24"/>
              </w:rPr>
            </w:pPr>
            <w:r>
              <w:rPr>
                <w:rFonts w:ascii="Times New Roman" w:hAnsi="Times New Roman"/>
                <w:color w:val="000000" w:themeColor="text1"/>
                <w:sz w:val="24"/>
                <w:szCs w:val="24"/>
              </w:rPr>
              <w:t>Изменение остатков средств на счетах по учету средств бюджета</w:t>
            </w:r>
          </w:p>
        </w:tc>
        <w:tc>
          <w:tcPr>
            <w:tcW w:w="2693"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3 533,26</w:t>
            </w:r>
          </w:p>
        </w:tc>
        <w:tc>
          <w:tcPr>
            <w:tcW w:w="1701"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3 597,30</w:t>
            </w:r>
          </w:p>
        </w:tc>
        <w:tc>
          <w:tcPr>
            <w:tcW w:w="2126"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26,44</w:t>
            </w:r>
          </w:p>
        </w:tc>
        <w:tc>
          <w:tcPr>
            <w:tcW w:w="2552"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-78,17</w:t>
            </w:r>
          </w:p>
        </w:tc>
        <w:tc>
          <w:tcPr>
            <w:tcW w:w="2835" w:type="dxa"/>
            <w:vAlign w:val="center"/>
          </w:tcPr>
          <w:p>
            <w:pPr>
              <w:spacing w:line="240" w:lineRule="atLeast"/>
              <w:jc w:val="right"/>
              <w:rPr>
                <w:rFonts w:ascii="Times New Roman" w:hAnsi="Times New Roman"/>
                <w:bCs/>
                <w:color w:val="000000" w:themeColor="text1"/>
                <w:sz w:val="24"/>
                <w:szCs w:val="24"/>
              </w:rPr>
            </w:pPr>
            <w:r>
              <w:rPr>
                <w:rFonts w:ascii="Times New Roman" w:hAnsi="Times New Roman"/>
                <w:bCs/>
                <w:color w:val="000000" w:themeColor="text1"/>
                <w:sz w:val="24"/>
                <w:szCs w:val="24"/>
              </w:rPr>
              <w:t>-12,31</w:t>
            </w:r>
          </w:p>
        </w:tc>
      </w:tr>
    </w:tbl>
    <w:p>
      <w:pPr>
        <w:spacing w:before="120" w:after="120" w:line="360" w:lineRule="atLeast"/>
        <w:ind w:firstLine="709"/>
        <w:jc w:val="both"/>
        <w:rPr>
          <w:rFonts w:ascii="Times New Roman" w:hAnsi="Times New Roman"/>
          <w:color w:val="000000" w:themeColor="text1"/>
          <w:sz w:val="28"/>
          <w:szCs w:val="28"/>
        </w:rPr>
        <w:sectPr>
          <w:pgSz w:w="16838" w:h="11906" w:orient="landscape" w:code="9"/>
          <w:pgMar w:top="1701" w:right="1418" w:bottom="992" w:left="1361" w:header="709" w:footer="709" w:gutter="0"/>
          <w:cols w:space="708"/>
          <w:docGrid w:linePitch="360"/>
        </w:sectPr>
      </w:pPr>
    </w:p>
    <w:p>
      <w:pPr>
        <w:spacing w:before="120" w:after="12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Предоставление в рамках заключенных соглашений заинтересованным внешним пользователям информации об исполнении консолидированного бюджета Российской Федерации и бюджетов ГВФ РФ, федерального бюджета, консолидированных бюджетов субъектов Российской Федерации и бюджетов территориальных государственных внебюджетных фондов</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Схема 5</w:t>
      </w:r>
    </w:p>
    <w:p>
      <w:pPr>
        <w:autoSpaceDE w:val="0"/>
        <w:autoSpaceDN w:val="0"/>
        <w:adjustRightInd w:val="0"/>
        <w:spacing w:line="360" w:lineRule="atLeast"/>
        <w:jc w:val="both"/>
        <w:rPr>
          <w:rFonts w:ascii="Times New Roman" w:hAnsi="Times New Roman"/>
          <w:b/>
          <w:color w:val="000000" w:themeColor="text1"/>
          <w:sz w:val="28"/>
          <w:szCs w:val="28"/>
          <w:lang w:val="en-US"/>
        </w:rPr>
      </w:pPr>
      <w:r>
        <w:rPr>
          <w:rFonts w:ascii="Times New Roman" w:hAnsi="Times New Roman"/>
          <w:noProof/>
          <w:color w:val="000000" w:themeColor="text1"/>
          <w:sz w:val="28"/>
          <w:szCs w:val="28"/>
          <w:lang w:eastAsia="ru-RU"/>
        </w:rPr>
        <w:drawing>
          <wp:inline distT="0" distB="0" distL="0" distR="0">
            <wp:extent cx="5852160" cy="4182110"/>
            <wp:effectExtent l="0" t="0" r="0" b="0"/>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2160" cy="4182110"/>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в рамках заключенных соглашений </w:t>
      </w:r>
      <w:r>
        <w:rPr>
          <w:rFonts w:ascii="Times New Roman" w:hAnsi="Times New Roman"/>
          <w:color w:val="000000" w:themeColor="text1"/>
          <w:sz w:val="28"/>
          <w:szCs w:val="28"/>
        </w:rPr>
        <w:br/>
        <w:t>в 2016 году предоставлена следующая информация об исполнении федерального бюджета.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Счетной палате, в целях осуществления предварительного контроля </w:t>
      </w:r>
      <w:r>
        <w:rPr>
          <w:rFonts w:ascii="Times New Roman" w:hAnsi="Times New Roman"/>
          <w:color w:val="000000" w:themeColor="text1"/>
          <w:sz w:val="28"/>
          <w:szCs w:val="28"/>
        </w:rPr>
        <w:br/>
        <w:t xml:space="preserve">за ходом исполнения федерального бюджета в рамках Соглашения </w:t>
      </w:r>
      <w:r>
        <w:rPr>
          <w:rFonts w:ascii="Times New Roman" w:hAnsi="Times New Roman"/>
          <w:color w:val="000000" w:themeColor="text1"/>
          <w:sz w:val="28"/>
          <w:szCs w:val="28"/>
        </w:rPr>
        <w:br/>
        <w:t xml:space="preserve">об информационном взаимодействии Федерального казначейства и Счетной палаты от 14 мая 2014 года и Дополнительного соглашения № 2 </w:t>
      </w:r>
      <w:r>
        <w:rPr>
          <w:rFonts w:ascii="Times New Roman" w:hAnsi="Times New Roman"/>
          <w:color w:val="000000" w:themeColor="text1"/>
          <w:sz w:val="28"/>
          <w:szCs w:val="28"/>
        </w:rPr>
        <w:br/>
        <w:t xml:space="preserve">от 5 февраля 2016 года представлены: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Отчет об исполнении бюджета (по федеральному бюджету, </w:t>
      </w:r>
      <w:r>
        <w:rPr>
          <w:rFonts w:ascii="Times New Roman" w:hAnsi="Times New Roman"/>
          <w:color w:val="000000" w:themeColor="text1"/>
          <w:sz w:val="28"/>
          <w:szCs w:val="28"/>
        </w:rPr>
        <w:br/>
        <w:t>по бюджетам ГВФ РФ) (ф. 0503117) (ежемесячно);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федерального бюджета (ф. 0507011) (ежеквартально, ежегодно); отчеты управлений Федерального казначейства по субъектам Российской Федерации (ежемесячно, ежеквартально);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Отчет об исполнении консолидированного бюджета Российской Федерации и бюджетов государственных внебюджетных фондов (ф. 0507021) (ежемесячно,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субъекта Российской Федерации и бюджета территориального государственного внебюджетного фонда (ф. 0503317) (ежемесячно,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Федерации </w:t>
      </w:r>
      <w:r>
        <w:rPr>
          <w:rFonts w:ascii="Times New Roman" w:hAnsi="Times New Roman"/>
          <w:color w:val="000000" w:themeColor="text1"/>
          <w:sz w:val="28"/>
          <w:szCs w:val="28"/>
        </w:rPr>
        <w:br/>
        <w:t xml:space="preserve">по поступлениям (по доходам - вид доходов, подвид доходов </w:t>
      </w:r>
      <w:r>
        <w:rPr>
          <w:rFonts w:ascii="Times New Roman" w:hAnsi="Times New Roman"/>
          <w:color w:val="000000" w:themeColor="text1"/>
          <w:sz w:val="28"/>
          <w:szCs w:val="28"/>
        </w:rPr>
        <w:br/>
        <w:t>и по источникам финансирования дефицита бюджетов - группа, подгруппа, статья, вид источников финансирования дефицитов бюджетов) и выбытиям (по расходам – раздел, подраздел, вид расходов и по источникам финансирования дефицита бюджетов - группа, подгруппа, статья, вид источников финансирования дефицитов бюджетов) средств бюджетов (ежемесячно, ежеквартально,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Иная информация, предусмотренная Соглашением.</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Центральному банку Российской Федерации, в целях осуществления бюджетной и денежно-кредитной политики, а также анализа прогнозирования ликвидности банковского сектора в рамках Соглашения </w:t>
      </w:r>
      <w:r>
        <w:rPr>
          <w:rFonts w:ascii="Times New Roman" w:hAnsi="Times New Roman"/>
          <w:color w:val="000000" w:themeColor="text1"/>
          <w:sz w:val="28"/>
          <w:szCs w:val="28"/>
        </w:rPr>
        <w:br/>
        <w:t xml:space="preserve">об информационном взаимодействии между Центральным банком Российской Федерации и Федеральным казначейством от 15 ноября </w:t>
      </w:r>
      <w:r>
        <w:rPr>
          <w:rFonts w:ascii="Times New Roman" w:hAnsi="Times New Roman"/>
          <w:color w:val="000000" w:themeColor="text1"/>
          <w:sz w:val="28"/>
          <w:szCs w:val="28"/>
        </w:rPr>
        <w:br/>
        <w:t xml:space="preserve">2006 года, представлены: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бюджета (по федеральному бюджету) (ф. 0503117) (ежемесячно), Отчет об исполнении федерального бюджета (ф. 0507011) (ежеквартально,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Российской Федерации и бюджетов государственных внебюджетных фондов (ф. 0507021) (ежемесячно,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Федерации </w:t>
      </w:r>
      <w:r>
        <w:rPr>
          <w:rFonts w:ascii="Times New Roman" w:hAnsi="Times New Roman"/>
          <w:color w:val="000000" w:themeColor="text1"/>
          <w:sz w:val="28"/>
          <w:szCs w:val="28"/>
        </w:rPr>
        <w:br/>
        <w:t xml:space="preserve">по поступлениям (по доходам – вид доходов, подвид доходов </w:t>
      </w:r>
      <w:r>
        <w:rPr>
          <w:rFonts w:ascii="Times New Roman" w:hAnsi="Times New Roman"/>
          <w:color w:val="000000" w:themeColor="text1"/>
          <w:sz w:val="28"/>
          <w:szCs w:val="28"/>
        </w:rPr>
        <w:br/>
        <w:t>и по источникам финансирования дефицита бюджетов – группа, подгруппа, статья, вид источников финансирования дефицитов бюджетов) и выбытиям (по расходам – раздел, подраздел, вид расходов и по источникам финансирования дефицита бюджетов – группа, подгруппа, статья, вид источников финансирования дефицитов бюджетов) средств бюджетов (ежемесячно, ежеквартально,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Федеральной службе государственной статистики, в целях построения национальных счетов Российской Федерации, исчисления валового внутреннего продукта (далее – ВВП) в рамках Соглашения </w:t>
      </w:r>
      <w:r>
        <w:rPr>
          <w:rFonts w:ascii="Times New Roman" w:hAnsi="Times New Roman"/>
          <w:color w:val="000000" w:themeColor="text1"/>
          <w:sz w:val="28"/>
          <w:szCs w:val="28"/>
        </w:rPr>
        <w:br/>
        <w:t>об информационном взаимодействии Федеральной службы государственной статистики и Федерального казначейства от 13 мая 2008 года представлены:</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бюджета (по федеральному бюджету) (ф.</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0503117) (ежеквартально);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по кассовому исполнению государственных программ Российской Федерации (подпрограмм), финансирование которых предусмотрено за счет средств федерального бюджета (ежеквартально);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 кассовых поступлениях и выбытиях бюджетных средств (ф. 0503124) УФК по субъектам Российской Федерации (ежегодно);</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Отчет об исполнении консолидированного бюджета Российской Федерации и бюджетов государственных внебюджетных фондов (ф. 0507021) (ежеквартально);</w:t>
      </w:r>
    </w:p>
    <w:p>
      <w:pPr>
        <w:autoSpaceDE w:val="0"/>
        <w:autoSpaceDN w:val="0"/>
        <w:adjustRightInd w:val="0"/>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Федерации </w:t>
      </w:r>
      <w:r>
        <w:rPr>
          <w:rFonts w:ascii="Times New Roman" w:hAnsi="Times New Roman"/>
          <w:color w:val="000000" w:themeColor="text1"/>
          <w:sz w:val="28"/>
          <w:szCs w:val="28"/>
        </w:rPr>
        <w:br/>
        <w:t xml:space="preserve">по поступлениям (по доходам – вид доходов, подвид доходов </w:t>
      </w:r>
      <w:r>
        <w:rPr>
          <w:rFonts w:ascii="Times New Roman" w:hAnsi="Times New Roman"/>
          <w:color w:val="000000" w:themeColor="text1"/>
          <w:sz w:val="28"/>
          <w:szCs w:val="28"/>
        </w:rPr>
        <w:br/>
        <w:t>и по источникам финансирования дефицита бюджетов – группа, подгруппа, статья, вид источников финансирования дефицитов бюджетов) и выбытиям (по расходам – раздел, подраздел, вид расходов и по источникам финансирования дефицита бюджетов – группа, подгруппа, статья, вид источников финансирования дефицитов бюджетов) средств бюджетов (ежемесячно, ежеквартально, ежегодно).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2016 году в рамках заключенных соглашений Федеральным казначейством предоставлялась информация Федеральной службе по финансовому мониторингу, Федеральной службе по оборонному заказу, ФНС и другим внешним заинтересованным пользователям.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Федеральным казначейством в целях обеспечения своевременного и качественного формирования оперативной, ежемесячной и квартальной бюджетной отчетности, представляемой в Минфин России </w:t>
      </w:r>
      <w:r>
        <w:rPr>
          <w:rFonts w:ascii="Times New Roman" w:hAnsi="Times New Roman"/>
          <w:color w:val="000000" w:themeColor="text1"/>
          <w:sz w:val="28"/>
          <w:szCs w:val="28"/>
        </w:rPr>
        <w:br/>
        <w:t xml:space="preserve">и другим заинтересованным пользователям, и размещение </w:t>
      </w:r>
      <w:r>
        <w:rPr>
          <w:rFonts w:ascii="Times New Roman" w:hAnsi="Times New Roman"/>
          <w:color w:val="000000" w:themeColor="text1"/>
          <w:sz w:val="28"/>
          <w:szCs w:val="28"/>
        </w:rPr>
        <w:br/>
        <w:t xml:space="preserve">ее на Официальном сайте </w:t>
      </w:r>
      <w:hyperlink r:id="rId94"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проведена следующая работа.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Подготовлены и утверждены приказы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30 декабря 2016 г. № 521 «О внесении изменений в Особенности формирования бюджетной отчетности по кассовому исполнению федерального бюджета, кассовому обслуживанию исполнения бюджетов бюджетной системы Российской Федерации, по операциям со средствами бюджетных, автономных учреждений и иных юридических лиц </w:t>
      </w:r>
      <w:r>
        <w:rPr>
          <w:rFonts w:ascii="Times New Roman" w:hAnsi="Times New Roman"/>
          <w:color w:val="000000" w:themeColor="text1"/>
          <w:sz w:val="28"/>
          <w:szCs w:val="28"/>
        </w:rPr>
        <w:lastRenderedPageBreak/>
        <w:t xml:space="preserve">территориальными органами Федерального казначейства, утвержденные приказом Федерального казначейства от 4 декабря 2015 г. № 339»;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11 июля 2016 г. № 245 «О сроках представления годовой бюджетной отчетности по кассовому исполнению федерального бюджета, кассовому обслуживанию исполнения бюджетов бюджетной системы Российской Федерации и бюджета Союзного государства, по операциям </w:t>
      </w:r>
      <w:r>
        <w:rPr>
          <w:rFonts w:ascii="Times New Roman" w:hAnsi="Times New Roman"/>
          <w:color w:val="000000" w:themeColor="text1"/>
          <w:sz w:val="28"/>
          <w:szCs w:val="28"/>
        </w:rPr>
        <w:br/>
        <w:t>со средствами бюджетных, автономных учреждений и иных юридических лиц за 2016 год территориальными органами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 декабря 2016 г. № 29н «О сроках представления годовой отчетности об исполнении бюджетов государственных внебюджетных фондов Российской Федерации, годовой отчетности об исполнении консолидированных бюджетов субъектов Российской Федерации </w:t>
      </w:r>
      <w:r>
        <w:rPr>
          <w:rFonts w:ascii="Times New Roman" w:hAnsi="Times New Roman"/>
          <w:color w:val="000000" w:themeColor="text1"/>
          <w:sz w:val="28"/>
          <w:szCs w:val="28"/>
        </w:rPr>
        <w:br/>
        <w:t>и бюджетов территориальных государственных внебюджетных фондов, сводной бухгалтерской отчетности бюджетных и автономных учреждений, в отношении которых функции и полномочия учредителя осуществляются органами управления государственными внебюджетными фондами Российской Федерации, органами исполнительной власти субъектов Российской Федерации и органами местного самоуправления, за 2016 год, месячной и квартальной отчетности в 2017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от 22 ноября 2016 г. № 28н «О сроках представления главными распорядителями средств федерального бюджета, главными администраторами доходов федерального бюджета, главными администраторами источников финансирования дефицита федерального бюджета в Межрегиональное операционное управление Федерального казначейства сводной месячной, квартальной и годовой бюджетной отчетности, сводной квартальной и годовой бухгалтерской отчетности федеральных бюджетных и автономных учреждений в 2017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Разработаны и направлены субъектам бюджетной (бухгалтерской) отчетности для руководства в работе особенности составления отчетности совместными письмами Минфина России и Федерального казначейства: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30 декабря 2015 г. № 02-07-07/77754 и № 07-04-05/02-919 </w:t>
      </w:r>
      <w:r>
        <w:rPr>
          <w:rFonts w:ascii="Times New Roman" w:hAnsi="Times New Roman"/>
          <w:color w:val="000000" w:themeColor="text1"/>
          <w:sz w:val="28"/>
          <w:szCs w:val="28"/>
        </w:rPr>
        <w:br/>
        <w:t>«Об особенностях составления и представления годовой бюджетной отчетности и сводной бухгалтерской отчетности государственных бюджетных и автономных учреждений главными администраторами средств федерального бюджета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30 декабря 2015 г. № 02-07-07/77756 и № 07-04-05/02-920 </w:t>
      </w:r>
      <w:r>
        <w:rPr>
          <w:rFonts w:ascii="Times New Roman" w:hAnsi="Times New Roman"/>
          <w:color w:val="000000" w:themeColor="text1"/>
          <w:sz w:val="28"/>
          <w:szCs w:val="28"/>
        </w:rPr>
        <w:br/>
        <w:t xml:space="preserve">«Об особенностях составления и представления годовой бюджетной отчетности и сводной бухгалтерской отчетности государственных (муниципальных) бюджетных и автономных учреждений финансовыми </w:t>
      </w:r>
      <w:r>
        <w:rPr>
          <w:rFonts w:ascii="Times New Roman" w:hAnsi="Times New Roman"/>
          <w:color w:val="000000" w:themeColor="text1"/>
          <w:sz w:val="28"/>
          <w:szCs w:val="28"/>
        </w:rPr>
        <w:lastRenderedPageBreak/>
        <w:t>органами субъектов Российской Федерации и органами управления государственными внебюджетными фондами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17 марта 2016 г. № 02-07-07/15237 и № 07-04-05/02-178 </w:t>
      </w:r>
      <w:r>
        <w:rPr>
          <w:rFonts w:ascii="Times New Roman" w:hAnsi="Times New Roman"/>
          <w:color w:val="000000" w:themeColor="text1"/>
          <w:sz w:val="28"/>
          <w:szCs w:val="28"/>
        </w:rPr>
        <w:br/>
        <w:t>«О составлении и представлении месячной и квартальной бюджетной отчетности, квартальной сводной бухгалтерской отчетности государственных бюджетных и автономных учреждений главными администраторами средств федерального бюджета 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23 марта 2016 г. № 02-07-07/16375 и № 07-04-05/02-200 </w:t>
      </w:r>
      <w:r>
        <w:rPr>
          <w:rFonts w:ascii="Times New Roman" w:hAnsi="Times New Roman"/>
          <w:color w:val="000000" w:themeColor="text1"/>
          <w:sz w:val="28"/>
          <w:szCs w:val="28"/>
        </w:rPr>
        <w:br/>
        <w:t>«О составлении и представлении месячной и квартальной бюджетной отчетности, квартальной сводной бухгалтерской отчетности государственных (муниципальных) бюджетных и автономных учреждений финансовыми органами субъектов Российской Федерации и органами управления государственных внебюджетных фондов 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04 июля 2016 г. № 02-07-07/39110 и № 07-04-05/02-493 </w:t>
      </w:r>
      <w:r>
        <w:rPr>
          <w:rFonts w:ascii="Times New Roman" w:hAnsi="Times New Roman"/>
          <w:color w:val="000000" w:themeColor="text1"/>
          <w:sz w:val="28"/>
          <w:szCs w:val="28"/>
        </w:rPr>
        <w:br/>
        <w:t xml:space="preserve">«Об отдельных вопросах составления и представления месячной </w:t>
      </w:r>
      <w:r>
        <w:rPr>
          <w:rFonts w:ascii="Times New Roman" w:hAnsi="Times New Roman"/>
          <w:color w:val="000000" w:themeColor="text1"/>
          <w:sz w:val="28"/>
          <w:szCs w:val="28"/>
        </w:rPr>
        <w:br/>
        <w:t xml:space="preserve">и квартальной бюджетной отчетности, квартальной сводной бухгалтерской отчетности государственных (муниципальных) бюджетных и автономных учреждений в 2016 году» (вместе с «Разъяснениями отдельных вопросов составления и представления месячной и квартальной бюджетной отчетности, квартальной бухгалтерской отчетности (сводной отчетности) государственных (муниципальных) бюджетных и автономных учреждений </w:t>
      </w:r>
      <w:r>
        <w:rPr>
          <w:rFonts w:ascii="Times New Roman" w:hAnsi="Times New Roman"/>
          <w:color w:val="000000" w:themeColor="text1"/>
          <w:sz w:val="28"/>
          <w:szCs w:val="28"/>
        </w:rPr>
        <w:br/>
        <w:t>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от 23 сентября 2016 г. № 02-07-07/55656 и № 07-04-05/02-768 </w:t>
      </w:r>
      <w:r>
        <w:rPr>
          <w:rFonts w:ascii="Times New Roman" w:hAnsi="Times New Roman"/>
          <w:color w:val="000000" w:themeColor="text1"/>
          <w:sz w:val="28"/>
          <w:szCs w:val="28"/>
        </w:rPr>
        <w:br/>
        <w:t xml:space="preserve">«Об особенностях составления и представления бюджетной отчетности </w:t>
      </w:r>
      <w:r>
        <w:rPr>
          <w:rFonts w:ascii="Times New Roman" w:hAnsi="Times New Roman"/>
          <w:color w:val="000000" w:themeColor="text1"/>
          <w:sz w:val="28"/>
          <w:szCs w:val="28"/>
        </w:rPr>
        <w:br/>
        <w:t>на 1 октября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Разработан и направлен в Минфин России на согласование проект Методики формирования Федеральным казначейством предварительной информации об исполнении федерального бюджета за отчетный финансовый год в целях ее представления в Минфин России во исполнение поручения Первого заместителя Министра финансов Российской Федерации Т.Г. Нестеренко от 8 февраля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реализации приказа Минфина России от 16 ноября 2016 г. № 209н «О внесении изменений в некоторые приказы Министерства финансов Российской Федерации в целях совершенствования бюджетного (бухгалтерского) учета и отчетности» разработан и направлен в Минфин России на согласование проект письма Министерства финансов Российской Федерации для обеспечения в 2017 году ведения ТОФК бюджетного учета бюджетных и денежных обязательств получателей средств федерального бюджета и учреждений, которым переданы полномочия получателя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Обеспечено проведение 4 февраля 2016 года инструктивно – методической видеоконференции по вопросам формирования </w:t>
      </w:r>
      <w:r>
        <w:rPr>
          <w:rFonts w:ascii="Times New Roman" w:hAnsi="Times New Roman"/>
          <w:color w:val="000000" w:themeColor="text1"/>
          <w:sz w:val="28"/>
          <w:szCs w:val="28"/>
        </w:rPr>
        <w:br/>
        <w:t>и представления финансовыми органами субъектов Российской Федерации, ТОФК годовой бюджетной (бухгалтерской) отчетности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своевременного и качественного формирования оперативной, ежемесячной и квартальной бюджетной отчетности, рассмотрения вопросов внесения изменений в действующие НПА по бюджетному учету </w:t>
      </w:r>
      <w:r>
        <w:rPr>
          <w:rFonts w:ascii="Times New Roman" w:hAnsi="Times New Roman"/>
          <w:color w:val="000000" w:themeColor="text1"/>
          <w:sz w:val="28"/>
          <w:szCs w:val="28"/>
        </w:rPr>
        <w:br/>
        <w:t>и отчетности, актуальных вопросов исполнения бюджетов и формирования отчетности об исполнении бюджетов бюджетной системы Российской Федерации совместно с Министерством финансов Российской Федерации проведена видеоконференция для специалистов УФК по субъектам Российской Федерации, финансовых органов субъектов Российской Федерации и органов управления ГВФ РФ по вопросам бюджетного (бухгалтерского) учета и формирования бюджетной (бухгалтерской) отчетности 13 и 14 сентября 2016 года. При этом отмечается высокий уровень оценки данных совещаний со стороны всех участников.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нормативного правового регулирования процесса составления и представления отчетности по статистике государственных финансов Российской Федерации в Международный валютный фонд и обеспечения согласованности данных Статистики государственных финансов, финансовых счетов и Статистики национальных счетов в адрес Минфина России направлены: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проект приказа Министерства финансов Российской Федерации </w:t>
      </w:r>
      <w:r>
        <w:rPr>
          <w:rFonts w:ascii="Times New Roman" w:hAnsi="Times New Roman"/>
          <w:color w:val="000000" w:themeColor="text1"/>
          <w:sz w:val="28"/>
          <w:szCs w:val="28"/>
        </w:rPr>
        <w:br/>
        <w:t xml:space="preserve">«Об утверждении Правил отнесения юридических лиц к сектору государственного (муниципального) управления и государственному (муниципальному) сектору»;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проект приказа Министерства финансов Российской Федерации </w:t>
      </w:r>
      <w:r>
        <w:rPr>
          <w:rFonts w:ascii="Times New Roman" w:hAnsi="Times New Roman"/>
          <w:color w:val="000000" w:themeColor="text1"/>
          <w:sz w:val="28"/>
          <w:szCs w:val="28"/>
        </w:rPr>
        <w:br/>
        <w:t>«Об информации по статистике государственных финансов».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результатам рассмотрения проектов указанных документов издан приказ Министерства финансов Российской Федерации от 30 ноября 2016 г. № 221н «Об утверждении Порядка формирования информации </w:t>
      </w:r>
      <w:r>
        <w:rPr>
          <w:rFonts w:ascii="Times New Roman" w:hAnsi="Times New Roman"/>
          <w:color w:val="000000" w:themeColor="text1"/>
          <w:sz w:val="28"/>
          <w:szCs w:val="28"/>
        </w:rPr>
        <w:br/>
        <w:t>по статистике государственных финансов».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сотрудничества Российской Федерации с Международным валютным фондом и странами Группы 20 на региональной международной конференции, проводимой Центральным Банком Российской Федерации, предоставлен доклад по вопросу формирования статистики государственных финансов и озвучена позиция Федерального казначейства по мероприятиям второго этапа инициативы Группы 20.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в целях совершенствования бюджетного законодательства Российской Федерации по разрабатываемым нормативным документам </w:t>
      </w:r>
      <w:r>
        <w:rPr>
          <w:rFonts w:ascii="Times New Roman" w:hAnsi="Times New Roman"/>
          <w:color w:val="000000" w:themeColor="text1"/>
          <w:sz w:val="28"/>
          <w:szCs w:val="28"/>
        </w:rPr>
        <w:lastRenderedPageBreak/>
        <w:t xml:space="preserve">Федеральным казначейством направлены замечания и предложения </w:t>
      </w:r>
      <w:r>
        <w:rPr>
          <w:rFonts w:ascii="Times New Roman" w:hAnsi="Times New Roman"/>
          <w:color w:val="000000" w:themeColor="text1"/>
          <w:sz w:val="28"/>
          <w:szCs w:val="28"/>
        </w:rPr>
        <w:br/>
        <w:t>к проектам: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w:t>
      </w:r>
      <w:r>
        <w:rPr>
          <w:rFonts w:ascii="Times New Roman" w:hAnsi="Times New Roman"/>
          <w:color w:val="000000" w:themeColor="text1"/>
          <w:sz w:val="28"/>
          <w:szCs w:val="28"/>
        </w:rPr>
        <w:br/>
        <w:t>«Об утверждении дополнительных форм годовой и квартальной бюджетной отчетности об исполнении федерального бюджета и Инструкции о порядке их составления и представления»;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«О внесении изменений в приказ Минфина России от 4 мая 2008 г. № 49н </w:t>
      </w:r>
      <w:r>
        <w:rPr>
          <w:rFonts w:ascii="Times New Roman" w:hAnsi="Times New Roman"/>
          <w:color w:val="000000" w:themeColor="text1"/>
          <w:sz w:val="28"/>
          <w:szCs w:val="28"/>
        </w:rPr>
        <w:br/>
        <w:t>«Об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w:t>
      </w:r>
      <w:r>
        <w:rPr>
          <w:rFonts w:ascii="Times New Roman" w:hAnsi="Times New Roman"/>
          <w:color w:val="000000" w:themeColor="text1"/>
          <w:sz w:val="28"/>
          <w:szCs w:val="28"/>
        </w:rPr>
        <w:br/>
        <w:t>«Об утверждении дополнительных форм бухгалтерской отчетности, представляемой федеральными бюджетными и автономными учреждениями и Инструкции о порядке их составления и представления»;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Графика формирования информации по ФАИП за 2015 год, </w:t>
      </w:r>
      <w:r>
        <w:rPr>
          <w:rFonts w:ascii="Times New Roman" w:hAnsi="Times New Roman"/>
          <w:color w:val="000000" w:themeColor="text1"/>
          <w:sz w:val="28"/>
          <w:szCs w:val="28"/>
        </w:rPr>
        <w:br/>
        <w:t xml:space="preserve">за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и 9 месяцев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«О внесении изменений в Единый план счетов бухгалтерского учета и Инструкцию </w:t>
      </w:r>
      <w:r>
        <w:rPr>
          <w:rFonts w:ascii="Times New Roman" w:hAnsi="Times New Roman"/>
          <w:color w:val="000000" w:themeColor="text1"/>
          <w:sz w:val="28"/>
          <w:szCs w:val="28"/>
        </w:rPr>
        <w:br/>
        <w:t>по его применению, утвержденные приказом Министерства финансов Российской Федерации от 1 декабря 2010 г. №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Инструкции по его применению»;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приказа Министерства финансов Российской Федерации «О внесении изменений в отдельные приказы Министерства финансов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структуры иллюстрированного издания «Исполнение федерального бюджета и бюджетов бюджетной системы Российской Федерации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w:t>
      </w:r>
      <w:r>
        <w:rPr>
          <w:rFonts w:ascii="Times New Roman" w:hAnsi="Times New Roman"/>
          <w:color w:val="000000" w:themeColor="text1"/>
          <w:sz w:val="28"/>
          <w:szCs w:val="28"/>
        </w:rPr>
        <w:br/>
        <w:t>«Об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 перечня таких форм, а также рекомендаций по формированию некоторых форм»;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приказа Министерства финансов Российской Федерации «О внесении изменений в приказ Минфина России от 11 апреля 2016 г. № 116 </w:t>
      </w:r>
      <w:r>
        <w:rPr>
          <w:rFonts w:ascii="Times New Roman" w:hAnsi="Times New Roman"/>
          <w:color w:val="000000" w:themeColor="text1"/>
          <w:sz w:val="28"/>
          <w:szCs w:val="28"/>
        </w:rPr>
        <w:br/>
        <w:t>«Об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 перечня таких форм, а также рекомендаций по формированию некоторых форм»;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Общего описания автоматизируемых функций подсистемы «Учет </w:t>
      </w:r>
      <w:r>
        <w:rPr>
          <w:rFonts w:ascii="Times New Roman" w:hAnsi="Times New Roman"/>
          <w:color w:val="000000" w:themeColor="text1"/>
          <w:sz w:val="28"/>
          <w:szCs w:val="28"/>
        </w:rPr>
        <w:br/>
        <w:t>и отчетность»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«О внесении изменений в приказ Минфина России от 1 июля 2013 г. № 65н </w:t>
      </w:r>
      <w:r>
        <w:rPr>
          <w:rFonts w:ascii="Times New Roman" w:hAnsi="Times New Roman"/>
          <w:color w:val="000000" w:themeColor="text1"/>
          <w:sz w:val="28"/>
          <w:szCs w:val="28"/>
        </w:rPr>
        <w:br/>
        <w:t>«Об утверждении Указаний о порядке применения бюджетной классификации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Методики формирования Федеральным казначейством предварительной информации об исполнении федерального бюджета </w:t>
      </w:r>
      <w:r>
        <w:rPr>
          <w:rFonts w:ascii="Times New Roman" w:hAnsi="Times New Roman"/>
          <w:color w:val="000000" w:themeColor="text1"/>
          <w:sz w:val="28"/>
          <w:szCs w:val="28"/>
        </w:rPr>
        <w:br/>
        <w:t>за отчетный финансовый год в целях ее представления в Минфин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сигнального экземпляра иллюстрированного издания «Исполнение федерального бюджета и бюджетов бюджетной системы Российской Федерации за 2015 год (предварительные итоги)»;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постановления Правительства Российской Федерации «О внесении изменений в Положение о представлении в Правительство Российской Федерации ежеквартальной и годовой отчетности об исполнении федерального бюджета», утвержденного постановлением Правительства Российской Федерации от 11 мая 2006 г. № 281»;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изменений в профессиональный стандарт «Бухгалтер», утвержденный приказом Министерства труда и социальной защиты Российской Федерации от 22 декабря 2014 г. № 1061н;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иллюстрированного издания «Исполнение федерального бюджета </w:t>
      </w:r>
      <w:r>
        <w:rPr>
          <w:rFonts w:ascii="Times New Roman" w:hAnsi="Times New Roman"/>
          <w:color w:val="000000" w:themeColor="text1"/>
          <w:sz w:val="28"/>
          <w:szCs w:val="28"/>
        </w:rPr>
        <w:br/>
        <w:t>и бюджетов бюджетной системы Российской Федерации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Порядка отражения в бюджетном учете операций по покупке (продаже) ценных бумаг по договорам репо (актуализированного);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Минфина России «Об утверждении формы Отчета </w:t>
      </w:r>
      <w:r>
        <w:rPr>
          <w:rFonts w:ascii="Times New Roman" w:hAnsi="Times New Roman"/>
          <w:color w:val="000000" w:themeColor="text1"/>
          <w:sz w:val="28"/>
          <w:szCs w:val="28"/>
        </w:rPr>
        <w:br/>
        <w:t xml:space="preserve">о расходовании субъектами Российской Федерации субвенций </w:t>
      </w:r>
      <w:r>
        <w:rPr>
          <w:rFonts w:ascii="Times New Roman" w:hAnsi="Times New Roman"/>
          <w:color w:val="000000" w:themeColor="text1"/>
          <w:sz w:val="28"/>
          <w:szCs w:val="28"/>
        </w:rPr>
        <w:br/>
        <w:t xml:space="preserve">из федерального бюджета, предоставляемых в целях реализации постановления Правительства Российской Федерации от 19 августа 2005 г. № 528 «О порядке предоставления из федерального бюджета субвенций бюджетам субъектов Российской Федерации на реализацию полномочий </w:t>
      </w:r>
      <w:r>
        <w:rPr>
          <w:rFonts w:ascii="Times New Roman" w:hAnsi="Times New Roman"/>
          <w:color w:val="000000" w:themeColor="text1"/>
          <w:sz w:val="28"/>
          <w:szCs w:val="28"/>
        </w:rPr>
        <w:br/>
        <w:t xml:space="preserve">по выплате инвалидам (в том числе детям-инвалидам), имеющим транспортные средства в соответствии с медицинскими показаниями, </w:t>
      </w:r>
      <w:r>
        <w:rPr>
          <w:rFonts w:ascii="Times New Roman" w:hAnsi="Times New Roman"/>
          <w:color w:val="000000" w:themeColor="text1"/>
          <w:sz w:val="28"/>
          <w:szCs w:val="28"/>
        </w:rPr>
        <w:br/>
        <w:t xml:space="preserve">или их законным представителем компенсации утраченной ими страховой </w:t>
      </w:r>
      <w:r>
        <w:rPr>
          <w:rFonts w:ascii="Times New Roman" w:hAnsi="Times New Roman"/>
          <w:color w:val="000000" w:themeColor="text1"/>
          <w:sz w:val="28"/>
          <w:szCs w:val="28"/>
        </w:rPr>
        <w:lastRenderedPageBreak/>
        <w:t>премии по договору обязательного страхования гражданской ответственности владельцев транспортных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приказа Министерства финансов Российской Федерации «О внесении изменений в приказ Минфина России от 28 декабря 2010 г. № 191н </w:t>
      </w:r>
      <w:r>
        <w:rPr>
          <w:rFonts w:ascii="Times New Roman" w:hAnsi="Times New Roman"/>
          <w:color w:val="000000" w:themeColor="text1"/>
          <w:sz w:val="28"/>
          <w:szCs w:val="28"/>
        </w:rPr>
        <w:br/>
        <w:t xml:space="preserve">«Об утверждении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в части раскрытия информации об исполнении федерального бюджета по расходам </w:t>
      </w:r>
      <w:r>
        <w:rPr>
          <w:rFonts w:ascii="Times New Roman" w:hAnsi="Times New Roman"/>
          <w:color w:val="000000" w:themeColor="text1"/>
          <w:sz w:val="28"/>
          <w:szCs w:val="28"/>
        </w:rPr>
        <w:br/>
        <w:t>на реализацию приоритетных проектов (программ).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адрес Минфина России направлялись позиции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возможности установления единого подхода при отражении расходов по информационно-коммуникационным технологиям органами государственной власти (государственными органами), органами управления государственными внебюджетными фондами, органами местного самоуправления, органами местной администрации, а также государственными (муниципальными) учреждениями в целях обеспечения сопоставимости данных бюджетной отчетности об исполнении бюджетов бюджетной системы Российской Федерации и бухгалтерской отчетности государственных (муниципальных) бюджетных и автономных учреждений;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совершенствовании правового регулирования вопросов, связанных с ликвидацией (реорганизацией) федеральных органов исполнительной власти и федеральных государственных бюджетных учреждений, </w:t>
      </w:r>
      <w:r>
        <w:rPr>
          <w:rFonts w:ascii="Times New Roman" w:hAnsi="Times New Roman"/>
          <w:color w:val="000000" w:themeColor="text1"/>
          <w:sz w:val="28"/>
          <w:szCs w:val="28"/>
        </w:rPr>
        <w:br/>
        <w:t xml:space="preserve">в соответствии с поручением заместителя Председателя Правительства Российской Федерации Д.Н. Козака от 26 мая 2015 г. № ДК-П16-3474 </w:t>
      </w:r>
      <w:r>
        <w:rPr>
          <w:rFonts w:ascii="Times New Roman" w:hAnsi="Times New Roman"/>
          <w:color w:val="000000" w:themeColor="text1"/>
          <w:sz w:val="28"/>
          <w:szCs w:val="28"/>
        </w:rPr>
        <w:br/>
        <w:t>по внесению изменений в постановление Правительства Российской Федерации от 11 июня 2016 г. № 527 «О внесении изменений в Положение об особенностях списания федерального имущества»;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внесении изменений в приказ Минфина России от 28 декабря 2010 г. № 191н «Об утверждении Инструкции о порядке составления </w:t>
      </w:r>
      <w:r>
        <w:rPr>
          <w:rFonts w:ascii="Times New Roman" w:hAnsi="Times New Roman"/>
          <w:color w:val="000000" w:themeColor="text1"/>
          <w:sz w:val="28"/>
          <w:szCs w:val="28"/>
        </w:rPr>
        <w:br/>
        <w:t xml:space="preserve">и представления годовой, квартальной и месячной отчетности </w:t>
      </w:r>
      <w:r>
        <w:rPr>
          <w:rFonts w:ascii="Times New Roman" w:hAnsi="Times New Roman"/>
          <w:color w:val="000000" w:themeColor="text1"/>
          <w:sz w:val="28"/>
          <w:szCs w:val="28"/>
        </w:rPr>
        <w:br/>
        <w:t xml:space="preserve">об исполнении бюджетов бюджетной системы Российской Федерации» </w:t>
      </w:r>
      <w:r>
        <w:rPr>
          <w:rFonts w:ascii="Times New Roman" w:hAnsi="Times New Roman"/>
          <w:color w:val="000000" w:themeColor="text1"/>
          <w:sz w:val="28"/>
          <w:szCs w:val="28"/>
        </w:rPr>
        <w:br/>
        <w:t xml:space="preserve">в части раскрытия информации об исполнении федерального бюджета </w:t>
      </w:r>
      <w:r>
        <w:rPr>
          <w:rFonts w:ascii="Times New Roman" w:hAnsi="Times New Roman"/>
          <w:color w:val="000000" w:themeColor="text1"/>
          <w:sz w:val="28"/>
          <w:szCs w:val="28"/>
        </w:rPr>
        <w:br/>
        <w:t xml:space="preserve">по расходам на реализацию приоритетных проектов (программ).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поручения Президента Российской Федерации </w:t>
      </w:r>
      <w:r>
        <w:rPr>
          <w:rFonts w:ascii="Times New Roman" w:hAnsi="Times New Roman"/>
          <w:color w:val="000000" w:themeColor="text1"/>
          <w:sz w:val="28"/>
          <w:szCs w:val="28"/>
        </w:rPr>
        <w:br/>
        <w:t xml:space="preserve">от 18 августа 2015 г. № Пр-1659 и Постановление № 1256 в целях выполнения Плана-графика мероприятий, предусматривающих завершение инвентаризации объектов незавершенного строительства </w:t>
      </w:r>
      <w:r>
        <w:rPr>
          <w:rFonts w:ascii="Times New Roman" w:hAnsi="Times New Roman"/>
          <w:color w:val="000000" w:themeColor="text1"/>
          <w:sz w:val="28"/>
          <w:szCs w:val="28"/>
        </w:rPr>
        <w:br/>
        <w:t xml:space="preserve">и совершенствование нормативной правовой базы и методического обеспечения учета объектов незавершенного строительства, утвержденного </w:t>
      </w:r>
      <w:r>
        <w:rPr>
          <w:rFonts w:ascii="Times New Roman" w:hAnsi="Times New Roman"/>
          <w:color w:val="000000" w:themeColor="text1"/>
          <w:sz w:val="28"/>
          <w:szCs w:val="28"/>
        </w:rPr>
        <w:lastRenderedPageBreak/>
        <w:t>Первым заместителем Председателя Правительства Российской Федерации И.И. Шуваловым, Федеральным казначейством проделана следующая работа: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Правительства Российской Федерации направлена согласованная позиция Минэкономразвития России по ведению информационного ресурса в ГАС «Управление» в целях обеспечения проведения инвентаризации объектов незавершенного строительства, </w:t>
      </w:r>
      <w:r>
        <w:rPr>
          <w:rFonts w:ascii="Times New Roman" w:hAnsi="Times New Roman"/>
          <w:color w:val="000000" w:themeColor="text1"/>
          <w:sz w:val="28"/>
          <w:szCs w:val="28"/>
        </w:rPr>
        <w:br/>
        <w:t xml:space="preserve">не включенных в ФАИП, и создания информационного ресурса, содержащего полную информацию по указанным объектам;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Минфина России и Министерства экономического развития Российской Федерации для формирования доклада Правительства Российской Федерации направлена сводная информация об объектах незавершенного строительства, вложениях в объекты недвижимого имущества за 2015 год;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адрес Минфина России направлены: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Аналитического доклада по анализу дебиторской задолженности по расходам федерального бюджета, в том числе образовавшейся в связи с авансированием договоров (государственных контрактов) и оценке эффективности мер, принимаемых ГРБС </w:t>
      </w:r>
      <w:r>
        <w:rPr>
          <w:rFonts w:ascii="Times New Roman" w:hAnsi="Times New Roman"/>
          <w:color w:val="000000" w:themeColor="text1"/>
          <w:sz w:val="28"/>
          <w:szCs w:val="28"/>
        </w:rPr>
        <w:br/>
        <w:t>по ее сокращению по состоянию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замечания и предложения по доработанному проекту Поэтапного плана снижения объемов и количества объектов незавершенного строительства;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предложения к Порядку расчета показателей качества управления дебиторской задолженностью по расходам ГРБС в целях уточнения позиции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предложения по внесению изменений в приказ Минфина России </w:t>
      </w:r>
      <w:r>
        <w:rPr>
          <w:rFonts w:ascii="Times New Roman" w:hAnsi="Times New Roman"/>
          <w:color w:val="000000" w:themeColor="text1"/>
          <w:sz w:val="28"/>
          <w:szCs w:val="28"/>
        </w:rPr>
        <w:br/>
        <w:t xml:space="preserve">от 1 марта 2015 г. № 15н «Об утверждении дополнительных форм годовой </w:t>
      </w:r>
      <w:r>
        <w:rPr>
          <w:rFonts w:ascii="Times New Roman" w:hAnsi="Times New Roman"/>
          <w:color w:val="000000" w:themeColor="text1"/>
          <w:sz w:val="28"/>
          <w:szCs w:val="28"/>
        </w:rPr>
        <w:br/>
        <w:t xml:space="preserve">и квартальной отчетности об исполнении федерального бюджета </w:t>
      </w:r>
      <w:r>
        <w:rPr>
          <w:rFonts w:ascii="Times New Roman" w:hAnsi="Times New Roman"/>
          <w:color w:val="000000" w:themeColor="text1"/>
          <w:sz w:val="28"/>
          <w:szCs w:val="28"/>
        </w:rPr>
        <w:br/>
        <w:t>и инструкции о порядке их составления и представления»;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проект формы «Информация об остатках целевых средств**, образовавшихся по состоянию на 1 января 2017 года на счетах юридических лиц, открытых в кредитных организациях и подлежащих перечислению </w:t>
      </w:r>
      <w:r>
        <w:rPr>
          <w:rFonts w:ascii="Times New Roman" w:hAnsi="Times New Roman"/>
          <w:color w:val="000000" w:themeColor="text1"/>
          <w:sz w:val="28"/>
          <w:szCs w:val="28"/>
        </w:rPr>
        <w:br/>
        <w:t>на счета территориальных органов Федерального казначейства до 1 апреля 2017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позиция Федерального казначейства по проекту Федерального закона «О внесении изменений в Кодекс Российской Федерации </w:t>
      </w:r>
      <w:r>
        <w:rPr>
          <w:rFonts w:ascii="Times New Roman" w:hAnsi="Times New Roman"/>
          <w:color w:val="000000" w:themeColor="text1"/>
          <w:sz w:val="28"/>
          <w:szCs w:val="28"/>
        </w:rPr>
        <w:br/>
        <w:t xml:space="preserve">об административных правонарушениях в части усиления административной ответственности за нарушения бюджетного </w:t>
      </w:r>
      <w:r>
        <w:rPr>
          <w:rFonts w:ascii="Times New Roman" w:hAnsi="Times New Roman"/>
          <w:color w:val="000000" w:themeColor="text1"/>
          <w:sz w:val="28"/>
          <w:szCs w:val="28"/>
        </w:rPr>
        <w:lastRenderedPageBreak/>
        <w:t xml:space="preserve">законодательства, непредставление бухгалтерской (финансовой) отчетности»;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об остатках дебиторской задолженности на счетах бюджетного учета по учету средств по расчетам по доходам, ущербу </w:t>
      </w:r>
      <w:r>
        <w:rPr>
          <w:rFonts w:ascii="Times New Roman" w:hAnsi="Times New Roman"/>
          <w:color w:val="000000" w:themeColor="text1"/>
          <w:sz w:val="28"/>
          <w:szCs w:val="28"/>
        </w:rPr>
        <w:br/>
        <w:t xml:space="preserve">и прочим дебиторам по состоянию на: 1 января, 1 апреля, 1 июля </w:t>
      </w:r>
      <w:r>
        <w:rPr>
          <w:rFonts w:ascii="Times New Roman" w:hAnsi="Times New Roman"/>
          <w:color w:val="000000" w:themeColor="text1"/>
          <w:sz w:val="28"/>
          <w:szCs w:val="28"/>
        </w:rPr>
        <w:br/>
        <w:t xml:space="preserve">и 1 октября 2015 года в разрезе главных администраторов средств федерального бюджета.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Постановлением № 1256 Казначейству России поручено проводить анализ эффективности принимаемых ГРБС мер по сокращению дебиторской задолженности по расходам федерального бюджета </w:t>
      </w:r>
      <w:r>
        <w:rPr>
          <w:rFonts w:ascii="Times New Roman" w:hAnsi="Times New Roman"/>
          <w:color w:val="000000" w:themeColor="text1"/>
          <w:sz w:val="28"/>
          <w:szCs w:val="28"/>
        </w:rPr>
        <w:br/>
        <w:t xml:space="preserve">и представлять результаты указанного анализа в Минфин России </w:t>
      </w:r>
      <w:r>
        <w:rPr>
          <w:rFonts w:ascii="Times New Roman" w:hAnsi="Times New Roman"/>
          <w:color w:val="000000" w:themeColor="text1"/>
          <w:sz w:val="28"/>
          <w:szCs w:val="28"/>
        </w:rPr>
        <w:br/>
        <w:t xml:space="preserve">для последующего направления соответствующих материалов </w:t>
      </w:r>
      <w:r>
        <w:rPr>
          <w:rFonts w:ascii="Times New Roman" w:hAnsi="Times New Roman"/>
          <w:color w:val="000000" w:themeColor="text1"/>
          <w:sz w:val="28"/>
          <w:szCs w:val="28"/>
        </w:rPr>
        <w:br/>
        <w:t>в Правительство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Важным направлением по сокращению дебиторской задолженности </w:t>
      </w:r>
      <w:r>
        <w:rPr>
          <w:rFonts w:ascii="Times New Roman" w:hAnsi="Times New Roman"/>
          <w:color w:val="000000" w:themeColor="text1"/>
          <w:sz w:val="28"/>
          <w:szCs w:val="28"/>
        </w:rPr>
        <w:br/>
        <w:t xml:space="preserve">в 2016 году является казначейское сопровождение государственных контрактов, договоров (соглашений), а также контрактов, договоров, соглашений, заключенных в рамках их исполнения, в соответствии </w:t>
      </w:r>
      <w:r>
        <w:rPr>
          <w:rFonts w:ascii="Times New Roman" w:hAnsi="Times New Roman"/>
          <w:color w:val="000000" w:themeColor="text1"/>
          <w:sz w:val="28"/>
          <w:szCs w:val="28"/>
        </w:rPr>
        <w:br/>
        <w:t xml:space="preserve">с положениями, предусмотренными статьей 5 Федерального закона </w:t>
      </w:r>
      <w:r>
        <w:rPr>
          <w:rFonts w:ascii="Times New Roman" w:hAnsi="Times New Roman"/>
          <w:color w:val="000000" w:themeColor="text1"/>
          <w:sz w:val="28"/>
          <w:szCs w:val="28"/>
        </w:rPr>
        <w:br/>
        <w:t>№ 359-ФЗ.</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 целью снижения дебиторской задолженности в указанный Федеральный закон включена норма о перечислении остатков целевых средств, учтенных по состоянию на 1 января 2016 года на счетах юридических лиц в подразделениях Банка России, в кредитных организациях, на счета ТОФК в подразделениях Банка России </w:t>
      </w:r>
      <w:r>
        <w:rPr>
          <w:rFonts w:ascii="Times New Roman" w:hAnsi="Times New Roman"/>
          <w:color w:val="000000" w:themeColor="text1"/>
          <w:sz w:val="28"/>
          <w:szCs w:val="28"/>
        </w:rPr>
        <w:br/>
        <w:t xml:space="preserve">в соответствии с решениями, принятыми ФОИВ, предоставившими </w:t>
      </w:r>
      <w:r>
        <w:rPr>
          <w:rFonts w:ascii="Times New Roman" w:hAnsi="Times New Roman"/>
          <w:color w:val="000000" w:themeColor="text1"/>
          <w:sz w:val="28"/>
          <w:szCs w:val="28"/>
        </w:rPr>
        <w:br/>
        <w:t>из федерального бюджета указанные средства.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Во исполнение поручения Контрольного Управления Президента Российской Федерации от 4 июля 2016 г. № А8-6958-4 в адрес Контрольного Управления Президента Российской Федерации направлена информация о плановых и фактических объемах налоговых доходов бюджетов субъектов Российской Федерации и бюджетов муниципальных образований субъектов Российской Федерации за 2013, 2014 и 2015 годы.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Для проведения контрольных мероприятий по исполнению решений Президента Российской Федерации по вопросам эффективности принятия мер по сокращению дефицитов региональных бюджетов и уровня долговой нагрузки на субъекты Российской Федерации в соответствии со Сводным планом контрольных мероприятий, осуществляемых самостоятельными подразделениями Администраций Президента Российской Федерации </w:t>
      </w:r>
      <w:r>
        <w:rPr>
          <w:rFonts w:ascii="Times New Roman" w:hAnsi="Times New Roman"/>
          <w:color w:val="000000" w:themeColor="text1"/>
          <w:sz w:val="28"/>
          <w:szCs w:val="28"/>
        </w:rPr>
        <w:br/>
        <w:t xml:space="preserve">и полномочными представителями Президента Российской Федерации, утвержденным Руководителем Администрации Президента Российской </w:t>
      </w:r>
      <w:r>
        <w:rPr>
          <w:rFonts w:ascii="Times New Roman" w:hAnsi="Times New Roman"/>
          <w:color w:val="000000" w:themeColor="text1"/>
          <w:sz w:val="28"/>
          <w:szCs w:val="28"/>
        </w:rPr>
        <w:lastRenderedPageBreak/>
        <w:t xml:space="preserve">Федерации от 27 июня 2016 года, в адрес Аппарата Полномочного представителя Президента Российской Федерации в Центральном Федеральном округе направлена информация об операциях консолидированного бюджета субъекта Российской Федерации и бюджетов государственных внебюджетных фондов по использованию субсидий, субвенций и иных межбюджетных трансфертов, имеющих целевое назначение, предоставленных из федерального бюджета и подлежащих учету на лицевых счетах, открытых в ТОФК по регионам Центрального федерального округа, за период с января 2014 года по сентябрь 2016 года.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исполнения поручений Аппарата Правительства Российской Федерации в 2016 году в адрес Минфина России направлена информация: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для подготовки отчета Правительства Российской Федерации </w:t>
      </w:r>
      <w:r>
        <w:rPr>
          <w:rFonts w:ascii="Times New Roman" w:hAnsi="Times New Roman"/>
          <w:color w:val="000000" w:themeColor="text1"/>
          <w:sz w:val="28"/>
          <w:szCs w:val="28"/>
        </w:rPr>
        <w:br/>
        <w:t xml:space="preserve">за 2015 год о реализации плана первоочередных мероприятий </w:t>
      </w:r>
      <w:r>
        <w:rPr>
          <w:rFonts w:ascii="Times New Roman" w:hAnsi="Times New Roman"/>
          <w:color w:val="000000" w:themeColor="text1"/>
          <w:sz w:val="28"/>
          <w:szCs w:val="28"/>
        </w:rPr>
        <w:br/>
        <w:t>по обеспечению устойчивого развития экономики и социальной стабильности в 2015 году по поручению Правительства Российской Федерации от 15 июня 2015 г. № ИШ-П13-3905;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движении денежных средств на специальных счетах Федерального казначейства, предназначенных для учета средств от реализации продовольствия субъектами Российской Федерации в рамках исполнения постановления Правительства Российской Федерации от 5 февраля 1999 г. № 130 «О поставках и порядке реализации сельскохозяйственной продукции и продовольственных товаров, поступающих в 1999 году </w:t>
      </w:r>
      <w:r>
        <w:rPr>
          <w:rFonts w:ascii="Times New Roman" w:hAnsi="Times New Roman"/>
          <w:color w:val="000000" w:themeColor="text1"/>
          <w:sz w:val="28"/>
          <w:szCs w:val="28"/>
        </w:rPr>
        <w:br/>
        <w:t>в соответствии с Соглашениями с Правительством Соединенных Штатов Америки и Европейским союзом» в целях исполнения Федерального закона № 359-ФЗ и Постановления № 1456;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ежемесячные сведения об исполнении федерального бюджета, бюджетов ГВФ РФ и консолидированных бюджетов субъектов Российской Федерации на 1 число месяца и еженедельная оперативная информация </w:t>
      </w:r>
      <w:r>
        <w:rPr>
          <w:rFonts w:ascii="Times New Roman" w:hAnsi="Times New Roman"/>
          <w:color w:val="000000" w:themeColor="text1"/>
          <w:sz w:val="28"/>
          <w:szCs w:val="28"/>
        </w:rPr>
        <w:br/>
        <w:t xml:space="preserve">о ситуации в социально-экономической сфере и о результатах реализации мероприятий плана обеспечения устойчивого развития экономики </w:t>
      </w:r>
      <w:r>
        <w:rPr>
          <w:rFonts w:ascii="Times New Roman" w:hAnsi="Times New Roman"/>
          <w:color w:val="000000" w:themeColor="text1"/>
          <w:sz w:val="28"/>
          <w:szCs w:val="28"/>
        </w:rPr>
        <w:br/>
        <w:t xml:space="preserve">и социальной стабильности в 2016 году в целях обеспечения деятельности межведомственной рабочей группы по мониторингу развития ситуации </w:t>
      </w:r>
      <w:r>
        <w:rPr>
          <w:rFonts w:ascii="Times New Roman" w:hAnsi="Times New Roman"/>
          <w:color w:val="000000" w:themeColor="text1"/>
          <w:sz w:val="28"/>
          <w:szCs w:val="28"/>
        </w:rPr>
        <w:br/>
        <w:t>в социально-экономической сфере в соответствии с распоряжением Правительства Российской Федерации от 23 января 2015 г. №</w:t>
      </w:r>
      <w:r>
        <w:rPr>
          <w:rFonts w:ascii="Times New Roman" w:hAnsi="Times New Roman"/>
          <w:color w:val="000000" w:themeColor="text1"/>
        </w:rPr>
        <w:t> </w:t>
      </w:r>
      <w:r>
        <w:rPr>
          <w:rFonts w:ascii="Times New Roman" w:hAnsi="Times New Roman"/>
          <w:color w:val="000000" w:themeColor="text1"/>
          <w:sz w:val="28"/>
          <w:szCs w:val="28"/>
        </w:rPr>
        <w:t>73-р.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распоряжения Правительства Российской Федерации от 16 июля 2015 г. № 1378-р «О ликвидационных процедурах в связи </w:t>
      </w:r>
      <w:r>
        <w:rPr>
          <w:rFonts w:ascii="Times New Roman" w:hAnsi="Times New Roman"/>
          <w:color w:val="000000" w:themeColor="text1"/>
          <w:sz w:val="28"/>
          <w:szCs w:val="28"/>
        </w:rPr>
        <w:br/>
        <w:t xml:space="preserve">с упразднением Министерства Российской Федерации по делам Крыма» </w:t>
      </w:r>
      <w:r>
        <w:rPr>
          <w:rFonts w:ascii="Times New Roman" w:hAnsi="Times New Roman"/>
          <w:color w:val="000000" w:themeColor="text1"/>
          <w:sz w:val="28"/>
          <w:szCs w:val="28"/>
        </w:rPr>
        <w:br/>
        <w:t xml:space="preserve">15 декабря 2015 года рассмотрена ликвидационная отчетность Министерства Российской Федерации по делам Крыма на дату завершения ликвидационных процедур в полном объеме форм и с соблюдением </w:t>
      </w:r>
      <w:r>
        <w:rPr>
          <w:rFonts w:ascii="Times New Roman" w:hAnsi="Times New Roman"/>
          <w:color w:val="000000" w:themeColor="text1"/>
          <w:sz w:val="28"/>
          <w:szCs w:val="28"/>
        </w:rPr>
        <w:lastRenderedPageBreak/>
        <w:t>контрольных соотношений в целях исполнения Указа Президента Российской Федерации от 15 июля 2015 г. № 368 «Об упразднении Министерства Российской Федерации по делам Крыма и Государственной комиссии по вопросам социально-экономического развития Республики Крым и г. Севастополя». Заключение о принятии ликвидационной отчетности направлено в Минфин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исполнения поручений Минфина России в 2016 году подготовлена и направлена следующая информация: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фактических остатках средств федерального бюджета и средств бюджетов государственных внебюджетных фондов Российской Федерации по состоянию на 1 января 2016 года на счетах, открытых Федеральному казначейству, органу Федерального казначейства на балансовых счетах № 40105 «Средства федерального бюджета», № 40401 «Пенсионный фонд Российской Федерации», № 40402 «Фонд социального страхования Российской Федерации» и № 40403 «Федеральный фонд обязательного медицинского страхования» в Центральном банке Российской Федерации или определенных законодательством Российской Федерации кредитных организациях;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предварительная информация о ЛБО и кассовых расходах федерального бюджета по кодам бюджетной классификации Российской Федерации в соответствии с ФАИП за 2015 год и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2016 года </w:t>
      </w:r>
      <w:r>
        <w:rPr>
          <w:rFonts w:ascii="Times New Roman" w:hAnsi="Times New Roman"/>
          <w:color w:val="000000" w:themeColor="text1"/>
          <w:sz w:val="28"/>
          <w:szCs w:val="28"/>
        </w:rPr>
        <w:br/>
        <w:t>для исполнения пункта 3 постановления Правительства Российской Федерации от 27 февраля 2013 г. № 160;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неиспользованных остатках межбюджетных трансфертов, предоставленных из федерального бюджета в 2015 году, по состоянию </w:t>
      </w:r>
      <w:r>
        <w:rPr>
          <w:rFonts w:ascii="Times New Roman" w:hAnsi="Times New Roman"/>
          <w:color w:val="000000" w:themeColor="text1"/>
          <w:sz w:val="28"/>
          <w:szCs w:val="28"/>
        </w:rPr>
        <w:br/>
        <w:t>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 объемах расходов бюджетов города Севастополя и Республики Крым, в том числе произведенных за счет средств целевых межбюджетных трансфертов из федерального бюджета и за счет средств, предоставленных из бюджета государственной корпорации – Фонда содействия реформированию ЖКХ за период с 22 ноября по 31 декабря 2015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неиспользованных остатках межбюджетного трансферта </w:t>
      </w:r>
      <w:r>
        <w:rPr>
          <w:rFonts w:ascii="Times New Roman" w:hAnsi="Times New Roman"/>
          <w:color w:val="000000" w:themeColor="text1"/>
          <w:sz w:val="28"/>
          <w:szCs w:val="28"/>
        </w:rPr>
        <w:br/>
        <w:t>на 1 января 2016 года по главе 074 «Министерство образования и науки Российской Федерации» по коду целевой статьи расходов 02 6 5026 «Субсидия на финансовое обеспечение мероприятий федеральной целевой программы развития образования на 2011–2015 годы государственной программы Российской Федерации «Развитие образования» на 2013–2020 годы» Департаментом образования и науки Костромской области для проведения процедур установления наличия потребности (отсутствия потребности) в указанных средствах;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еженедельная оперативная информация в разрезе субъектов Российской Федерации с динамикой к 2015 году о доходах и расходах, дефиците/профиците, источникам финансирования дефицита, остатках средств на отчетную дату в целях проведения мониторинга исполнения консолидированных бюджетов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еженедельная оперативная информация о поступлении доходов федерального бюджета в разрезе кодов бюджетной классификации </w:t>
      </w:r>
      <w:r>
        <w:rPr>
          <w:rFonts w:ascii="Times New Roman" w:hAnsi="Times New Roman"/>
          <w:color w:val="000000" w:themeColor="text1"/>
          <w:sz w:val="28"/>
          <w:szCs w:val="28"/>
        </w:rPr>
        <w:br/>
        <w:t>и главных администраторов доходов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подлежащих взысканию остатках межбюджетных трансфертов, полученных из федерального бюджета в форме субсидий, субвенций и иных межбюджетных трансфертов, имеющих целевое назначение, </w:t>
      </w:r>
      <w:r>
        <w:rPr>
          <w:rFonts w:ascii="Times New Roman" w:hAnsi="Times New Roman"/>
          <w:color w:val="000000" w:themeColor="text1"/>
          <w:sz w:val="28"/>
          <w:szCs w:val="28"/>
        </w:rPr>
        <w:br/>
        <w:t>не использованных по состоянию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сведения об исполнении федерального бюджета, сформированные на основании показателей Отчета об исполнении бюджета главного распорядителя, распорядителя, получателя бюджетных средств, главного администратора, администратора источников финансирования дефицита бюджета, главного администратора, администратора доходов бюджета (ф. 0503127) по состоянию на 1 мая, 1 июня, 1 августа, 1 сентября </w:t>
      </w:r>
      <w:r>
        <w:rPr>
          <w:rFonts w:ascii="Times New Roman" w:hAnsi="Times New Roman"/>
          <w:color w:val="000000" w:themeColor="text1"/>
          <w:sz w:val="28"/>
          <w:szCs w:val="28"/>
        </w:rPr>
        <w:br/>
        <w:t>и 1 ноября 2016 года направленны в адрес Счетной палаты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поступлении в федеральный бюджет и бюджеты субъектов Российской Федерации налоговых доходов и иных поступлений </w:t>
      </w:r>
      <w:r>
        <w:rPr>
          <w:rFonts w:ascii="Times New Roman" w:hAnsi="Times New Roman"/>
          <w:color w:val="000000" w:themeColor="text1"/>
          <w:sz w:val="28"/>
          <w:szCs w:val="28"/>
        </w:rPr>
        <w:br/>
        <w:t>при выполнении соглашений о разделе продукции по проекту «Сахалин-1», «Сахалин-2» и «Харьягинское СРП» в целях подготовки доклада Правительства Российской Федерации об итогах работы по реализации соглашений о разделе продукции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поступлении в федеральный бюджет средств от проведения всероссийских государственных лотерей за 4 квартал 2015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показателях Central Government Operations и Public Sector Operations за 2015 год, за январь, февраль, март, апрель, май, июнь, июль, август, сентябрь, октябрь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исполнении бюджетов государственных внебюджетных фондов Российской Федерации на 1 сентября, 1 августа, 1 сентября, 1 октября, </w:t>
      </w:r>
      <w:r>
        <w:rPr>
          <w:rFonts w:ascii="Times New Roman" w:hAnsi="Times New Roman"/>
          <w:color w:val="000000" w:themeColor="text1"/>
          <w:sz w:val="28"/>
          <w:szCs w:val="28"/>
        </w:rPr>
        <w:br/>
        <w:t>1 ноября и 1 декабря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изменениях бюджетной отчетности об исполнении федерального бюджета за 2015 год, внесенных ГРБС по результатам комплекса проверок Счетной палатой Российской Федерации исполнения Федерального закона от 1 декабря 2014 г. № 384-ФЗ «О федеральном бюджете на 2015 год </w:t>
      </w:r>
      <w:r>
        <w:rPr>
          <w:rFonts w:ascii="Times New Roman" w:hAnsi="Times New Roman"/>
          <w:color w:val="000000" w:themeColor="text1"/>
          <w:sz w:val="28"/>
          <w:szCs w:val="28"/>
        </w:rPr>
        <w:br/>
        <w:t xml:space="preserve">и на плановый период 2016 и 2017 годов»;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 расходах бюджетов субъектов Российской Федерации по кодам видов расходов за период с 1 апреля по 1 августа 2016 года в целях подготовки к рассмотрению Правительством Российской Федерации основных показателей исполнения бюджетов бюджетной системы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кредиторской задолженности по Калужской области по состоянию на 1 января 2015 года, 1 января и 1 июля 2016 года и об остатках средств </w:t>
      </w:r>
      <w:r>
        <w:rPr>
          <w:rFonts w:ascii="Times New Roman" w:hAnsi="Times New Roman"/>
          <w:color w:val="000000" w:themeColor="text1"/>
          <w:sz w:val="28"/>
          <w:szCs w:val="28"/>
        </w:rPr>
        <w:br/>
        <w:t xml:space="preserve">на балансовых счетах № 40201 «Средства бюджетов субъектов Российской Федерации», № 40204 «Средства местных бюджетов» и № 40404 «Территориальные фонды обязательного медицинского страхования» </w:t>
      </w:r>
      <w:r>
        <w:rPr>
          <w:rFonts w:ascii="Times New Roman" w:hAnsi="Times New Roman"/>
          <w:color w:val="000000" w:themeColor="text1"/>
          <w:sz w:val="28"/>
          <w:szCs w:val="28"/>
        </w:rPr>
        <w:br/>
        <w:t>по состоянию на 1 августа 2016 года для рассмотрения Министерством финансов Российской Федерации вопроса сбалансированности бюджета Калужской области;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заключенных государственных контрактах на период 2016–2019 годы Государственной корпорацией по атомной энергии «Росатом» </w:t>
      </w:r>
      <w:r>
        <w:rPr>
          <w:rFonts w:ascii="Times New Roman" w:hAnsi="Times New Roman"/>
          <w:color w:val="000000" w:themeColor="text1"/>
          <w:sz w:val="28"/>
          <w:szCs w:val="28"/>
        </w:rPr>
        <w:br/>
        <w:t>по состоянию на 9 сентября 2016 года по коду бюджетной классификации Российской Федерации 725 0411 2230192782 241;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прогнозных данных по контрактации средств федерального бюджета (до 2019 года) по Министерству обороны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контрактации средств по государственным контрактам, заключенным Министерством обороны Российской Федерации </w:t>
      </w:r>
      <w:r>
        <w:rPr>
          <w:rFonts w:ascii="Times New Roman" w:hAnsi="Times New Roman"/>
          <w:color w:val="000000" w:themeColor="text1"/>
          <w:sz w:val="28"/>
          <w:szCs w:val="28"/>
        </w:rPr>
        <w:br/>
        <w:t>на 2017–2019 годы;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Сводные сведения об использовании информационно-коммуникационных технологий (ф. 0503177) за 9 месяцев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объеме налоговых поступлений в бюджет г. Москвы за 2015 год </w:t>
      </w:r>
      <w:r>
        <w:rPr>
          <w:rFonts w:ascii="Times New Roman" w:hAnsi="Times New Roman"/>
          <w:color w:val="000000" w:themeColor="text1"/>
          <w:sz w:val="28"/>
          <w:szCs w:val="28"/>
        </w:rPr>
        <w:br/>
        <w:t>и 9 месяцев 2016 года от юридических лиц, размещенных на территории инновационного центра «Сколково»;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остатках на счетах бюджетов бюджетной системы, открытых </w:t>
      </w:r>
      <w:r>
        <w:rPr>
          <w:rFonts w:ascii="Times New Roman" w:hAnsi="Times New Roman"/>
          <w:color w:val="000000" w:themeColor="text1"/>
          <w:sz w:val="28"/>
          <w:szCs w:val="28"/>
        </w:rPr>
        <w:br/>
        <w:t xml:space="preserve">в Федеральном казначействе, за период 2014-2015 годов и за период </w:t>
      </w:r>
      <w:r>
        <w:rPr>
          <w:rFonts w:ascii="Times New Roman" w:hAnsi="Times New Roman"/>
          <w:color w:val="000000" w:themeColor="text1"/>
          <w:sz w:val="28"/>
          <w:szCs w:val="28"/>
        </w:rPr>
        <w:br/>
        <w:t>с 1 января по 10 ноября 2016 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кассовом исполнении федерального бюджета в разрезе получателей средств федерального бюджета по виду расходов 851«Уплата налога на имущество организаций и земельного налога»</w:t>
      </w:r>
      <w:r>
        <w:rPr>
          <w:rFonts w:ascii="Times New Roman" w:hAnsi="Times New Roman"/>
          <w:color w:val="000000" w:themeColor="text1"/>
        </w:rPr>
        <w:t xml:space="preserve"> </w:t>
      </w:r>
      <w:r>
        <w:rPr>
          <w:rFonts w:ascii="Times New Roman" w:hAnsi="Times New Roman"/>
          <w:color w:val="000000" w:themeColor="text1"/>
          <w:sz w:val="28"/>
          <w:szCs w:val="28"/>
        </w:rPr>
        <w:t xml:space="preserve">по состоянию </w:t>
      </w:r>
      <w:r>
        <w:rPr>
          <w:rFonts w:ascii="Times New Roman" w:hAnsi="Times New Roman"/>
          <w:color w:val="000000" w:themeColor="text1"/>
          <w:sz w:val="28"/>
          <w:szCs w:val="28"/>
        </w:rPr>
        <w:br/>
        <w:t>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поступлении доходов в бюджеты бюджетной системы Российской Федерации по коду главы 053 «Федеральное агентство лесного хозяйства», а также о поступлении доходов в бюджеты бюджетной системы Российской Федерации на территориях Ленинградской области и Ханты-Мансийского автономного округа-Югры за 2013–2015 годы и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2016 годы;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об остатках на счетах бюджетополучателей в кредитных организациях и на счетах загранучреждений в иностранной валюте в разрезе ГРБС по состоянию на 1 января 2015 года и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рассмотрении Акта по результатам камеральной проверки, проведенной в рамках контрольного мероприятия «Оценка и анализ реализации деятельности Федерального космического агентства в рамках международного сотрудничества» на объекте Федеральное казначейство, </w:t>
      </w:r>
      <w:r>
        <w:rPr>
          <w:rFonts w:ascii="Times New Roman" w:hAnsi="Times New Roman"/>
          <w:color w:val="000000" w:themeColor="text1"/>
          <w:sz w:val="28"/>
          <w:szCs w:val="28"/>
        </w:rPr>
        <w:br/>
        <w:t xml:space="preserve">и направления согласования по указанному документу;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кассовом исполнении бюджетных ассигнований на реализацию федеральных целевых программ за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2016 года, по состоянию </w:t>
      </w:r>
      <w:r>
        <w:rPr>
          <w:rFonts w:ascii="Times New Roman" w:hAnsi="Times New Roman"/>
          <w:color w:val="000000" w:themeColor="text1"/>
          <w:sz w:val="28"/>
          <w:szCs w:val="28"/>
        </w:rPr>
        <w:br/>
        <w:t>на 1 сентября и 1 ноября 2016 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остатках дебиторской задолженности на счетах бюджетного учета по учету средств по расчетам по доходам и ущербу имуществу </w:t>
      </w:r>
      <w:r>
        <w:rPr>
          <w:rFonts w:ascii="Times New Roman" w:hAnsi="Times New Roman"/>
          <w:color w:val="000000" w:themeColor="text1"/>
          <w:sz w:val="28"/>
          <w:szCs w:val="28"/>
        </w:rPr>
        <w:br/>
        <w:t>и по расходам в разрезе ГРБС по состоянию на 1 июля 2016 года (предварительные сведения);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поступлении денежных средств от распоряжения правами </w:t>
      </w:r>
      <w:r>
        <w:rPr>
          <w:rFonts w:ascii="Times New Roman" w:hAnsi="Times New Roman"/>
          <w:color w:val="000000" w:themeColor="text1"/>
          <w:sz w:val="28"/>
          <w:szCs w:val="28"/>
        </w:rPr>
        <w:br/>
        <w:t>на результаты интеллектуальной деятельности (товарные знаки) на лицевой счет Российской академии наук в 2015–2016 годах.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необходимости нормативного правового регулирования процесса представления Федеральным казначейством бюджетной отчетности, устранения выявленных ошибок и совершенствования бюджетного законодательства Российской Федерации заинтересованным пользователям в 2016 году направлены: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культуры Российской Федерации информация об использовании целевых средств, предоставленных из федерального бюджета на софинансирование капитальных вложений государственной (муниципальной) собственности субъектов Российской Федерации </w:t>
      </w:r>
      <w:r>
        <w:rPr>
          <w:rFonts w:ascii="Times New Roman" w:hAnsi="Times New Roman"/>
          <w:color w:val="000000" w:themeColor="text1"/>
          <w:sz w:val="28"/>
          <w:szCs w:val="28"/>
        </w:rPr>
        <w:br/>
        <w:t xml:space="preserve">на ежемесячной основе;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транспорта Российской Федерации информация по состоянию на 1 января 2016 года в разрезе субъектов Российской Федерации о поступлении доходов и сведений о расходах консолидированных бюджетов субъектов Российской Федерации по разделу 0409 «Дорожное хозяйство (дорожные фонды)»;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Федерального агентства по управлению государственным имуществом на ежемесячной основе информация о поступлениях </w:t>
      </w:r>
      <w:r>
        <w:rPr>
          <w:rFonts w:ascii="Times New Roman" w:hAnsi="Times New Roman"/>
          <w:color w:val="000000" w:themeColor="text1"/>
          <w:sz w:val="28"/>
          <w:szCs w:val="28"/>
        </w:rPr>
        <w:br/>
        <w:t xml:space="preserve">в федеральный бюджет доходов и источников финансирования дефицита федерального бюджета, администратором которых является Росимущество;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строительства и жилищно-коммунального хозяйства Российской Федерации предварительная информация </w:t>
      </w:r>
      <w:r>
        <w:rPr>
          <w:rFonts w:ascii="Times New Roman" w:hAnsi="Times New Roman"/>
          <w:color w:val="000000" w:themeColor="text1"/>
          <w:sz w:val="28"/>
          <w:szCs w:val="28"/>
        </w:rPr>
        <w:br/>
        <w:t xml:space="preserve">по кассовому исполнению мероприятий федеральной целевой программы </w:t>
      </w:r>
      <w:r>
        <w:rPr>
          <w:rFonts w:ascii="Times New Roman" w:hAnsi="Times New Roman"/>
          <w:color w:val="000000" w:themeColor="text1"/>
          <w:sz w:val="28"/>
          <w:szCs w:val="28"/>
        </w:rPr>
        <w:lastRenderedPageBreak/>
        <w:t xml:space="preserve">«Жилище», утвержденной постановлением Правительства Российской Федерации от 17 декабря 2010 г. № 1050 «О федеральной целевой программе «Жилище» на 2015–2020 годы», за 2015 год,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w:t>
      </w:r>
      <w:r>
        <w:rPr>
          <w:rFonts w:ascii="Times New Roman" w:hAnsi="Times New Roman"/>
          <w:color w:val="000000" w:themeColor="text1"/>
          <w:sz w:val="28"/>
          <w:szCs w:val="28"/>
        </w:rPr>
        <w:br/>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и 9 месяцев 2016 годы;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юстиции Российской Федерации информация </w:t>
      </w:r>
      <w:r>
        <w:rPr>
          <w:rFonts w:ascii="Times New Roman" w:hAnsi="Times New Roman"/>
          <w:color w:val="000000" w:themeColor="text1"/>
          <w:sz w:val="28"/>
          <w:szCs w:val="28"/>
        </w:rPr>
        <w:br/>
        <w:t xml:space="preserve">о произведенных расходах бюджетов бюджетной системы Российской Федерации за 2012–2014 годы в разрезе разделов бюджетной классификации Российской Федерации;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Центрального банка Российской Федерации информация: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 подтверждении остатков денежных средств на счетах Федерального казначейства на 1 января 2016 года;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аналитическая записка об остатках средств на счетах бюджетов бюджетной системы Российской Федерации, казенных, бюджетных, автономных учреждений и организаций, не являющихся участниками бюджетного процесса, открытых в учреждениях Банка России и кредитных организациях, включая счета в иностранной валюте, а также данных </w:t>
      </w:r>
      <w:r>
        <w:rPr>
          <w:rFonts w:ascii="Times New Roman" w:hAnsi="Times New Roman"/>
          <w:color w:val="000000" w:themeColor="text1"/>
          <w:sz w:val="28"/>
          <w:szCs w:val="28"/>
        </w:rPr>
        <w:br/>
        <w:t>о количестве указанных счетов по состоянию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 кассовому исполнению федерального бюджета в разрезе целевых статей расходов: по подпрограммам «Международное сотрудничество </w:t>
      </w:r>
      <w:r>
        <w:rPr>
          <w:rFonts w:ascii="Times New Roman" w:hAnsi="Times New Roman"/>
          <w:color w:val="000000" w:themeColor="text1"/>
          <w:sz w:val="28"/>
          <w:szCs w:val="28"/>
        </w:rPr>
        <w:br/>
        <w:t>в сфере науки», «Меры по оказанию медицинской помощи гражданам Российской Федерации за рубежом», «Расходы на обеспечение функций зарубежного аппарата государственных органов», «Обеспечение визитов делегаций высших органов власти за рубеж» по состоянию на 1 октября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Аппарата полномочного представителя Президента Российской Федерации в Приволжском федеральном округе информация </w:t>
      </w:r>
      <w:r>
        <w:rPr>
          <w:rFonts w:ascii="Times New Roman" w:hAnsi="Times New Roman"/>
          <w:color w:val="000000" w:themeColor="text1"/>
          <w:sz w:val="28"/>
          <w:szCs w:val="28"/>
        </w:rPr>
        <w:br/>
        <w:t xml:space="preserve">об использовании целевых средств, выделенных за 2015 год </w:t>
      </w:r>
      <w:r>
        <w:rPr>
          <w:rFonts w:ascii="Times New Roman" w:hAnsi="Times New Roman"/>
          <w:color w:val="000000" w:themeColor="text1"/>
          <w:sz w:val="28"/>
          <w:szCs w:val="28"/>
        </w:rPr>
        <w:br/>
        <w:t xml:space="preserve">из федерального бюджета в бюджеты субъектов Российской Федерации, входящими в состав Приволжского федерального округа;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Постоянного Комитета Союзного государства и Минфина России информация о рассмотрении и согласовании Отчета об исполнении бюджета Союзного государства за 2015 год;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здравоохранения Российской Федерации информация по исполнению консолидированного бюджета Российской Федерации и бюджетов государственных внебюджетных фондов по разделу 0900 «Здравоохранение» за 2015 год;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адрес Федеральной службы государственной статистики: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из отчетности об исполнении бюджетов бюджетной системы Российской Федерации за 2015 год, в том числе по сведениям, содержащим государственную тайну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 рассмотрении и согласовании проекта распоряжения Правительства Российской Федерации по актуализации Федерального плана статистических работ, утвержденного распоряжением Правительства Российской Федерации от 6 мая 2008 г. № 671-р;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рассмотрении и согласовании Перечня государственных корпоративных и унитарных юридических лиц, подлежащих переклассификации в Статрегистре из государственных нефинансовых корпораций (S.111) в сектор государственного управления (S.13);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 возможности включения дополнительного справочника, содержащего Общероссийский классификатор видов экономической деятельности (ОКВЭД), в состав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предложения по сокращению актуализированного Перечня государственных корпоративных и унитарных юридических лиц, подлежащих переклассификации из государственных нефинансовых корпораций (S.111) в сектор государственного управления (S.13);</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адрес Евразийской экономической комиссии: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статистическая информация за 4 квартал 2015 года и за 2015 год </w:t>
      </w:r>
      <w:r>
        <w:rPr>
          <w:rFonts w:ascii="Times New Roman" w:hAnsi="Times New Roman"/>
          <w:color w:val="000000" w:themeColor="text1"/>
          <w:sz w:val="28"/>
          <w:szCs w:val="28"/>
        </w:rPr>
        <w:br/>
        <w:t xml:space="preserve">в адрес Евразийской экономической комиссии во исполнение Решения Коллегии Евразийской экономической комиссии от 2 декабря 2014 г. № 224 «О предоставлении официальной статистической информации Евразийской экономической комиссии уполномоченными органами государств-членов Евразийского экономического союза и о признании утратившими силу некоторых решений Комиссии Таможенного союза и Коллегии Евразийской экономической комиссии»;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статистическая информация за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и 9 месяцев 2016 года во исполнение Решения Коллегии Евразийской экономической комиссии от 29 декабря 2015 г. № 175 «О предоставлении Евразийской экономической комиссии официальной статистической информации уполномоченными органами государств-членов Евразийского экономического союза»;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Общественной палаты Российской Федерации информация </w:t>
      </w:r>
      <w:r>
        <w:rPr>
          <w:rFonts w:ascii="Times New Roman" w:hAnsi="Times New Roman"/>
          <w:color w:val="000000" w:themeColor="text1"/>
          <w:sz w:val="28"/>
          <w:szCs w:val="28"/>
        </w:rPr>
        <w:br/>
        <w:t xml:space="preserve">о расходах консолидированного бюджета субъектов Российской Федерации по разделу 0800 «Культура и кинематография» за 2013–2016 годы;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Российской Федерации по делам Северного Кавказа позиция Федерального казначейства по вопросу составления </w:t>
      </w:r>
      <w:r>
        <w:rPr>
          <w:rFonts w:ascii="Times New Roman" w:hAnsi="Times New Roman"/>
          <w:color w:val="000000" w:themeColor="text1"/>
          <w:sz w:val="28"/>
          <w:szCs w:val="28"/>
        </w:rPr>
        <w:br/>
        <w:t xml:space="preserve">и предоставления квартальной и годовой отчетности Федерального государственного учреждения «Южная дирекция реализации программ </w:t>
      </w:r>
      <w:r>
        <w:rPr>
          <w:rFonts w:ascii="Times New Roman" w:hAnsi="Times New Roman"/>
          <w:color w:val="000000" w:themeColor="text1"/>
          <w:sz w:val="28"/>
          <w:szCs w:val="28"/>
        </w:rPr>
        <w:br/>
        <w:t xml:space="preserve">и проектов»;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в адрес Продовольственной и сельскохозяйственной организации объединенных наций информация по расходам на сельское хозяйство </w:t>
      </w:r>
      <w:r>
        <w:rPr>
          <w:rFonts w:ascii="Times New Roman" w:hAnsi="Times New Roman"/>
          <w:color w:val="000000" w:themeColor="text1"/>
          <w:sz w:val="28"/>
          <w:szCs w:val="28"/>
        </w:rPr>
        <w:br/>
        <w:t xml:space="preserve">и охрану окружающей среды за 2015 год;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труда и социальной защиты Российской Федерации информация о кассовом исполнении Министерством труда </w:t>
      </w:r>
      <w:r>
        <w:rPr>
          <w:rFonts w:ascii="Times New Roman" w:hAnsi="Times New Roman"/>
          <w:color w:val="000000" w:themeColor="text1"/>
          <w:sz w:val="28"/>
          <w:szCs w:val="28"/>
        </w:rPr>
        <w:br/>
        <w:t xml:space="preserve">и социальной защиты Российской Федерации и соисполнителями государственной программы Российской Федерации «Социальная поддержка граждан» за 2015 год и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2016 года в разрезе кодов бюджетной классификации расходов бюджетов бюджетной системы Российской Федерации;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адрес Министерства Российской Федерации по делам Северного Кавказа информация об объемах налоговых и неналоговых доходов консолидированных бюджетов субъектов Российской Федерации, входящих в состав Северо-Кавказского федерального округа за 2014 год и 2015 год.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Федеральным казначейством в адрес Министерства экономического развития Российской Федерации Федеральным казначейством направлены: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ежемесячная информация о поступлении в бюджеты бюджетной системы Российской Федерации доходов от уплаты государственной пошлины за совершение федеральными органами исполнительной власти юридически значимых действий в случае подачи заявления </w:t>
      </w:r>
      <w:r>
        <w:rPr>
          <w:rFonts w:ascii="Times New Roman" w:hAnsi="Times New Roman"/>
          <w:color w:val="000000" w:themeColor="text1"/>
          <w:sz w:val="28"/>
          <w:szCs w:val="28"/>
        </w:rPr>
        <w:br/>
        <w:t xml:space="preserve">и (или) документов, необходимых для их совершения, </w:t>
      </w:r>
      <w:r>
        <w:rPr>
          <w:rFonts w:ascii="Times New Roman" w:hAnsi="Times New Roman"/>
          <w:color w:val="000000" w:themeColor="text1"/>
          <w:sz w:val="28"/>
          <w:szCs w:val="28"/>
        </w:rPr>
        <w:br/>
        <w:t>в многофункциональные центры;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 согласовании Федеральным казначейством сведений об использовании бюджетных инвестиций в объекты капитального строительства государственной собственности Российской Федерации </w:t>
      </w:r>
      <w:r>
        <w:rPr>
          <w:rFonts w:ascii="Times New Roman" w:hAnsi="Times New Roman"/>
          <w:color w:val="000000" w:themeColor="text1"/>
          <w:sz w:val="28"/>
          <w:szCs w:val="28"/>
        </w:rPr>
        <w:br/>
        <w:t xml:space="preserve">за 2015 год,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и 9 месяцев 2016 года в соответствии </w:t>
      </w:r>
      <w:r>
        <w:rPr>
          <w:rFonts w:ascii="Times New Roman" w:hAnsi="Times New Roman"/>
          <w:color w:val="000000" w:themeColor="text1"/>
          <w:sz w:val="28"/>
          <w:szCs w:val="28"/>
        </w:rPr>
        <w:br/>
        <w:t xml:space="preserve">с ФАИП с разбивкой по объектам капитального строительства </w:t>
      </w:r>
      <w:r>
        <w:rPr>
          <w:rFonts w:ascii="Times New Roman" w:hAnsi="Times New Roman"/>
          <w:color w:val="000000" w:themeColor="text1"/>
          <w:sz w:val="28"/>
          <w:szCs w:val="28"/>
        </w:rPr>
        <w:br/>
        <w:t>для исполнения пункта 3 постановления Правительства Российской Федерации от 27 февраля 2013 г. № 160;</w:t>
      </w:r>
    </w:p>
    <w:p>
      <w:pPr>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 информация о кассовом исполнении федерального бюджета </w:t>
      </w:r>
      <w:r>
        <w:rPr>
          <w:rFonts w:ascii="Times New Roman" w:hAnsi="Times New Roman"/>
          <w:color w:val="000000" w:themeColor="text1"/>
          <w:sz w:val="28"/>
          <w:szCs w:val="28"/>
        </w:rPr>
        <w:br/>
        <w:t xml:space="preserve">по федеральным целевым программам в разрезе целевых статей расходов </w:t>
      </w:r>
      <w:r>
        <w:rPr>
          <w:rFonts w:ascii="Times New Roman" w:hAnsi="Times New Roman"/>
          <w:color w:val="000000" w:themeColor="text1"/>
          <w:sz w:val="28"/>
          <w:szCs w:val="28"/>
        </w:rPr>
        <w:br/>
        <w:t xml:space="preserve">и ГРБС за 2015 год,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и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2016 и 9 месяцев 2016 года, </w:t>
      </w:r>
      <w:r>
        <w:rPr>
          <w:rFonts w:ascii="Times New Roman" w:hAnsi="Times New Roman"/>
          <w:color w:val="000000" w:themeColor="text1"/>
          <w:sz w:val="28"/>
          <w:szCs w:val="28"/>
        </w:rPr>
        <w:br/>
        <w:t>а также по состоянию на 1 мая, 1 июня, 1 и 26 августа, 1 ноября и 1 декабря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предварительная информация о кассовых расходах федерального бюджета на реализацию федеральной целевой программы «Социально-экономическое развитие Республики Крым и г. Севастополя до 2020 года» по состоянию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информация о движении целевых средств, предоставленных </w:t>
      </w:r>
      <w:r>
        <w:rPr>
          <w:rFonts w:ascii="Times New Roman" w:hAnsi="Times New Roman"/>
          <w:color w:val="000000" w:themeColor="text1"/>
          <w:sz w:val="28"/>
          <w:szCs w:val="28"/>
        </w:rPr>
        <w:br/>
        <w:t>из федерального бюджета за 2015 год по главе 139 «Министерство экономического развития Российской Федерации» по коду целевой статьи 0345085 «Субсидии на мероприятия по поддержке социально ориентированных некоммерческих организаций в рамках подпрограммы «Повышение эффективности государственной поддержки социально ориентированных некоммерческих организаций» государственной программы Российской Федерации «Социальная поддержка граждан»;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предложения и замечания по проекту Указа Президента Российской Федерации «О внесении изменений в Указ Президента Российской Федерации от 21 августа 2012 г. № 1199 «Об оценке эффективности деятельности органов исполнительной власти субъектов Российской Федерации» и проекту постановления Правительства Российской Федерации «О внесении изменений в некоторые акты Правительства Российской Федерации» во исполнение поручения Правительства Российской Федерации от 2 марта 2016 г. № ДК-П16-1172;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 кассовых расходах федерального бюджета по коду вида расходов «Организация скоростного движения пассажирских поездов на участке Санкт-Петербург – </w:t>
      </w:r>
      <w:proofErr w:type="spellStart"/>
      <w:r>
        <w:rPr>
          <w:rFonts w:ascii="Times New Roman" w:hAnsi="Times New Roman"/>
          <w:color w:val="000000" w:themeColor="text1"/>
          <w:sz w:val="28"/>
          <w:szCs w:val="28"/>
        </w:rPr>
        <w:t>Бусловская</w:t>
      </w:r>
      <w:proofErr w:type="spellEnd"/>
      <w:r>
        <w:rPr>
          <w:rFonts w:ascii="Times New Roman" w:hAnsi="Times New Roman"/>
          <w:color w:val="000000" w:themeColor="text1"/>
          <w:sz w:val="28"/>
          <w:szCs w:val="28"/>
        </w:rPr>
        <w:t xml:space="preserve"> Октябрьской железной дороги» </w:t>
      </w:r>
      <w:r>
        <w:rPr>
          <w:rFonts w:ascii="Times New Roman" w:hAnsi="Times New Roman"/>
          <w:color w:val="000000" w:themeColor="text1"/>
          <w:sz w:val="28"/>
          <w:szCs w:val="28"/>
        </w:rPr>
        <w:br/>
        <w:t>за 2010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о кассовом исполнении федерального бюджета</w:t>
      </w:r>
      <w:r>
        <w:rPr>
          <w:rFonts w:ascii="Times New Roman" w:hAnsi="Times New Roman"/>
          <w:color w:val="000000" w:themeColor="text1"/>
          <w:sz w:val="28"/>
          <w:szCs w:val="28"/>
        </w:rPr>
        <w:br/>
        <w:t xml:space="preserve"> по федеральным целевым программам в разрезе целевых статей расходов </w:t>
      </w:r>
      <w:r>
        <w:rPr>
          <w:rFonts w:ascii="Times New Roman" w:hAnsi="Times New Roman"/>
          <w:color w:val="000000" w:themeColor="text1"/>
          <w:sz w:val="28"/>
          <w:szCs w:val="28"/>
        </w:rPr>
        <w:br/>
        <w:t xml:space="preserve">и ГРБС на территории </w:t>
      </w:r>
      <w:proofErr w:type="spellStart"/>
      <w:r>
        <w:rPr>
          <w:rFonts w:ascii="Times New Roman" w:hAnsi="Times New Roman"/>
          <w:color w:val="000000" w:themeColor="text1"/>
          <w:sz w:val="28"/>
          <w:szCs w:val="28"/>
        </w:rPr>
        <w:t>монопрофильных</w:t>
      </w:r>
      <w:proofErr w:type="spellEnd"/>
      <w:r>
        <w:rPr>
          <w:rFonts w:ascii="Times New Roman" w:hAnsi="Times New Roman"/>
          <w:color w:val="000000" w:themeColor="text1"/>
          <w:sz w:val="28"/>
          <w:szCs w:val="28"/>
        </w:rPr>
        <w:t xml:space="preserve"> муниципальных образованиях (моногородах) за период с 2013 по 2016 годы;</w:t>
      </w:r>
    </w:p>
    <w:p>
      <w:pPr>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 информация об объемах налоговых и неналоговых доходов консолидированных бюджетов субъектов Российской Федерации за 2015 год в соответствии с пунктом 5 Перечня показателей для оценки эффективности деятельности органов исполнительной субъектов Российской Федерации, утвержденного постановлением Правительства Российской Федерации от 3 ноября 2012 г. № 1142 «О мерах по реализации Указа Президента Российской Федерации Российской Федерации </w:t>
      </w:r>
      <w:r>
        <w:rPr>
          <w:rFonts w:ascii="Times New Roman" w:hAnsi="Times New Roman"/>
          <w:color w:val="000000" w:themeColor="text1"/>
          <w:sz w:val="28"/>
          <w:szCs w:val="28"/>
        </w:rPr>
        <w:br/>
        <w:t xml:space="preserve">от 21 августа 2012 г. № 1199 «Об оценке эффективности деятельности органов исполнительной власти субъектов Российской Федерации».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Федеральным казначейством в адрес Счетной палаты Российской Федерации направлены: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 кассовом исполнении федерального бюджета </w:t>
      </w:r>
      <w:r>
        <w:rPr>
          <w:rFonts w:ascii="Times New Roman" w:hAnsi="Times New Roman"/>
          <w:color w:val="000000" w:themeColor="text1"/>
          <w:sz w:val="28"/>
          <w:szCs w:val="28"/>
        </w:rPr>
        <w:br/>
        <w:t>в разрезе получателей средств федерального бюджета по виду расходов 851«Уплата налога на имущество организаций и земельного налога»;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предварительные сведения об остатках дебиторской задолженности на счетах бюджетного учета по учету средств по расчетам по доходам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и ущербу имуществу и по расходам в разрезе ГРБС по состоянию на 1 июля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Принято участие в Круглых столах по обсуждению проектов федеральных стандартов для организаций государственного сектора: «Отчет о движении денежных средств», «Запасы», «Биологические активы», «Непроизведенные активы», «Учетная политика, оценочные значения </w:t>
      </w:r>
      <w:r>
        <w:rPr>
          <w:rFonts w:ascii="Times New Roman" w:hAnsi="Times New Roman"/>
          <w:color w:val="000000" w:themeColor="text1"/>
          <w:sz w:val="28"/>
          <w:szCs w:val="28"/>
        </w:rPr>
        <w:br/>
        <w:t>и ошибки», «События после отчетной даты».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Предоставление пользователям информации о кассовых поступлениях и выбытиях из бюджета,</w:t>
      </w:r>
      <w:r>
        <w:rPr>
          <w:rFonts w:ascii="Times New Roman" w:hAnsi="Times New Roman"/>
          <w:b/>
          <w:color w:val="000000" w:themeColor="text1"/>
          <w:sz w:val="28"/>
          <w:szCs w:val="28"/>
        </w:rPr>
        <w:t xml:space="preserve"> </w:t>
      </w:r>
      <w:r>
        <w:rPr>
          <w:rFonts w:ascii="Times New Roman" w:hAnsi="Times New Roman"/>
          <w:color w:val="000000" w:themeColor="text1"/>
          <w:sz w:val="28"/>
          <w:szCs w:val="28"/>
        </w:rPr>
        <w:t xml:space="preserve">остатках средств на счетах бюджетов, открытых органам Федерального казначейства в учреждениях Банка России </w:t>
      </w:r>
      <w:r>
        <w:rPr>
          <w:rFonts w:ascii="Times New Roman" w:hAnsi="Times New Roman"/>
          <w:color w:val="000000" w:themeColor="text1"/>
          <w:sz w:val="28"/>
          <w:szCs w:val="28"/>
        </w:rPr>
        <w:br/>
        <w:t>и кредитных организациях, осуществляется в соответствии со схемой 6.</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Схема 6</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object w:dxaOrig="1270" w:dyaOrig="949">
          <v:shape id="_x0000_i1026" type="#_x0000_t75" style="width:408.85pt;height:279.25pt" o:ole="">
            <v:imagedata r:id="rId95" o:title=""/>
          </v:shape>
          <o:OLEObject Type="Embed" ProgID="PowerPoint.Slide.8" ShapeID="_x0000_i1026" DrawAspect="Content" ObjectID="_1552751726" r:id="rId96"/>
        </w:object>
      </w:r>
    </w:p>
    <w:p>
      <w:pPr>
        <w:spacing w:after="0" w:line="360" w:lineRule="atLeast"/>
        <w:ind w:firstLine="709"/>
        <w:jc w:val="both"/>
        <w:rPr>
          <w:rFonts w:ascii="Times New Roman" w:hAnsi="Times New Roman"/>
          <w:color w:val="000000" w:themeColor="text1"/>
          <w:sz w:val="28"/>
          <w:szCs w:val="28"/>
        </w:rPr>
      </w:pP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Федеральным казначейством предоставлялась информация в Министерство финансов Российской Федерации:</w:t>
      </w:r>
    </w:p>
    <w:p>
      <w:pPr>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1. В целях проведения оперативного мониторинга качества финансового менеджмента, осуществляемого главными администраторами средств федерального бюджета, субъектам бюджетного планирования </w:t>
      </w:r>
      <w:r>
        <w:rPr>
          <w:rFonts w:ascii="Times New Roman" w:hAnsi="Times New Roman"/>
          <w:color w:val="000000" w:themeColor="text1"/>
          <w:sz w:val="28"/>
          <w:szCs w:val="28"/>
        </w:rPr>
        <w:br/>
        <w:t>и подведомственным ему главным распорядителям: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еженедельная оперативная информация об исполнении расходов федерального бюджета в разрезе субъектов бюджетного планирования, формируемая на основании оперативной отчетности органов Федерального казначейства (Отчета о кассовых выбытиях средств федерального бюджета и кассовых операциях по погашению источников финансирования дефицита </w:t>
      </w:r>
      <w:r>
        <w:rPr>
          <w:rFonts w:ascii="Times New Roman" w:hAnsi="Times New Roman"/>
          <w:color w:val="000000" w:themeColor="text1"/>
          <w:sz w:val="28"/>
          <w:szCs w:val="28"/>
        </w:rPr>
        <w:lastRenderedPageBreak/>
        <w:t xml:space="preserve">федерального бюджета (ф. 0521469), утвержденного приказом Федерального казначейства от 4 декабря 2015 г. № 339 «Об утверждении Особенностей формирования бюджетной отчетности по кассовому исполнению федерального бюджета, кассовому обслуживанию исполнения бюджетов бюджетной системы Российской Федерации, по операциям </w:t>
      </w:r>
      <w:r>
        <w:rPr>
          <w:rFonts w:ascii="Times New Roman" w:hAnsi="Times New Roman"/>
          <w:color w:val="000000" w:themeColor="text1"/>
          <w:sz w:val="28"/>
          <w:szCs w:val="28"/>
        </w:rPr>
        <w:br/>
        <w:t>со средствами бюджетных, автономных учреждений и иных юридических лиц территориальными органами Федерального казначейства», утвержденные приказом Федерального казначейства (далее – Приказ № 339);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ежемесячная оперативная информация об исполнении федерального бюджета в разрезе кодов классификации операций сектора государственного управления, сформированная в аналитической системе ключевых показателей эффективности исполнения бюджетов бюджетной системы Российской Федерации (далее – система ИАС КПЭ) на основании данных, полученных от УФК по субъектам Российской Федерации;</w:t>
      </w:r>
    </w:p>
    <w:p>
      <w:pPr>
        <w:tabs>
          <w:tab w:val="left" w:pos="22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b/>
          <w:color w:val="000000" w:themeColor="text1"/>
          <w:sz w:val="28"/>
          <w:szCs w:val="28"/>
        </w:rPr>
        <w:t> </w:t>
      </w:r>
      <w:r>
        <w:rPr>
          <w:rFonts w:ascii="Times New Roman" w:hAnsi="Times New Roman"/>
          <w:color w:val="000000" w:themeColor="text1"/>
          <w:sz w:val="28"/>
          <w:szCs w:val="28"/>
        </w:rPr>
        <w:t>В целях проведения мониторинга показателей исполнения федерального бюджета и оценки ожидаемого исполнения для дальнейшего представления в Правительство Российской Федерации: ежемесячная оперативная информация по исполнению федерального бюджета (в разрезе доходов, расходов и источников финансирования дефицита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В соответствии с приказом Минфина России от 25 января 2016 г. № 23 «Об организации представления в электронном виде информации, необходимой для формирования бюджетной отчетности Российской Федерации» ежемесячные Сведения об исполнении федерального бюджета (ф. 0503811), Сведения о реализации приоритетных национальных проектов (ф. 0503812).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Федеральным казначейством в адрес ГРБС с целью качественного формирования ими бюджетной (бухгалтерской) отчетности ежеквартально предоставлялась: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по кассовым поступлениям и выбытиям средств федерального бюджета по кодам бюджетной классификации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по кассовым выбытиям средств федерального бюджета в разрезе получателей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информация по кассовым поступлениям и выбытиям средств федеральных бюджетных и автономных учреждений, а также иных НУБП по счетам, открытым в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Предоставление ГРБС информации по кассовым поступлениям </w:t>
      </w:r>
      <w:r>
        <w:rPr>
          <w:rFonts w:ascii="Times New Roman" w:hAnsi="Times New Roman"/>
          <w:color w:val="000000" w:themeColor="text1"/>
          <w:sz w:val="28"/>
          <w:szCs w:val="28"/>
        </w:rPr>
        <w:br/>
        <w:t xml:space="preserve">и выбытиям позволяет им осуществлять оценку ожидаемого исполнения, принимать исчерпывающие меры по устранению причин, замедляющих </w:t>
      </w:r>
      <w:r>
        <w:rPr>
          <w:rFonts w:ascii="Times New Roman" w:hAnsi="Times New Roman"/>
          <w:color w:val="000000" w:themeColor="text1"/>
          <w:sz w:val="28"/>
          <w:szCs w:val="28"/>
        </w:rPr>
        <w:lastRenderedPageBreak/>
        <w:t>исполнение федерального бюджета, и своевременно обеспечивать равномерное и эффективное расходование средств федерального бюджета.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w:t>
      </w:r>
      <w:hyperlink r:id="rId97" w:history="1">
        <w:r>
          <w:rPr>
            <w:rFonts w:ascii="Times New Roman" w:hAnsi="Times New Roman"/>
            <w:color w:val="000000" w:themeColor="text1"/>
            <w:sz w:val="28"/>
            <w:szCs w:val="28"/>
          </w:rPr>
          <w:t>Порядк</w:t>
        </w:r>
      </w:hyperlink>
      <w:r>
        <w:rPr>
          <w:rFonts w:ascii="Times New Roman" w:hAnsi="Times New Roman"/>
          <w:color w:val="000000" w:themeColor="text1"/>
          <w:sz w:val="28"/>
          <w:szCs w:val="28"/>
        </w:rPr>
        <w:t xml:space="preserve">ом обеспечения доступа граждан </w:t>
      </w:r>
      <w:r>
        <w:rPr>
          <w:rFonts w:ascii="Times New Roman" w:hAnsi="Times New Roman"/>
          <w:color w:val="000000" w:themeColor="text1"/>
          <w:sz w:val="28"/>
          <w:szCs w:val="28"/>
        </w:rPr>
        <w:br/>
        <w:t>и организаций к информации о деятельности Федерального казначейства</w:t>
      </w:r>
      <w:r>
        <w:rPr>
          <w:rFonts w:ascii="Times New Roman" w:hAnsi="Times New Roman"/>
          <w:color w:val="000000" w:themeColor="text1"/>
          <w:sz w:val="28"/>
          <w:szCs w:val="28"/>
        </w:rPr>
        <w:br/>
        <w:t xml:space="preserve"> и его территориальных органов, утвержденным приказом Федерального казначейства от 6 марта 2007 г. № 2н, Федеральное казначейство предоставляло заинтересованным пользователям на регулярной основе информацию об исполнении бюджетов бюджетной системы Российской Федерации на </w:t>
      </w:r>
      <w:r>
        <w:rPr>
          <w:rFonts w:ascii="Times New Roman" w:hAnsi="Times New Roman"/>
          <w:color w:val="000000" w:themeColor="text1"/>
          <w:sz w:val="28"/>
          <w:szCs w:val="28"/>
          <w:lang w:eastAsia="ru-RU"/>
        </w:rPr>
        <w:t xml:space="preserve">Официальном сайте </w:t>
      </w:r>
      <w:hyperlink r:id="rId98"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согласно приказу Федерального казначейства от 3 июня 2010 г. № 130 «Об утверждении Состава и периодичности размещения информации об исполнении бюджетов бюджетной системы Российской Федерации на официальном сайте Федерального казначейства в сети Интернет».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с целью повышения открытости </w:t>
      </w:r>
      <w:r>
        <w:rPr>
          <w:rFonts w:ascii="Times New Roman" w:hAnsi="Times New Roman"/>
          <w:color w:val="000000" w:themeColor="text1"/>
          <w:sz w:val="28"/>
          <w:szCs w:val="28"/>
        </w:rPr>
        <w:br/>
        <w:t xml:space="preserve">и доступности информации для граждан о состоянии бюджетной системы Российской Федерации были актуализированы витрины данных за 2015 год (диаграмма 42). </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42</w:t>
      </w:r>
    </w:p>
    <w:p>
      <w:pPr>
        <w:autoSpaceDE w:val="0"/>
        <w:autoSpaceDN w:val="0"/>
        <w:adjustRightInd w:val="0"/>
        <w:spacing w:line="360" w:lineRule="atLeast"/>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971249" cy="3641698"/>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1540" cy="3641875"/>
                    </a:xfrm>
                    <a:prstGeom prst="rect">
                      <a:avLst/>
                    </a:prstGeom>
                    <a:noFill/>
                    <a:ln>
                      <a:noFill/>
                    </a:ln>
                  </pic:spPr>
                </pic:pic>
              </a:graphicData>
            </a:graphic>
          </wp:inline>
        </w:drawing>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Данное решение призвано обеспечить наличие эффективного контроля за управлением общественными финансами со стороны гражданского общества.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Основным источником информации для размещения на </w:t>
      </w:r>
      <w:r>
        <w:rPr>
          <w:rFonts w:ascii="Times New Roman" w:hAnsi="Times New Roman"/>
          <w:color w:val="000000" w:themeColor="text1"/>
          <w:sz w:val="28"/>
          <w:szCs w:val="28"/>
          <w:lang w:eastAsia="ru-RU"/>
        </w:rPr>
        <w:t xml:space="preserve">Официальном сайте </w:t>
      </w:r>
      <w:hyperlink r:id="rId100"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являются данные системы ИАС КПЭ, которые </w:t>
      </w:r>
      <w:r>
        <w:rPr>
          <w:rFonts w:ascii="Times New Roman" w:hAnsi="Times New Roman"/>
          <w:color w:val="000000" w:themeColor="text1"/>
          <w:sz w:val="28"/>
          <w:szCs w:val="28"/>
        </w:rPr>
        <w:lastRenderedPageBreak/>
        <w:t>представлены в понятном для гражданского общества виде и содержат основные показатели, характеризующие состояние бюджетной системы Российской Федерации, такие как: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аналитические отчетные данные о доходах, расходах, источниках финансирования, дефиците/профиците бюджетов всех уровней бюджетной системы, публикуемые на </w:t>
      </w:r>
      <w:r>
        <w:rPr>
          <w:rFonts w:ascii="Times New Roman" w:hAnsi="Times New Roman"/>
          <w:color w:val="000000" w:themeColor="text1"/>
          <w:sz w:val="28"/>
          <w:szCs w:val="28"/>
          <w:lang w:eastAsia="ru-RU"/>
        </w:rPr>
        <w:t xml:space="preserve">Официальном сайте </w:t>
      </w:r>
      <w:hyperlink r:id="rId101"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w:t>
      </w:r>
      <w:r>
        <w:rPr>
          <w:rFonts w:ascii="Times New Roman" w:hAnsi="Times New Roman"/>
          <w:color w:val="000000" w:themeColor="text1"/>
          <w:sz w:val="28"/>
          <w:szCs w:val="28"/>
        </w:rPr>
        <w:br/>
        <w:t>с еженедельной периодичностью;</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 сводной бюджетной росписи, кассовых расходах, проценте исполнения сводной бюджетной росписи по федеральному бюджету в разрезе аналитического распределения по государственным программам Российской Федерации, публикуемая на </w:t>
      </w:r>
      <w:r>
        <w:rPr>
          <w:rFonts w:ascii="Times New Roman" w:hAnsi="Times New Roman"/>
          <w:color w:val="000000" w:themeColor="text1"/>
          <w:sz w:val="28"/>
          <w:szCs w:val="28"/>
          <w:lang w:eastAsia="ru-RU"/>
        </w:rPr>
        <w:t xml:space="preserve">Официальном сайте </w:t>
      </w:r>
      <w:hyperlink r:id="rId102"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с еженедельной периодичностью;</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об исполнении основных показателей доходов </w:t>
      </w:r>
      <w:r>
        <w:rPr>
          <w:rFonts w:ascii="Times New Roman" w:hAnsi="Times New Roman"/>
          <w:color w:val="000000" w:themeColor="text1"/>
          <w:sz w:val="28"/>
          <w:szCs w:val="28"/>
        </w:rPr>
        <w:br/>
        <w:t xml:space="preserve">и поступлений от главных администраторов доходов бюджетов, публикуемая на </w:t>
      </w:r>
      <w:r>
        <w:rPr>
          <w:rFonts w:ascii="Times New Roman" w:hAnsi="Times New Roman"/>
          <w:color w:val="000000" w:themeColor="text1"/>
          <w:sz w:val="28"/>
          <w:szCs w:val="28"/>
          <w:lang w:eastAsia="ru-RU"/>
        </w:rPr>
        <w:t xml:space="preserve">Официальном сайте </w:t>
      </w:r>
      <w:hyperlink r:id="rId103"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с еженедельной периодичностью;</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об исполнении федерального бюджета по расходам </w:t>
      </w:r>
      <w:r>
        <w:rPr>
          <w:rFonts w:ascii="Times New Roman" w:hAnsi="Times New Roman"/>
          <w:color w:val="000000" w:themeColor="text1"/>
          <w:sz w:val="28"/>
          <w:szCs w:val="28"/>
        </w:rPr>
        <w:br/>
        <w:t xml:space="preserve">в разрезе ГРБС, публикуемая на </w:t>
      </w:r>
      <w:r>
        <w:rPr>
          <w:rFonts w:ascii="Times New Roman" w:hAnsi="Times New Roman"/>
          <w:color w:val="000000" w:themeColor="text1"/>
          <w:sz w:val="28"/>
          <w:szCs w:val="28"/>
          <w:lang w:eastAsia="ru-RU"/>
        </w:rPr>
        <w:t xml:space="preserve">Официальном сайте </w:t>
      </w:r>
      <w:hyperlink r:id="rId104"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w:t>
      </w:r>
      <w:r>
        <w:rPr>
          <w:rFonts w:ascii="Times New Roman" w:hAnsi="Times New Roman"/>
          <w:color w:val="000000" w:themeColor="text1"/>
          <w:sz w:val="28"/>
          <w:szCs w:val="28"/>
        </w:rPr>
        <w:br/>
        <w:t>с еженедельной периодичностью;</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информация об исполнении плана финансово-хозяйственной деятельности государственных бюджетных и автономных учреждений.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 целью адаптации бюджетно-финансовой терминологии </w:t>
      </w:r>
      <w:r>
        <w:rPr>
          <w:rFonts w:ascii="Times New Roman" w:hAnsi="Times New Roman"/>
          <w:color w:val="000000" w:themeColor="text1"/>
          <w:sz w:val="28"/>
          <w:szCs w:val="28"/>
        </w:rPr>
        <w:br/>
        <w:t xml:space="preserve">для широкого круга пользователей каждый из отчетов на </w:t>
      </w:r>
      <w:r>
        <w:rPr>
          <w:rFonts w:ascii="Times New Roman" w:hAnsi="Times New Roman"/>
          <w:color w:val="000000" w:themeColor="text1"/>
          <w:sz w:val="28"/>
          <w:szCs w:val="28"/>
          <w:lang w:eastAsia="ru-RU"/>
        </w:rPr>
        <w:t xml:space="preserve">Официальном сайте </w:t>
      </w:r>
      <w:hyperlink r:id="rId105"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сопровождается необходимыми пояснениями, текстовой информацией, а также дополнительными элементами, позволяющими визуально оценивать основные тенденции показателей исполнения бюджетов бюджетной системы Российской Федерации (рисунок 10).</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10</w:t>
      </w:r>
    </w:p>
    <w:p>
      <w:pPr>
        <w:autoSpaceDE w:val="0"/>
        <w:autoSpaceDN w:val="0"/>
        <w:adjustRightInd w:val="0"/>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lastRenderedPageBreak/>
        <w:drawing>
          <wp:inline distT="0" distB="0" distL="0" distR="0">
            <wp:extent cx="4786685" cy="2910178"/>
            <wp:effectExtent l="0" t="0" r="0" b="508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86685" cy="2910178"/>
                    </a:xfrm>
                    <a:prstGeom prst="rect">
                      <a:avLst/>
                    </a:prstGeom>
                    <a:noFill/>
                    <a:ln>
                      <a:noFill/>
                    </a:ln>
                  </pic:spPr>
                </pic:pic>
              </a:graphicData>
            </a:graphic>
          </wp:inline>
        </w:drawing>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 дополнительной информацией по витринам данных информационно-аналитической системы мониторинга ключевых показателей исполнения бюджетов можно ознакомиться на </w:t>
      </w:r>
      <w:r>
        <w:rPr>
          <w:rFonts w:ascii="Times New Roman" w:hAnsi="Times New Roman"/>
          <w:color w:val="000000" w:themeColor="text1"/>
          <w:sz w:val="28"/>
          <w:szCs w:val="28"/>
          <w:lang w:eastAsia="ru-RU"/>
        </w:rPr>
        <w:t xml:space="preserve">Официальном сайте </w:t>
      </w:r>
      <w:hyperlink r:id="rId107" w:history="1">
        <w:r>
          <w:rPr>
            <w:rFonts w:ascii="Times New Roman" w:hAnsi="Times New Roman"/>
            <w:color w:val="000000" w:themeColor="text1"/>
            <w:sz w:val="28"/>
            <w:szCs w:val="28"/>
          </w:rPr>
          <w:t>www.roskazna.ru</w:t>
        </w:r>
      </w:hyperlink>
      <w:r>
        <w:rPr>
          <w:rFonts w:ascii="Times New Roman" w:hAnsi="Times New Roman"/>
          <w:color w:val="000000" w:themeColor="text1"/>
          <w:sz w:val="28"/>
          <w:szCs w:val="28"/>
        </w:rPr>
        <w:t xml:space="preserve"> в разделе «Информация об исполнении бюджетов», </w:t>
      </w:r>
      <w:hyperlink r:id="rId108" w:tgtFrame="_self" w:history="1">
        <w:r>
          <w:rPr>
            <w:rStyle w:val="a4"/>
            <w:rFonts w:ascii="Times New Roman" w:hAnsi="Times New Roman"/>
            <w:color w:val="000000" w:themeColor="text1"/>
            <w:sz w:val="28"/>
            <w:szCs w:val="28"/>
            <w:u w:val="none"/>
          </w:rPr>
          <w:t>http://datamarts.roskazna.ru</w:t>
        </w:r>
      </w:hyperlink>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Федеральным казначейством обеспечена методическая поддержка доработок функционала </w:t>
      </w:r>
      <w:r>
        <w:rPr>
          <w:rFonts w:ascii="Times New Roman" w:hAnsi="Times New Roman"/>
          <w:bCs/>
          <w:color w:val="000000" w:themeColor="text1"/>
          <w:sz w:val="28"/>
          <w:szCs w:val="28"/>
        </w:rPr>
        <w:t xml:space="preserve">ППО «АСФК» </w:t>
      </w:r>
      <w:r>
        <w:rPr>
          <w:rFonts w:ascii="Times New Roman" w:hAnsi="Times New Roman"/>
          <w:color w:val="000000" w:themeColor="text1"/>
          <w:sz w:val="28"/>
          <w:szCs w:val="28"/>
        </w:rPr>
        <w:t>в части формирования бюджетной (бухгалтерской) отчетности и ввода в эксплуатацию нового конструктора аналитических отчетов на основании данных сводных отчетов в ППО «АСФК».</w:t>
      </w:r>
    </w:p>
    <w:p>
      <w:pPr>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2.1.2. Официальный сайт Российской Федерации</w:t>
      </w:r>
      <w:r>
        <w:rPr>
          <w:rFonts w:ascii="Times New Roman" w:hAnsi="Times New Roman"/>
          <w:b/>
          <w:color w:val="000000" w:themeColor="text1"/>
          <w:sz w:val="28"/>
          <w:szCs w:val="28"/>
          <w:lang w:eastAsia="ru-RU"/>
        </w:rPr>
        <w:br/>
        <w:t xml:space="preserve">в информационно-телекоммуникационной сети «Интернет» </w:t>
      </w:r>
      <w:r>
        <w:rPr>
          <w:rFonts w:ascii="Times New Roman" w:hAnsi="Times New Roman"/>
          <w:b/>
          <w:color w:val="000000" w:themeColor="text1"/>
          <w:sz w:val="28"/>
          <w:szCs w:val="28"/>
          <w:lang w:eastAsia="ru-RU"/>
        </w:rPr>
        <w:br/>
        <w:t>для размещения информации о государственных (муниципальных) учреждениях (www.bus.gov.ru)</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Официальный сайт ГМУ создавался в рамках исполнения приказа Минфина России от 21 июля 2011 г. № 86н «Об утверждении порядка предоставления информации государственным (муниципальным) учреждением, ее размещения на официальном сайте в сети Интернет </w:t>
      </w:r>
      <w:r>
        <w:rPr>
          <w:rFonts w:ascii="Times New Roman" w:eastAsia="Times New Roman" w:hAnsi="Times New Roman"/>
          <w:color w:val="000000" w:themeColor="text1"/>
          <w:sz w:val="28"/>
          <w:szCs w:val="28"/>
          <w:lang w:eastAsia="ru-RU"/>
        </w:rPr>
        <w:br/>
        <w:t>и ведения указанного сайта».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течение 2016 года Федеральное казначейство проводило работы </w:t>
      </w:r>
      <w:r>
        <w:rPr>
          <w:rFonts w:ascii="Times New Roman" w:eastAsia="Times New Roman" w:hAnsi="Times New Roman"/>
          <w:color w:val="000000" w:themeColor="text1"/>
          <w:sz w:val="28"/>
          <w:szCs w:val="28"/>
          <w:lang w:eastAsia="ru-RU"/>
        </w:rPr>
        <w:br/>
        <w:t xml:space="preserve">по развитию и модернизации функционала Официального сайта ГМУ. </w:t>
      </w:r>
      <w:r>
        <w:rPr>
          <w:rFonts w:ascii="Times New Roman" w:eastAsia="Times New Roman" w:hAnsi="Times New Roman"/>
          <w:color w:val="000000" w:themeColor="text1"/>
          <w:sz w:val="28"/>
          <w:szCs w:val="28"/>
          <w:lang w:eastAsia="ru-RU"/>
        </w:rPr>
        <w:br/>
        <w:t>С этой целью был проведен открытый конкурс о выполнении работ (оказании услуг) по доработке и эксплуатации ППО автоматизированной системы Официального сайта ГМУ и был заключен Государственный контракт от 19 января 2016 г. № УФТ-01/2016 на выполнение работ (оказание услуг) по доработке и сопровождению ППО автоматизированной системы Официального сайта ГМУ.</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lastRenderedPageBreak/>
        <w:t>2.1.2.1. Независимая оценка качества оказания услуг организациями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реализации положений Федерального закона от 21 июля </w:t>
      </w:r>
      <w:r>
        <w:rPr>
          <w:rFonts w:ascii="Times New Roman" w:eastAsia="Times New Roman" w:hAnsi="Times New Roman"/>
          <w:color w:val="000000" w:themeColor="text1"/>
          <w:sz w:val="28"/>
          <w:szCs w:val="28"/>
          <w:lang w:eastAsia="ru-RU"/>
        </w:rPr>
        <w:br/>
        <w:t xml:space="preserve">2014 г. № 256-ФЗ «О внесении изменений в отдельные законодательные акты Российской Федерации по вопросам проведения независимой оценки качества оказания услуг организациями в сфере культуры, социального обслуживания, охраны здоровья и образования» и в целях реализации приказа Минфина России от 22 июля 2015 г. № 116н «О составе информации о результатах независимой оценки качества образовательной деятельности организаций, осуществляющих образовательную деятельность, оказания услуг организациями культуры, социального обслуживания, медицинскими организациями, размещаемой </w:t>
      </w:r>
      <w:r>
        <w:rPr>
          <w:rFonts w:ascii="Times New Roman" w:eastAsia="Times New Roman" w:hAnsi="Times New Roman"/>
          <w:color w:val="000000" w:themeColor="text1"/>
          <w:sz w:val="28"/>
          <w:szCs w:val="28"/>
          <w:lang w:eastAsia="ru-RU"/>
        </w:rPr>
        <w:br/>
        <w:t xml:space="preserve">на Официальном сайте для размещения информации о государственных </w:t>
      </w:r>
      <w:r>
        <w:rPr>
          <w:rFonts w:ascii="Times New Roman" w:eastAsia="Times New Roman" w:hAnsi="Times New Roman"/>
          <w:color w:val="000000" w:themeColor="text1"/>
          <w:sz w:val="28"/>
          <w:szCs w:val="28"/>
          <w:lang w:eastAsia="ru-RU"/>
        </w:rPr>
        <w:br/>
        <w:t>и муниципальных учреждениях в информационно-телекоммуникационной сети «Интернет», и порядке ее размещения» на Официальном сайте ГМУ реализован функционал по обеспечению технической возможности размещения информации по независимой оценке качества оказания услуг организациями, 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обеспечена возможность размещения уполномоченными органами следующих сведений: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 уполномоченных органах;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 общественных советах по проведению независимой оценки качества оказания услуг организациями, образуемых уполномоченными органами;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 организациях, которые осуществляют сбор, обобщение и анализ информации о качестве оказания услуг, ответственных за проведение независимой оценки качества оказания услуг, определенной решением уполномоченного органа;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 показателях, характеризующих общие критерии оценки качества оказания услуг организациями;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 критериях оценки качества оказания услуг организациями, устанавливаемых общественными советами;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 перечнях организаций, в отношении которых проводится независимая оценка качества оказания услуг, определенных общественными советами;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 перечнях организаций культуры, в отношении которых</w:t>
      </w:r>
      <w:r>
        <w:rPr>
          <w:rFonts w:ascii="Times New Roman" w:eastAsia="Times New Roman" w:hAnsi="Times New Roman"/>
          <w:color w:val="000000" w:themeColor="text1"/>
          <w:sz w:val="28"/>
          <w:szCs w:val="28"/>
          <w:lang w:eastAsia="ru-RU"/>
        </w:rPr>
        <w:br/>
        <w:t>не проводится независимая оценка качества оказания ими услуг;</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 организациях, включенных в перечни организаций, в отношении которых проводится независимая оценка качества оказания услуг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и в отношении которых не проводится независимая оценка качества оказания услуг;</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 результатах рассмотрения уполномоченными органами сведений </w:t>
      </w:r>
      <w:r>
        <w:rPr>
          <w:rFonts w:ascii="Times New Roman" w:eastAsia="Times New Roman" w:hAnsi="Times New Roman"/>
          <w:color w:val="000000" w:themeColor="text1"/>
          <w:sz w:val="28"/>
          <w:szCs w:val="28"/>
          <w:lang w:eastAsia="ru-RU"/>
        </w:rPr>
        <w:br/>
        <w:t xml:space="preserve">о результатах независимой оценки качества оказания услуг организациями </w:t>
      </w:r>
      <w:r>
        <w:rPr>
          <w:rFonts w:ascii="Times New Roman" w:eastAsia="Times New Roman" w:hAnsi="Times New Roman"/>
          <w:color w:val="000000" w:themeColor="text1"/>
          <w:sz w:val="28"/>
          <w:szCs w:val="28"/>
          <w:lang w:eastAsia="ru-RU"/>
        </w:rPr>
        <w:br/>
        <w:t>и предложениях об улучшении качества их деятельности;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иным вопросам проведения независимой оценки качества оказания услуг организациями;</w:t>
      </w:r>
    </w:p>
    <w:p>
      <w:pPr>
        <w:pageBreakBefore/>
        <w:spacing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11</w:t>
      </w:r>
    </w:p>
    <w:p>
      <w:pPr>
        <w:spacing w:before="120" w:after="12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Список уполномоченных органов по проведению независимой оценки качества оказания услуг, размещенный на Официальном сайте ГМУ</w:t>
      </w:r>
    </w:p>
    <w:p>
      <w:pPr>
        <w:spacing w:after="0" w:line="360" w:lineRule="atLeast"/>
        <w:ind w:firstLine="709"/>
        <w:jc w:val="right"/>
        <w:rPr>
          <w:rFonts w:ascii="Times New Roman" w:eastAsia="Times New Roman" w:hAnsi="Times New Roman"/>
          <w:color w:val="000000" w:themeColor="text1"/>
          <w:sz w:val="28"/>
          <w:szCs w:val="28"/>
          <w:lang w:eastAsia="ru-RU"/>
        </w:rPr>
      </w:pPr>
    </w:p>
    <w:p>
      <w:pPr>
        <w:spacing w:after="0" w:line="360" w:lineRule="atLeast"/>
        <w:jc w:val="both"/>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929081" cy="6757059"/>
            <wp:effectExtent l="19050" t="19050" r="14605" b="24765"/>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6762750"/>
                    </a:xfrm>
                    <a:prstGeom prst="rect">
                      <a:avLst/>
                    </a:prstGeom>
                    <a:noFill/>
                    <a:ln w="6350">
                      <a:solidFill>
                        <a:schemeClr val="tx1"/>
                      </a:solidFill>
                    </a:ln>
                  </pic:spPr>
                </pic:pic>
              </a:graphicData>
            </a:graphic>
          </wp:inline>
        </w:drawing>
      </w:r>
    </w:p>
    <w:p>
      <w:pPr>
        <w:spacing w:line="360" w:lineRule="atLeast"/>
        <w:jc w:val="right"/>
        <w:rPr>
          <w:rFonts w:ascii="Times New Roman" w:eastAsia="Times New Roman" w:hAnsi="Times New Roman"/>
          <w:color w:val="000000" w:themeColor="text1"/>
          <w:sz w:val="28"/>
          <w:szCs w:val="28"/>
          <w:lang w:eastAsia="ru-RU"/>
        </w:rPr>
      </w:pPr>
    </w:p>
    <w:p>
      <w:pPr>
        <w:pageBreakBefore/>
        <w:spacing w:after="120" w:line="360" w:lineRule="atLeast"/>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12</w:t>
      </w:r>
    </w:p>
    <w:p>
      <w:pPr>
        <w:spacing w:before="120" w:after="120" w:line="240" w:lineRule="auto"/>
        <w:jc w:val="center"/>
        <w:rPr>
          <w:rFonts w:ascii="Times New Roman" w:eastAsia="Times New Roman" w:hAnsi="Times New Roman"/>
          <w:color w:val="000000" w:themeColor="text1"/>
          <w:sz w:val="28"/>
          <w:szCs w:val="28"/>
          <w:lang w:eastAsia="ru-RU"/>
        </w:rPr>
      </w:pPr>
      <w:r>
        <w:rPr>
          <w:rFonts w:ascii="Times New Roman" w:eastAsia="Times New Roman" w:hAnsi="Times New Roman"/>
          <w:b/>
          <w:color w:val="000000" w:themeColor="text1"/>
          <w:sz w:val="28"/>
          <w:szCs w:val="28"/>
          <w:lang w:eastAsia="ru-RU"/>
        </w:rPr>
        <w:t>Сведения о результатах независимой оценки качества оказания услуг, размещенные на Официальном сайте ГМУ</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000625" cy="7667625"/>
            <wp:effectExtent l="19050" t="19050" r="28575" b="28575"/>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00625" cy="7667625"/>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обеспечена возможность формирования аналитических </w:t>
      </w:r>
      <w:r>
        <w:rPr>
          <w:rFonts w:ascii="Times New Roman" w:eastAsia="Times New Roman" w:hAnsi="Times New Roman"/>
          <w:color w:val="000000" w:themeColor="text1"/>
          <w:sz w:val="28"/>
          <w:szCs w:val="28"/>
          <w:lang w:eastAsia="ru-RU"/>
        </w:rPr>
        <w:br/>
        <w:t xml:space="preserve">и статистических отчетов по результатам размещения информации </w:t>
      </w:r>
      <w:r>
        <w:rPr>
          <w:rFonts w:ascii="Times New Roman" w:eastAsia="Times New Roman" w:hAnsi="Times New Roman"/>
          <w:color w:val="000000" w:themeColor="text1"/>
          <w:sz w:val="28"/>
          <w:szCs w:val="28"/>
          <w:lang w:eastAsia="ru-RU"/>
        </w:rPr>
        <w:br/>
        <w:t>о результатах независимой оценки качества оказания услуг (рисунок 13);</w:t>
      </w:r>
    </w:p>
    <w:p>
      <w:pPr>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13</w:t>
      </w:r>
    </w:p>
    <w:p>
      <w:pPr>
        <w:spacing w:before="120" w:after="12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Мониторинг размещения сведений по независимой оценке качества оказания услуг организациями на Официальном сайте ГМУ</w:t>
      </w:r>
    </w:p>
    <w:p>
      <w:pPr>
        <w:spacing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4905375" cy="6076950"/>
            <wp:effectExtent l="19050" t="19050" r="28575" b="1905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05375" cy="6076950"/>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обеспечена возможность выгрузки информации о результатах независимой оценки качества оказания услуг организациями </w:t>
      </w:r>
      <w:r>
        <w:rPr>
          <w:rFonts w:ascii="Times New Roman" w:eastAsia="Times New Roman" w:hAnsi="Times New Roman"/>
          <w:color w:val="000000" w:themeColor="text1"/>
          <w:sz w:val="28"/>
          <w:szCs w:val="28"/>
          <w:lang w:eastAsia="ru-RU"/>
        </w:rPr>
        <w:br/>
        <w:t xml:space="preserve">с Официального сайта ГМУ для размещения на официальных сайтах Российской Федерации в информационно-телекоммуникационной сети «Интернет» уполномоченных органов в формате открытых данных и в виде </w:t>
      </w:r>
      <w:proofErr w:type="spellStart"/>
      <w:r>
        <w:rPr>
          <w:rFonts w:ascii="Times New Roman" w:eastAsia="Times New Roman" w:hAnsi="Times New Roman"/>
          <w:color w:val="000000" w:themeColor="text1"/>
          <w:sz w:val="28"/>
          <w:szCs w:val="28"/>
          <w:lang w:eastAsia="ru-RU"/>
        </w:rPr>
        <w:t>Exсel</w:t>
      </w:r>
      <w:proofErr w:type="spellEnd"/>
      <w:r>
        <w:rPr>
          <w:rFonts w:ascii="Times New Roman" w:eastAsia="Times New Roman" w:hAnsi="Times New Roman"/>
          <w:color w:val="000000" w:themeColor="text1"/>
          <w:sz w:val="28"/>
          <w:szCs w:val="28"/>
          <w:lang w:eastAsia="ru-RU"/>
        </w:rPr>
        <w:t>-таблиц из личных кабинетов уполномоченных органов (рисунок 14).</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14</w:t>
      </w:r>
    </w:p>
    <w:p>
      <w:pPr>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Размещение сведений о независимой оценке качества оказания услуг организациями в формате открытых данных</w:t>
      </w:r>
    </w:p>
    <w:p>
      <w:pPr>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4810125" cy="6467475"/>
            <wp:effectExtent l="19050" t="19050" r="28575" b="28575"/>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10125" cy="6467475"/>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разработаны дополнительные сервисы на главной странице Официального сайта ГМУ, предоставляющие дополнительные сведения </w:t>
      </w:r>
      <w:r>
        <w:rPr>
          <w:rFonts w:ascii="Times New Roman" w:eastAsia="Times New Roman" w:hAnsi="Times New Roman"/>
          <w:color w:val="000000" w:themeColor="text1"/>
          <w:sz w:val="28"/>
          <w:szCs w:val="28"/>
          <w:lang w:eastAsia="ru-RU"/>
        </w:rPr>
        <w:br/>
        <w:t>по результатам проведения независимой оценки качества оказания услуг организациями социальной сферы (рисунок 15).</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15</w:t>
      </w:r>
    </w:p>
    <w:p>
      <w:pPr>
        <w:spacing w:before="120" w:after="120" w:line="240" w:lineRule="auto"/>
        <w:jc w:val="center"/>
        <w:rPr>
          <w:rFonts w:ascii="Times New Roman" w:hAnsi="Times New Roman"/>
          <w:b/>
          <w:color w:val="000000" w:themeColor="text1"/>
          <w:sz w:val="28"/>
          <w:szCs w:val="28"/>
        </w:rPr>
      </w:pPr>
      <w:proofErr w:type="spellStart"/>
      <w:r>
        <w:rPr>
          <w:rFonts w:ascii="Times New Roman" w:hAnsi="Times New Roman"/>
          <w:b/>
          <w:color w:val="000000" w:themeColor="text1"/>
          <w:sz w:val="28"/>
          <w:szCs w:val="28"/>
        </w:rPr>
        <w:t>Виджеты</w:t>
      </w:r>
      <w:proofErr w:type="spellEnd"/>
      <w:r>
        <w:rPr>
          <w:rFonts w:ascii="Times New Roman" w:hAnsi="Times New Roman"/>
          <w:b/>
          <w:color w:val="000000" w:themeColor="text1"/>
          <w:sz w:val="28"/>
          <w:szCs w:val="28"/>
        </w:rPr>
        <w:t xml:space="preserve"> на главной странице Официального сайта ГМУ</w:t>
      </w:r>
    </w:p>
    <w:p>
      <w:pPr>
        <w:spacing w:after="0" w:line="360" w:lineRule="atLeast"/>
        <w:ind w:firstLine="709"/>
        <w:jc w:val="right"/>
        <w:rPr>
          <w:rFonts w:ascii="Times New Roman" w:eastAsia="Times New Roman" w:hAnsi="Times New Roman"/>
          <w:color w:val="000000" w:themeColor="text1"/>
          <w:sz w:val="28"/>
          <w:szCs w:val="28"/>
          <w:lang w:eastAsia="ru-RU"/>
        </w:rPr>
      </w:pPr>
    </w:p>
    <w:p>
      <w:pPr>
        <w:spacing w:after="0" w:line="360" w:lineRule="atLeast"/>
        <w:jc w:val="both"/>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934075" cy="4829175"/>
            <wp:effectExtent l="19050" t="19050" r="28575" b="2857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075" cy="4829175"/>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повышения качества размещения информации о результатах проведения независимой оценки качества оказания услуг были подготовлены обучающие видеоролики, демонстрирующие процесс подключения к Официальному сайту ГМУ и размещения информации </w:t>
      </w:r>
      <w:r>
        <w:rPr>
          <w:rFonts w:ascii="Times New Roman" w:eastAsia="Times New Roman" w:hAnsi="Times New Roman"/>
          <w:color w:val="000000" w:themeColor="text1"/>
          <w:sz w:val="28"/>
          <w:szCs w:val="28"/>
          <w:lang w:eastAsia="ru-RU"/>
        </w:rPr>
        <w:br/>
        <w:t>о результатах независимой оценки качества оказания услуг.</w:t>
      </w:r>
    </w:p>
    <w:p>
      <w:pPr>
        <w:spacing w:after="0" w:line="360" w:lineRule="atLeast"/>
        <w:ind w:firstLine="709"/>
        <w:jc w:val="both"/>
        <w:rPr>
          <w:rFonts w:ascii="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w:t>
      </w:r>
      <w:r>
        <w:rPr>
          <w:rFonts w:ascii="Times New Roman" w:hAnsi="Times New Roman"/>
          <w:color w:val="000000" w:themeColor="text1"/>
          <w:sz w:val="28"/>
          <w:szCs w:val="28"/>
          <w:lang w:eastAsia="ru-RU"/>
        </w:rPr>
        <w:t xml:space="preserve"> были доработаны разделы «Рейтинг организаций» </w:t>
      </w:r>
      <w:r>
        <w:rPr>
          <w:rFonts w:ascii="Times New Roman" w:hAnsi="Times New Roman"/>
          <w:color w:val="000000" w:themeColor="text1"/>
          <w:sz w:val="28"/>
          <w:szCs w:val="28"/>
          <w:lang w:eastAsia="ru-RU"/>
        </w:rPr>
        <w:br/>
        <w:t xml:space="preserve">и «Рейтинг субъектов Российской Федерации (муниципальных образований)» Официального сайта ГМУ в части добавления возможности выгрузки информации о рейтингах в </w:t>
      </w:r>
      <w:r>
        <w:rPr>
          <w:rFonts w:ascii="Times New Roman" w:hAnsi="Times New Roman"/>
          <w:color w:val="000000" w:themeColor="text1"/>
          <w:sz w:val="28"/>
          <w:szCs w:val="28"/>
          <w:lang w:val="en-US" w:eastAsia="ru-RU"/>
        </w:rPr>
        <w:t>Ex</w:t>
      </w:r>
      <w:proofErr w:type="spellStart"/>
      <w:r>
        <w:rPr>
          <w:rFonts w:ascii="Times New Roman" w:hAnsi="Times New Roman"/>
          <w:color w:val="000000" w:themeColor="text1"/>
          <w:sz w:val="28"/>
          <w:szCs w:val="28"/>
          <w:lang w:eastAsia="ru-RU"/>
        </w:rPr>
        <w:t>сel</w:t>
      </w:r>
      <w:proofErr w:type="spellEnd"/>
      <w:r>
        <w:rPr>
          <w:rFonts w:ascii="Times New Roman" w:hAnsi="Times New Roman"/>
          <w:color w:val="000000" w:themeColor="text1"/>
          <w:sz w:val="28"/>
          <w:szCs w:val="28"/>
          <w:lang w:eastAsia="ru-RU"/>
        </w:rPr>
        <w:t xml:space="preserve">-таблицу (рисунок 16). </w:t>
      </w:r>
    </w:p>
    <w:p>
      <w:pPr>
        <w:pageBreakBefore/>
        <w:spacing w:after="120" w:line="360" w:lineRule="atLeast"/>
        <w:ind w:firstLine="709"/>
        <w:jc w:val="right"/>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Рисунок 16</w:t>
      </w:r>
    </w:p>
    <w:p>
      <w:pPr>
        <w:spacing w:before="120" w:after="120" w:line="240" w:lineRule="auto"/>
        <w:jc w:val="center"/>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 xml:space="preserve">Возможность выгрузки информации о рейтингах в </w:t>
      </w:r>
      <w:r>
        <w:rPr>
          <w:rFonts w:ascii="Times New Roman" w:hAnsi="Times New Roman"/>
          <w:b/>
          <w:color w:val="000000" w:themeColor="text1"/>
          <w:sz w:val="28"/>
          <w:szCs w:val="28"/>
          <w:lang w:val="en-US" w:eastAsia="ru-RU"/>
        </w:rPr>
        <w:t>Ex</w:t>
      </w:r>
      <w:proofErr w:type="spellStart"/>
      <w:r>
        <w:rPr>
          <w:rFonts w:ascii="Times New Roman" w:hAnsi="Times New Roman"/>
          <w:b/>
          <w:color w:val="000000" w:themeColor="text1"/>
          <w:sz w:val="28"/>
          <w:szCs w:val="28"/>
          <w:lang w:eastAsia="ru-RU"/>
        </w:rPr>
        <w:t>сel</w:t>
      </w:r>
      <w:proofErr w:type="spellEnd"/>
      <w:r>
        <w:rPr>
          <w:rFonts w:ascii="Times New Roman" w:hAnsi="Times New Roman"/>
          <w:b/>
          <w:color w:val="000000" w:themeColor="text1"/>
          <w:sz w:val="28"/>
          <w:szCs w:val="28"/>
          <w:lang w:eastAsia="ru-RU"/>
        </w:rPr>
        <w:t>-таблицу</w:t>
      </w:r>
    </w:p>
    <w:p>
      <w:pPr>
        <w:spacing w:after="0" w:line="360" w:lineRule="atLeast"/>
        <w:ind w:firstLine="709"/>
        <w:jc w:val="right"/>
        <w:rPr>
          <w:rFonts w:ascii="Times New Roman" w:hAnsi="Times New Roman"/>
          <w:color w:val="000000" w:themeColor="text1"/>
          <w:sz w:val="28"/>
          <w:szCs w:val="28"/>
          <w:lang w:eastAsia="ru-RU"/>
        </w:rPr>
      </w:pPr>
    </w:p>
    <w:p>
      <w:pPr>
        <w:spacing w:after="0" w:line="360" w:lineRule="atLeast"/>
        <w:jc w:val="center"/>
        <w:rPr>
          <w:rFonts w:ascii="Times New Roman" w:hAnsi="Times New Roman"/>
          <w:color w:val="000000" w:themeColor="text1"/>
          <w:sz w:val="28"/>
          <w:szCs w:val="28"/>
          <w:lang w:eastAsia="ru-RU"/>
        </w:rPr>
      </w:pPr>
      <w:r>
        <w:rPr>
          <w:rFonts w:ascii="Times New Roman" w:hAnsi="Times New Roman"/>
          <w:noProof/>
          <w:color w:val="000000" w:themeColor="text1"/>
          <w:sz w:val="28"/>
          <w:szCs w:val="28"/>
          <w:lang w:eastAsia="ru-RU"/>
        </w:rPr>
        <w:drawing>
          <wp:inline distT="0" distB="0" distL="0" distR="0">
            <wp:extent cx="4638130" cy="6130455"/>
            <wp:effectExtent l="19050" t="19050" r="10160" b="2286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0872" cy="6134079"/>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Также в рейтинге субъектов Российской Федерации (муниципальных образований) обеспечена возможность поиска по наименованию субъектов Российской Федерации или муниципальных образований (рисунок 17).</w:t>
      </w:r>
    </w:p>
    <w:p>
      <w:pPr>
        <w:pageBreakBefore/>
        <w:spacing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17</w:t>
      </w:r>
    </w:p>
    <w:p>
      <w:pPr>
        <w:spacing w:before="120" w:after="12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Поиск по наименованию субъектов Российской Федерации или муниципальных образований в рейтинге</w:t>
      </w:r>
    </w:p>
    <w:p>
      <w:pPr>
        <w:spacing w:after="0" w:line="360" w:lineRule="atLeast"/>
        <w:ind w:firstLine="709"/>
        <w:jc w:val="right"/>
        <w:rPr>
          <w:rFonts w:ascii="Times New Roman" w:hAnsi="Times New Roman"/>
          <w:color w:val="000000" w:themeColor="text1"/>
          <w:sz w:val="28"/>
          <w:szCs w:val="28"/>
          <w:lang w:eastAsia="ru-RU"/>
        </w:rPr>
      </w:pPr>
    </w:p>
    <w:p>
      <w:pPr>
        <w:spacing w:after="0" w:line="360" w:lineRule="atLeast"/>
        <w:jc w:val="center"/>
        <w:rPr>
          <w:rFonts w:ascii="Times New Roman" w:eastAsia="Times New Roman" w:hAnsi="Times New Roman"/>
          <w:color w:val="000000" w:themeColor="text1"/>
          <w:sz w:val="28"/>
          <w:szCs w:val="28"/>
          <w:lang w:eastAsia="ru-RU"/>
        </w:rPr>
      </w:pPr>
      <w:r>
        <w:rPr>
          <w:rFonts w:ascii="Times New Roman" w:eastAsia="Times New Roman" w:hAnsi="Times New Roman"/>
          <w:noProof/>
          <w:color w:val="000000" w:themeColor="text1"/>
          <w:sz w:val="28"/>
          <w:szCs w:val="28"/>
          <w:lang w:eastAsia="ru-RU"/>
        </w:rPr>
        <w:drawing>
          <wp:inline distT="0" distB="0" distL="0" distR="0">
            <wp:extent cx="5756910" cy="6369050"/>
            <wp:effectExtent l="19050" t="19050" r="15240" b="1270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6910" cy="6369050"/>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 xml:space="preserve">2.1.2.2. Повышение открытости информации о государственных </w:t>
      </w:r>
      <w:r>
        <w:rPr>
          <w:rFonts w:ascii="Times New Roman" w:hAnsi="Times New Roman"/>
          <w:b/>
          <w:color w:val="000000" w:themeColor="text1"/>
          <w:sz w:val="28"/>
          <w:szCs w:val="28"/>
          <w:lang w:eastAsia="ru-RU"/>
        </w:rPr>
        <w:br/>
        <w:t>и муниципальных учреждениях</w:t>
      </w:r>
    </w:p>
    <w:p>
      <w:pPr>
        <w:spacing w:after="0" w:line="360" w:lineRule="atLeast"/>
        <w:ind w:firstLine="709"/>
        <w:jc w:val="both"/>
        <w:rPr>
          <w:rFonts w:ascii="Times New Roman" w:eastAsiaTheme="minorHAnsi" w:hAnsi="Times New Roman"/>
          <w:color w:val="000000" w:themeColor="text1"/>
          <w:sz w:val="28"/>
          <w:szCs w:val="28"/>
          <w:lang w:eastAsia="ru-RU"/>
        </w:rPr>
      </w:pPr>
      <w:r>
        <w:rPr>
          <w:rFonts w:ascii="Times New Roman" w:eastAsiaTheme="minorHAnsi" w:hAnsi="Times New Roman"/>
          <w:color w:val="000000" w:themeColor="text1"/>
          <w:sz w:val="28"/>
          <w:szCs w:val="28"/>
          <w:lang w:eastAsia="ru-RU"/>
        </w:rPr>
        <w:t xml:space="preserve">С целью повышения открытости информации о государственных </w:t>
      </w:r>
      <w:r>
        <w:rPr>
          <w:rFonts w:ascii="Times New Roman" w:eastAsiaTheme="minorHAnsi" w:hAnsi="Times New Roman"/>
          <w:color w:val="000000" w:themeColor="text1"/>
          <w:sz w:val="28"/>
          <w:szCs w:val="28"/>
          <w:lang w:eastAsia="ru-RU"/>
        </w:rPr>
        <w:br/>
        <w:t>и муниципальных учреждениях в 2016 году были выполнены следующие доработки Официального сайта ГМУ:</w:t>
      </w:r>
    </w:p>
    <w:p>
      <w:pPr>
        <w:pStyle w:val="a5"/>
        <w:spacing w:after="0" w:line="360" w:lineRule="atLeast"/>
        <w:ind w:left="0" w:firstLine="709"/>
        <w:contextualSpacing w:val="0"/>
        <w:jc w:val="both"/>
        <w:rPr>
          <w:rFonts w:ascii="Times New Roman" w:eastAsiaTheme="minorHAnsi" w:hAnsi="Times New Roman"/>
          <w:color w:val="000000" w:themeColor="text1"/>
          <w:sz w:val="28"/>
          <w:szCs w:val="28"/>
          <w:lang w:eastAsia="ru-RU"/>
        </w:rPr>
      </w:pPr>
      <w:r>
        <w:rPr>
          <w:rFonts w:ascii="Times New Roman" w:eastAsiaTheme="minorHAnsi" w:hAnsi="Times New Roman"/>
          <w:color w:val="000000" w:themeColor="text1"/>
          <w:sz w:val="28"/>
          <w:szCs w:val="28"/>
          <w:lang w:eastAsia="ru-RU"/>
        </w:rPr>
        <w:t xml:space="preserve">– обеспечена возможность автоматической публикации </w:t>
      </w:r>
      <w:r>
        <w:rPr>
          <w:rFonts w:ascii="Times New Roman" w:eastAsiaTheme="minorHAnsi" w:hAnsi="Times New Roman"/>
          <w:color w:val="000000" w:themeColor="text1"/>
          <w:sz w:val="28"/>
          <w:szCs w:val="28"/>
          <w:lang w:eastAsia="ru-RU"/>
        </w:rPr>
        <w:br/>
        <w:t xml:space="preserve">на Официальном сайте ГМУ информации из Реестра государственных </w:t>
      </w:r>
      <w:r>
        <w:rPr>
          <w:rFonts w:ascii="Times New Roman" w:eastAsiaTheme="minorHAnsi" w:hAnsi="Times New Roman"/>
          <w:color w:val="000000" w:themeColor="text1"/>
          <w:sz w:val="28"/>
          <w:szCs w:val="28"/>
          <w:lang w:eastAsia="ru-RU"/>
        </w:rPr>
        <w:lastRenderedPageBreak/>
        <w:t xml:space="preserve">заданий в соответствии с приказом Минфина России от 16 ноября 2015 г. № 177н «О порядке ведения реестра государственных заданий на оказание государственных услуг (выполнение работ)», сформированного </w:t>
      </w:r>
      <w:r>
        <w:rPr>
          <w:rFonts w:ascii="Times New Roman" w:eastAsiaTheme="minorHAnsi" w:hAnsi="Times New Roman"/>
          <w:color w:val="000000" w:themeColor="text1"/>
          <w:sz w:val="28"/>
          <w:szCs w:val="28"/>
          <w:lang w:eastAsia="ru-RU"/>
        </w:rPr>
        <w:br/>
        <w:t xml:space="preserve">на основании сведений о государственных заданиях, утвержденных </w:t>
      </w:r>
      <w:r>
        <w:rPr>
          <w:rFonts w:ascii="Times New Roman" w:eastAsiaTheme="minorHAnsi" w:hAnsi="Times New Roman"/>
          <w:color w:val="000000" w:themeColor="text1"/>
          <w:sz w:val="28"/>
          <w:szCs w:val="28"/>
          <w:lang w:eastAsia="ru-RU"/>
        </w:rPr>
        <w:br/>
        <w:t xml:space="preserve">в ГИИС «Электронный бюджет». Данные о федеральных государственных учреждениях, которым довели государственные задания, представлены </w:t>
      </w:r>
      <w:r>
        <w:rPr>
          <w:rFonts w:ascii="Times New Roman" w:eastAsiaTheme="minorHAnsi" w:hAnsi="Times New Roman"/>
          <w:color w:val="000000" w:themeColor="text1"/>
          <w:sz w:val="28"/>
          <w:szCs w:val="28"/>
          <w:lang w:eastAsia="ru-RU"/>
        </w:rPr>
        <w:br/>
        <w:t xml:space="preserve">в привязке к географической карте. Под картой представлена статистическая информация о доле доведенных государственных заданий </w:t>
      </w:r>
      <w:r>
        <w:rPr>
          <w:rFonts w:ascii="Times New Roman" w:eastAsiaTheme="minorHAnsi" w:hAnsi="Times New Roman"/>
          <w:color w:val="000000" w:themeColor="text1"/>
          <w:sz w:val="28"/>
          <w:szCs w:val="28"/>
          <w:lang w:eastAsia="ru-RU"/>
        </w:rPr>
        <w:br/>
        <w:t>на федеральном уровне (рисунок 18);</w:t>
      </w:r>
    </w:p>
    <w:p>
      <w:pPr>
        <w:spacing w:before="120" w:after="120" w:line="240" w:lineRule="auto"/>
        <w:ind w:left="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18</w:t>
      </w:r>
    </w:p>
    <w:p>
      <w:pPr>
        <w:spacing w:before="120" w:after="120" w:line="240" w:lineRule="auto"/>
        <w:ind w:firstLine="709"/>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Реестр государственных заданий на Официальном сайте ГМУ</w:t>
      </w:r>
    </w:p>
    <w:p>
      <w:pPr>
        <w:spacing w:after="0" w:line="360" w:lineRule="atLeast"/>
        <w:jc w:val="center"/>
        <w:rPr>
          <w:rFonts w:ascii="Times New Roman" w:hAnsi="Times New Roman"/>
          <w:color w:val="000000" w:themeColor="text1"/>
          <w:sz w:val="28"/>
          <w:szCs w:val="28"/>
          <w:lang w:eastAsia="ru-RU"/>
        </w:rPr>
      </w:pPr>
      <w:r>
        <w:rPr>
          <w:rFonts w:ascii="Times New Roman" w:hAnsi="Times New Roman"/>
          <w:noProof/>
          <w:color w:val="000000" w:themeColor="text1"/>
          <w:sz w:val="28"/>
          <w:szCs w:val="28"/>
          <w:lang w:eastAsia="ru-RU"/>
        </w:rPr>
        <w:drawing>
          <wp:inline distT="0" distB="0" distL="0" distR="0">
            <wp:extent cx="5072933" cy="6320183"/>
            <wp:effectExtent l="19050" t="19050" r="13970" b="2349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73108" cy="6320402"/>
                    </a:xfrm>
                    <a:prstGeom prst="rect">
                      <a:avLst/>
                    </a:prstGeom>
                    <a:noFill/>
                    <a:ln w="6350">
                      <a:solidFill>
                        <a:schemeClr val="tx1"/>
                      </a:solidFill>
                    </a:ln>
                  </pic:spPr>
                </pic:pic>
              </a:graphicData>
            </a:graphic>
          </wp:inline>
        </w:drawing>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xml:space="preserve">– обеспечена возможность передачи и отображения изменений </w:t>
      </w:r>
      <w:r>
        <w:rPr>
          <w:rFonts w:ascii="Times New Roman" w:hAnsi="Times New Roman"/>
          <w:color w:val="000000" w:themeColor="text1"/>
          <w:sz w:val="28"/>
          <w:szCs w:val="28"/>
          <w:lang w:eastAsia="ru-RU"/>
        </w:rPr>
        <w:br/>
        <w:t xml:space="preserve">в </w:t>
      </w:r>
      <w:r>
        <w:rPr>
          <w:rFonts w:ascii="Times New Roman" w:hAnsi="Times New Roman"/>
          <w:color w:val="000000" w:themeColor="text1"/>
          <w:sz w:val="28"/>
          <w:szCs w:val="28"/>
        </w:rPr>
        <w:t>базовых (отраслевых) перечнях государственных (муниципальных) услуг (работ) и ведомственных перечнях государственных и муниципальных услуг и работ</w:t>
      </w:r>
      <w:r>
        <w:rPr>
          <w:rFonts w:ascii="Times New Roman" w:hAnsi="Times New Roman"/>
          <w:color w:val="000000" w:themeColor="text1"/>
          <w:sz w:val="28"/>
          <w:szCs w:val="28"/>
          <w:lang w:eastAsia="ru-RU"/>
        </w:rPr>
        <w:t xml:space="preserve"> </w:t>
      </w:r>
      <w:r>
        <w:rPr>
          <w:rFonts w:ascii="Times New Roman" w:hAnsi="Times New Roman"/>
          <w:color w:val="000000" w:themeColor="text1"/>
          <w:sz w:val="28"/>
          <w:szCs w:val="28"/>
        </w:rPr>
        <w:t>(далее – БПГМУ, ВПГМУ, соответственно)</w:t>
      </w:r>
      <w:r>
        <w:rPr>
          <w:rFonts w:ascii="Times New Roman" w:hAnsi="Times New Roman"/>
          <w:color w:val="000000" w:themeColor="text1"/>
          <w:sz w:val="28"/>
          <w:szCs w:val="28"/>
          <w:lang w:eastAsia="ru-RU"/>
        </w:rPr>
        <w:t xml:space="preserve">, а также истории данных изменений на Официальном сайте ГМУ в соответствии </w:t>
      </w:r>
      <w:r>
        <w:rPr>
          <w:rFonts w:ascii="Times New Roman" w:hAnsi="Times New Roman"/>
          <w:color w:val="000000" w:themeColor="text1"/>
          <w:sz w:val="28"/>
          <w:szCs w:val="28"/>
          <w:lang w:eastAsia="ru-RU"/>
        </w:rPr>
        <w:br/>
        <w:t xml:space="preserve">с постановлением Правительства Российской Федерации от 26 февраля 2014 г. № 151 «О формировании и ведении базовых (отраслевых) перечней государственных и муниципальных услуг и работ, формировании, ведении и утверждении ведомственных перечней государственных услуг и работ, оказываемых и выполняемых федеральными государственными учреждениями, и об общих требованиях к формированию, ведению </w:t>
      </w:r>
      <w:r>
        <w:rPr>
          <w:rFonts w:ascii="Times New Roman" w:hAnsi="Times New Roman"/>
          <w:color w:val="000000" w:themeColor="text1"/>
          <w:sz w:val="28"/>
          <w:szCs w:val="28"/>
          <w:lang w:eastAsia="ru-RU"/>
        </w:rPr>
        <w:br/>
        <w:t>и утверждению ведомственных перечней государственных (муниципальных) услуг и работ, оказываемых и выполняемых государственными учреждениями субъектов Российской Федерации (муниципальными учреждениями)» из ГИИС «Электронный бюджет»;</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обеспечена возможность использования Общероссийского классификатора видов экономической деятельности (ОКВЭД2) ОК 029-2014 (КДЕС ред. 2) при формировании сведений об учреждении и поиске информации на Официальном сайте ГМУ в соответствии с приказом </w:t>
      </w:r>
      <w:proofErr w:type="spellStart"/>
      <w:r>
        <w:rPr>
          <w:rFonts w:ascii="Times New Roman" w:hAnsi="Times New Roman"/>
          <w:color w:val="000000" w:themeColor="text1"/>
          <w:sz w:val="28"/>
          <w:szCs w:val="28"/>
          <w:lang w:eastAsia="ru-RU"/>
        </w:rPr>
        <w:t>Росстандарта</w:t>
      </w:r>
      <w:proofErr w:type="spellEnd"/>
      <w:r>
        <w:rPr>
          <w:rFonts w:ascii="Times New Roman" w:hAnsi="Times New Roman"/>
          <w:color w:val="000000" w:themeColor="text1"/>
          <w:sz w:val="28"/>
          <w:szCs w:val="28"/>
          <w:lang w:eastAsia="ru-RU"/>
        </w:rPr>
        <w:t xml:space="preserve"> от 31 января 2014 г. № 14-ст «О принятии и введении </w:t>
      </w:r>
      <w:r>
        <w:rPr>
          <w:rFonts w:ascii="Times New Roman" w:hAnsi="Times New Roman"/>
          <w:color w:val="000000" w:themeColor="text1"/>
          <w:sz w:val="28"/>
          <w:szCs w:val="28"/>
          <w:lang w:eastAsia="ru-RU"/>
        </w:rPr>
        <w:br/>
        <w:t>в действие Общероссийского классификатора видов экономической деятельности (ОКВЭД2) ОК 029-2014 (КДЕС ред. 2) и Общероссийского классификатора продукции по видам экономической деятельности (ОКПД2) ОК 034-2014 (КПЕС 2008)».</w:t>
      </w:r>
    </w:p>
    <w:p>
      <w:pPr>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2.1.2.3. Статистические данные Официального сайта Российской Федерации в информационно-телекоммуникационной сети «Интернет» для размещения информации о государственных (муниципальных) учреждениях (www.bus.gov.ru) за 2016 год</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По итогам 2016 года перечень государственных и муниципальных учреждений на Официальном сайте ГМУ содержит более 170 тысяч учетных записей государственных и муниципальных учреждений. Из них </w:t>
      </w:r>
      <w:r>
        <w:rPr>
          <w:rFonts w:ascii="Times New Roman" w:hAnsi="Times New Roman"/>
          <w:color w:val="000000" w:themeColor="text1"/>
          <w:sz w:val="28"/>
          <w:szCs w:val="28"/>
          <w:lang w:eastAsia="ru-RU"/>
        </w:rPr>
        <w:br/>
        <w:t>на указанном сайте зарегистрировано более 164 тысяч учреждений, что составляет 96 % от общего количества государственных и муниципальных учреждений, включенных в Реестр УБП и НУБП.</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При этом по состоянию на 1 января 2017 года:</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162 134 (95 %) учреждениями опубликована общая информация </w:t>
      </w:r>
      <w:r>
        <w:rPr>
          <w:rFonts w:ascii="Times New Roman" w:hAnsi="Times New Roman"/>
          <w:color w:val="000000" w:themeColor="text1"/>
          <w:sz w:val="28"/>
          <w:szCs w:val="28"/>
          <w:lang w:eastAsia="ru-RU"/>
        </w:rPr>
        <w:br/>
        <w:t>о своей деятельности;</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104 470 учреждениями (84 % от числа автономных и бюджетных учреждений, которым предоставляются субсидии) опубликована информация о государственном (муниципальном) задании на 2016 год;</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107 632 учреждениями (87 % от числа автономных и бюджетных учреждений, которым предоставляются субсидии) опубликована информация о плане финансово-хозяйственной деятельности на 2016 год;</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32 420 учреждениями (70 % от количества учреждений, которым </w:t>
      </w:r>
      <w:r>
        <w:rPr>
          <w:rFonts w:ascii="Times New Roman" w:hAnsi="Times New Roman"/>
          <w:color w:val="000000" w:themeColor="text1"/>
          <w:sz w:val="28"/>
          <w:szCs w:val="28"/>
          <w:lang w:eastAsia="ru-RU"/>
        </w:rPr>
        <w:br/>
        <w:t>не предоставляются субсидии) опубликована информация о бюджетной смете на 2016 год;</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125 907 учреждениями (74 %) опубликована информация </w:t>
      </w:r>
      <w:r>
        <w:rPr>
          <w:rFonts w:ascii="Times New Roman" w:hAnsi="Times New Roman"/>
          <w:color w:val="000000" w:themeColor="text1"/>
          <w:sz w:val="28"/>
          <w:szCs w:val="28"/>
          <w:lang w:eastAsia="ru-RU"/>
        </w:rPr>
        <w:br/>
        <w:t>о результатах деятельности и об использовании имущества за 2015 год;</w:t>
      </w:r>
    </w:p>
    <w:p>
      <w:pPr>
        <w:spacing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105 785 учреждениями (62 %) опубликована информация </w:t>
      </w:r>
      <w:r>
        <w:rPr>
          <w:rFonts w:ascii="Times New Roman" w:hAnsi="Times New Roman"/>
          <w:color w:val="000000" w:themeColor="text1"/>
          <w:sz w:val="28"/>
          <w:szCs w:val="28"/>
          <w:lang w:eastAsia="ru-RU"/>
        </w:rPr>
        <w:br/>
        <w:t xml:space="preserve">о проведенных в отношении учреждения контрольных мероприятиях </w:t>
      </w:r>
      <w:r>
        <w:rPr>
          <w:rFonts w:ascii="Times New Roman" w:hAnsi="Times New Roman"/>
          <w:color w:val="000000" w:themeColor="text1"/>
          <w:sz w:val="28"/>
          <w:szCs w:val="28"/>
          <w:lang w:eastAsia="ru-RU"/>
        </w:rPr>
        <w:br/>
        <w:t>и их результатах за 2015 год.</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состоянию на 1 января 2017 года информация о независимой оценке качества оказания услуг размещена на Официальном сайте ГМУ </w:t>
      </w:r>
      <w:r>
        <w:rPr>
          <w:rFonts w:ascii="Times New Roman" w:eastAsia="Times New Roman" w:hAnsi="Times New Roman"/>
          <w:color w:val="000000" w:themeColor="text1"/>
          <w:sz w:val="28"/>
          <w:szCs w:val="28"/>
          <w:lang w:eastAsia="ru-RU"/>
        </w:rPr>
        <w:br/>
        <w:t>в следующем количестве:</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4 655 сведений об уполномоченных органах;</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4 449 сведений об общественных советах;</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2 524 сведений об операторах;</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81 568 сведений об организациях;</w:t>
      </w:r>
    </w:p>
    <w:p>
      <w:pPr>
        <w:spacing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3 504 сведения о результатах оценки;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2 674 сведения о результатах рассмотрения результатов оценки.</w:t>
      </w:r>
    </w:p>
    <w:p>
      <w:pPr>
        <w:autoSpaceDE w:val="0"/>
        <w:autoSpaceDN w:val="0"/>
        <w:adjustRightInd w:val="0"/>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2.1.3. Межведомственное взаимодействие </w:t>
      </w:r>
      <w:r>
        <w:rPr>
          <w:rFonts w:ascii="Times New Roman" w:hAnsi="Times New Roman"/>
          <w:b/>
          <w:color w:val="000000" w:themeColor="text1"/>
          <w:sz w:val="28"/>
          <w:szCs w:val="28"/>
        </w:rPr>
        <w:t>по обеспечению контроля в сфере контрактных отношений</w:t>
      </w:r>
    </w:p>
    <w:p>
      <w:pPr>
        <w:spacing w:after="0" w:line="360" w:lineRule="atLeast"/>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организации межведомственного взаимодействия</w:t>
      </w:r>
      <w:r>
        <w:rPr>
          <w:rFonts w:ascii="Times New Roman" w:hAnsi="Times New Roman"/>
          <w:color w:val="000000" w:themeColor="text1"/>
          <w:sz w:val="28"/>
          <w:szCs w:val="28"/>
        </w:rPr>
        <w:br/>
        <w:t>по обеспечению контроля в сфере контрактных отношений осуществлены следующие мероприятия: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согласно решению пункта 2 протокола совещания у Председателя Правительства Российской Федерации Д.А. Медведева от 25 января 2016 г. № ДМ-П13-4пр (</w:t>
      </w:r>
      <w:proofErr w:type="spellStart"/>
      <w:r>
        <w:rPr>
          <w:rFonts w:ascii="Times New Roman" w:hAnsi="Times New Roman"/>
          <w:color w:val="000000" w:themeColor="text1"/>
          <w:sz w:val="28"/>
          <w:szCs w:val="28"/>
        </w:rPr>
        <w:t>дсп</w:t>
      </w:r>
      <w:proofErr w:type="spellEnd"/>
      <w:r>
        <w:rPr>
          <w:rFonts w:ascii="Times New Roman" w:hAnsi="Times New Roman"/>
          <w:color w:val="000000" w:themeColor="text1"/>
          <w:sz w:val="28"/>
          <w:szCs w:val="28"/>
        </w:rPr>
        <w:t xml:space="preserve">) подготовлены и направлены в Минфин России предложения по организации указанного взаимодействия, а также проект концепции организации межведомственного взаимодействия </w:t>
      </w:r>
      <w:r>
        <w:rPr>
          <w:rFonts w:ascii="Times New Roman" w:hAnsi="Times New Roman"/>
          <w:color w:val="000000" w:themeColor="text1"/>
          <w:sz w:val="28"/>
          <w:szCs w:val="28"/>
        </w:rPr>
        <w:br/>
        <w:t>по обеспечению контроля в сфере контрактных отношений;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выработаны основные направления указанного взаимодействия.</w:t>
      </w:r>
    </w:p>
    <w:p>
      <w:pPr>
        <w:spacing w:after="0" w:line="360" w:lineRule="atLeast"/>
        <w:ind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9 февраля 2016 года проведено совещание у заместителя руководителя Федерального казначейства при участии представителей ФНС России </w:t>
      </w:r>
      <w:r>
        <w:rPr>
          <w:rFonts w:ascii="Times New Roman" w:hAnsi="Times New Roman"/>
          <w:color w:val="000000" w:themeColor="text1"/>
          <w:sz w:val="28"/>
          <w:szCs w:val="28"/>
        </w:rPr>
        <w:br/>
        <w:t xml:space="preserve">и </w:t>
      </w:r>
      <w:proofErr w:type="spellStart"/>
      <w:r>
        <w:rPr>
          <w:rFonts w:ascii="Times New Roman" w:hAnsi="Times New Roman"/>
          <w:color w:val="000000" w:themeColor="text1"/>
          <w:sz w:val="28"/>
          <w:szCs w:val="28"/>
        </w:rPr>
        <w:t>Росфинмониторинга</w:t>
      </w:r>
      <w:proofErr w:type="spellEnd"/>
      <w:r>
        <w:rPr>
          <w:rFonts w:ascii="Times New Roman" w:hAnsi="Times New Roman"/>
          <w:color w:val="000000" w:themeColor="text1"/>
          <w:sz w:val="28"/>
          <w:szCs w:val="28"/>
        </w:rPr>
        <w:t>.</w:t>
      </w:r>
    </w:p>
    <w:p>
      <w:pPr>
        <w:spacing w:after="0" w:line="360" w:lineRule="atLeast"/>
        <w:ind w:firstLine="567"/>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Разработаны и направлены на рассмотрение в ФНС России</w:t>
      </w:r>
      <w:r>
        <w:rPr>
          <w:rFonts w:ascii="Times New Roman" w:hAnsi="Times New Roman"/>
          <w:color w:val="000000" w:themeColor="text1"/>
          <w:sz w:val="28"/>
          <w:szCs w:val="28"/>
        </w:rPr>
        <w:br/>
        <w:t xml:space="preserve">и </w:t>
      </w:r>
      <w:proofErr w:type="spellStart"/>
      <w:r>
        <w:rPr>
          <w:rFonts w:ascii="Times New Roman" w:hAnsi="Times New Roman"/>
          <w:color w:val="000000" w:themeColor="text1"/>
          <w:sz w:val="28"/>
          <w:szCs w:val="28"/>
        </w:rPr>
        <w:t>Росфинмониторинг</w:t>
      </w:r>
      <w:proofErr w:type="spellEnd"/>
      <w:r>
        <w:rPr>
          <w:rFonts w:ascii="Times New Roman" w:hAnsi="Times New Roman"/>
          <w:color w:val="000000" w:themeColor="text1"/>
          <w:sz w:val="28"/>
          <w:szCs w:val="28"/>
        </w:rPr>
        <w:t xml:space="preserve"> указанный проект концепции организации взаимодействия и проект плана мероприятий «дорожная карта» организации межведомственного взаимодействия по обеспечению контроля в сфере контрактных отношений. Указанный проект концепции организации взаимодействия согласован Минфином России, ФНС России </w:t>
      </w:r>
      <w:r>
        <w:rPr>
          <w:rFonts w:ascii="Times New Roman" w:hAnsi="Times New Roman"/>
          <w:color w:val="000000" w:themeColor="text1"/>
          <w:sz w:val="28"/>
          <w:szCs w:val="28"/>
        </w:rPr>
        <w:br/>
        <w:t xml:space="preserve">и </w:t>
      </w:r>
      <w:proofErr w:type="spellStart"/>
      <w:r>
        <w:rPr>
          <w:rFonts w:ascii="Times New Roman" w:hAnsi="Times New Roman"/>
          <w:color w:val="000000" w:themeColor="text1"/>
          <w:sz w:val="28"/>
          <w:szCs w:val="28"/>
        </w:rPr>
        <w:t>Росфинмониторингом</w:t>
      </w:r>
      <w:proofErr w:type="spellEnd"/>
      <w:r>
        <w:rPr>
          <w:rFonts w:ascii="Times New Roman" w:hAnsi="Times New Roman"/>
          <w:color w:val="000000" w:themeColor="text1"/>
          <w:sz w:val="28"/>
          <w:szCs w:val="28"/>
        </w:rPr>
        <w:t>.</w:t>
      </w:r>
    </w:p>
    <w:p>
      <w:pPr>
        <w:spacing w:after="0" w:line="360" w:lineRule="atLeast"/>
        <w:ind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Указанные документы, презентация по организации соответствующего взаимодействия, а также предложения о проведении рабочей встречи направлены в Минфин России, ФНС России и </w:t>
      </w:r>
      <w:proofErr w:type="spellStart"/>
      <w:r>
        <w:rPr>
          <w:rFonts w:ascii="Times New Roman" w:hAnsi="Times New Roman"/>
          <w:color w:val="000000" w:themeColor="text1"/>
          <w:sz w:val="28"/>
          <w:szCs w:val="28"/>
        </w:rPr>
        <w:t>Росфинмониторинг</w:t>
      </w:r>
      <w:proofErr w:type="spellEnd"/>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Проект концепции организации межведомственного взаимодействия по обеспечению контроля в сфере контрактных отношений согласован Минфином России, ФНС России и </w:t>
      </w:r>
      <w:proofErr w:type="spellStart"/>
      <w:r>
        <w:rPr>
          <w:rFonts w:ascii="Times New Roman" w:hAnsi="Times New Roman"/>
          <w:color w:val="000000" w:themeColor="text1"/>
          <w:sz w:val="28"/>
          <w:szCs w:val="28"/>
        </w:rPr>
        <w:t>Росфинмониторингом</w:t>
      </w:r>
      <w:proofErr w:type="spellEnd"/>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Подготовлен проект приказа Минфина России об утверждении указанной концепции и направлен в Минфин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поручения Первого заместителя Председателя Правительства Российской Федерации И.И. Шувалова (протокол от 8 июля 2016 г. № ИШ-П13-45пр) подготовлен и направлен на согласование </w:t>
      </w:r>
      <w:r>
        <w:rPr>
          <w:rFonts w:ascii="Times New Roman" w:hAnsi="Times New Roman"/>
          <w:color w:val="000000" w:themeColor="text1"/>
          <w:sz w:val="28"/>
          <w:szCs w:val="28"/>
        </w:rPr>
        <w:br/>
        <w:t xml:space="preserve">в </w:t>
      </w:r>
      <w:proofErr w:type="spellStart"/>
      <w:r>
        <w:rPr>
          <w:rFonts w:ascii="Times New Roman" w:hAnsi="Times New Roman"/>
          <w:color w:val="000000" w:themeColor="text1"/>
          <w:sz w:val="28"/>
          <w:szCs w:val="28"/>
        </w:rPr>
        <w:t>Росфинмониторинг</w:t>
      </w:r>
      <w:proofErr w:type="spellEnd"/>
      <w:r>
        <w:rPr>
          <w:rFonts w:ascii="Times New Roman" w:hAnsi="Times New Roman"/>
          <w:color w:val="000000" w:themeColor="text1"/>
          <w:sz w:val="28"/>
          <w:szCs w:val="28"/>
        </w:rPr>
        <w:t xml:space="preserve"> проект концепции мониторинга использования средств, предоставленных из бюджетов бюджетной системы Российской Федерации (далее – проект Концепции бюджетного мониторинга).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Указанный документ согласован </w:t>
      </w:r>
      <w:proofErr w:type="spellStart"/>
      <w:r>
        <w:rPr>
          <w:rFonts w:ascii="Times New Roman" w:hAnsi="Times New Roman"/>
          <w:color w:val="000000" w:themeColor="text1"/>
          <w:sz w:val="28"/>
          <w:szCs w:val="28"/>
        </w:rPr>
        <w:t>Росфинмониторингом</w:t>
      </w:r>
      <w:proofErr w:type="spellEnd"/>
      <w:r>
        <w:rPr>
          <w:rFonts w:ascii="Times New Roman" w:hAnsi="Times New Roman"/>
          <w:color w:val="000000" w:themeColor="text1"/>
          <w:sz w:val="28"/>
          <w:szCs w:val="28"/>
        </w:rPr>
        <w:t xml:space="preserve"> и направлен </w:t>
      </w:r>
      <w:r>
        <w:rPr>
          <w:rFonts w:ascii="Times New Roman" w:hAnsi="Times New Roman"/>
          <w:color w:val="000000" w:themeColor="text1"/>
          <w:sz w:val="28"/>
          <w:szCs w:val="28"/>
        </w:rPr>
        <w:br/>
        <w:t>в Минфин России. Далее проект концепции мониторинга использования средств, предоставленных из бюджетов бюджетной системы Российской Федерации, направлен Минфином России в Правительство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поручения Первого заместителя Председателя Правительства Российской Федерации И.И. Шувалова (протокол от 14 июля 2016 г. № ИШ-П13-4198) по внесению изменений в Бюджетный кодекс, предусматривающие включение в объекты государственного (муниципального) финансового контроля всех соисполнителей государственных (муниципальных) контрактов, подготовлены и направлены в Минфин России изменения в Бюджетный кодекс и в законодательные </w:t>
      </w:r>
      <w:r>
        <w:rPr>
          <w:rFonts w:ascii="Times New Roman" w:hAnsi="Times New Roman"/>
          <w:color w:val="000000" w:themeColor="text1"/>
          <w:sz w:val="28"/>
          <w:szCs w:val="28"/>
        </w:rPr>
        <w:br/>
        <w:t>и НПА Российской Федерации (18 актов).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поручения Первого заместителя Председателя Правительства Российской Федерации И.И. Шувалова (протокол </w:t>
      </w:r>
      <w:r>
        <w:rPr>
          <w:rFonts w:ascii="Times New Roman" w:hAnsi="Times New Roman"/>
          <w:color w:val="000000" w:themeColor="text1"/>
          <w:sz w:val="28"/>
          <w:szCs w:val="28"/>
        </w:rPr>
        <w:br/>
        <w:t xml:space="preserve">от 10 ноября 2016 г. № ИШ-П13-82пр) Федеральным казначейством, </w:t>
      </w:r>
      <w:proofErr w:type="spellStart"/>
      <w:r>
        <w:rPr>
          <w:rFonts w:ascii="Times New Roman" w:hAnsi="Times New Roman"/>
          <w:color w:val="000000" w:themeColor="text1"/>
          <w:sz w:val="28"/>
          <w:szCs w:val="28"/>
        </w:rPr>
        <w:t>Росфинмониторингом</w:t>
      </w:r>
      <w:proofErr w:type="spellEnd"/>
      <w:r>
        <w:rPr>
          <w:rFonts w:ascii="Times New Roman" w:hAnsi="Times New Roman"/>
          <w:color w:val="000000" w:themeColor="text1"/>
          <w:sz w:val="28"/>
          <w:szCs w:val="28"/>
        </w:rPr>
        <w:t xml:space="preserve"> и ФНС России утвержден Регламент бюджетного мониторинга и информационного взаимодействия Федерального казначейства, Федеральной службы по финансовому мониторингу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 xml:space="preserve">и Федеральной налоговой службы в целях проведения Федеральным казначейством бюджетного мониторинга государственных контрактов </w:t>
      </w:r>
      <w:r>
        <w:rPr>
          <w:rFonts w:ascii="Times New Roman" w:hAnsi="Times New Roman"/>
          <w:color w:val="000000" w:themeColor="text1"/>
          <w:sz w:val="28"/>
          <w:szCs w:val="28"/>
        </w:rPr>
        <w:br/>
        <w:t xml:space="preserve">от 9 декабря 2016 г. № 07-04-30/18/01-01-17/28686/ММВ-23-15/30@ </w:t>
      </w:r>
      <w:r>
        <w:rPr>
          <w:rFonts w:ascii="Times New Roman" w:hAnsi="Times New Roman"/>
          <w:color w:val="000000" w:themeColor="text1"/>
          <w:sz w:val="28"/>
          <w:szCs w:val="28"/>
        </w:rPr>
        <w:br/>
        <w:t>и направлен в Правительство Российской Федерации.</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color w:val="000000" w:themeColor="text1"/>
          <w:sz w:val="28"/>
          <w:szCs w:val="28"/>
        </w:rPr>
        <w:t>Утвержден приказ Федерального казначейства от 16 декабря 2016 г. № 472 «</w:t>
      </w:r>
      <w:r>
        <w:rPr>
          <w:rFonts w:ascii="Times New Roman" w:hAnsi="Times New Roman"/>
          <w:bCs/>
          <w:color w:val="000000" w:themeColor="text1"/>
          <w:sz w:val="28"/>
          <w:szCs w:val="28"/>
        </w:rPr>
        <w:t>О создании Рабочей группы по вопросам организации информационного взаимодействия Федерального казначейства, Федеральной службы по финансовому мониторингу и Федеральной налоговой службы в целях проведения Федеральным казначейством бюджетного мониторинга государственных контрактов».</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2.2. Создание условий по обеспечению централизации ведения учета по исполнению бюджетов публично-правовых образований </w:t>
      </w:r>
      <w:r>
        <w:rPr>
          <w:rFonts w:ascii="Times New Roman" w:hAnsi="Times New Roman"/>
          <w:b/>
          <w:color w:val="000000" w:themeColor="text1"/>
          <w:sz w:val="28"/>
          <w:szCs w:val="28"/>
        </w:rPr>
        <w:br/>
        <w:t>в органах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реализации подпрограммы 2 «Нормативно-методическое обеспечение и организация бюджетного процесса» Госпрограммы № 40 направлен на согласование в Минфин России доработанный проект распоряжения Правительства Российской Федерации «Об утверждении Концепции централизации функций ведения бюджетного учета </w:t>
      </w:r>
      <w:r>
        <w:rPr>
          <w:rFonts w:ascii="Times New Roman" w:hAnsi="Times New Roman"/>
          <w:color w:val="000000" w:themeColor="text1"/>
          <w:sz w:val="28"/>
          <w:szCs w:val="28"/>
        </w:rPr>
        <w:br/>
        <w:t xml:space="preserve">и формирования бюджетной отчетности при исполнении федерального бюджета», в котором определены цели, задачи, основные направления </w:t>
      </w:r>
      <w:r>
        <w:rPr>
          <w:rFonts w:ascii="Times New Roman" w:hAnsi="Times New Roman"/>
          <w:color w:val="000000" w:themeColor="text1"/>
          <w:sz w:val="28"/>
          <w:szCs w:val="28"/>
        </w:rPr>
        <w:br/>
        <w:t xml:space="preserve">и принципы централизации функций публично-правовых образований </w:t>
      </w:r>
      <w:r>
        <w:rPr>
          <w:rFonts w:ascii="Times New Roman" w:hAnsi="Times New Roman"/>
          <w:color w:val="000000" w:themeColor="text1"/>
          <w:sz w:val="28"/>
          <w:szCs w:val="28"/>
        </w:rPr>
        <w:br/>
        <w:t>по ведению бюджетного учета и формированию бюджетной отчетности.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Также подготовлен и направлен Министру финансов Российской Федерации А.Г. </w:t>
      </w:r>
      <w:proofErr w:type="spellStart"/>
      <w:r>
        <w:rPr>
          <w:rFonts w:ascii="Times New Roman" w:hAnsi="Times New Roman"/>
          <w:color w:val="000000" w:themeColor="text1"/>
          <w:sz w:val="28"/>
          <w:szCs w:val="28"/>
        </w:rPr>
        <w:t>Силуанову</w:t>
      </w:r>
      <w:proofErr w:type="spellEnd"/>
      <w:r>
        <w:rPr>
          <w:rFonts w:ascii="Times New Roman" w:hAnsi="Times New Roman"/>
          <w:color w:val="000000" w:themeColor="text1"/>
          <w:sz w:val="28"/>
          <w:szCs w:val="28"/>
        </w:rPr>
        <w:t xml:space="preserve"> проект доклада по одобрению выработанных подходов по централизации учетных и отчетных процедур на федеральном уровне для включения в План деятельности Министерства финансов Российской Федерации на 2016–2021 годы мероприятий по утверждению </w:t>
      </w:r>
      <w:r>
        <w:rPr>
          <w:rFonts w:ascii="Times New Roman" w:hAnsi="Times New Roman"/>
          <w:color w:val="000000" w:themeColor="text1"/>
          <w:sz w:val="28"/>
          <w:szCs w:val="28"/>
        </w:rPr>
        <w:br/>
        <w:t>и реализации указанного документа.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Федеральное казначейство совместно с Минфином России продолжает осуществлять работу по обеспечению нормативного правового регулирования централизации ведения учета и формирования отчетности </w:t>
      </w:r>
      <w:r>
        <w:rPr>
          <w:rFonts w:ascii="Times New Roman" w:hAnsi="Times New Roman"/>
          <w:color w:val="000000" w:themeColor="text1"/>
          <w:sz w:val="28"/>
          <w:szCs w:val="28"/>
        </w:rPr>
        <w:br/>
        <w:t>по исполнению бюджетов публично-правовых образований в органах Федерального казначейства.</w:t>
      </w:r>
    </w:p>
    <w:p>
      <w:pPr>
        <w:pageBreakBefore/>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3. Исполнение контрольных функций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 Осуществление и совершенствование функций по контролю </w:t>
      </w:r>
      <w:r>
        <w:rPr>
          <w:rFonts w:ascii="Times New Roman" w:hAnsi="Times New Roman"/>
          <w:b/>
          <w:color w:val="000000" w:themeColor="text1"/>
          <w:sz w:val="28"/>
          <w:szCs w:val="28"/>
        </w:rPr>
        <w:br/>
        <w:t>в финансово-бюджетной сфере</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Во исполнение Указа </w:t>
      </w:r>
      <w:r>
        <w:rPr>
          <w:rFonts w:ascii="Times New Roman" w:eastAsiaTheme="minorHAnsi" w:hAnsi="Times New Roman"/>
          <w:color w:val="000000" w:themeColor="text1"/>
          <w:sz w:val="28"/>
          <w:szCs w:val="28"/>
        </w:rPr>
        <w:t>Президента</w:t>
      </w:r>
      <w:r>
        <w:rPr>
          <w:rFonts w:ascii="Times New Roman" w:eastAsia="Times New Roman" w:hAnsi="Times New Roman"/>
          <w:color w:val="000000" w:themeColor="text1"/>
          <w:sz w:val="28"/>
          <w:szCs w:val="28"/>
          <w:lang w:eastAsia="ru-RU"/>
        </w:rPr>
        <w:t xml:space="preserve"> № 41 проведены организационно-штатные мероприятия по формированию в ЦАФК и ТОФК структурных подразделений, на которые возложены полномочия по осуществлению контроля в финансово-бюджетной сфере, а также полномочия </w:t>
      </w:r>
      <w:r>
        <w:rPr>
          <w:rFonts w:ascii="Times New Roman" w:eastAsia="Times New Roman" w:hAnsi="Times New Roman"/>
          <w:color w:val="000000" w:themeColor="text1"/>
          <w:sz w:val="28"/>
          <w:szCs w:val="28"/>
          <w:lang w:eastAsia="ru-RU"/>
        </w:rPr>
        <w:br/>
        <w:t xml:space="preserve">по осуществлению планирования контрольно-надзорной деятельности </w:t>
      </w:r>
      <w:r>
        <w:rPr>
          <w:rFonts w:ascii="Times New Roman" w:eastAsia="Times New Roman" w:hAnsi="Times New Roman"/>
          <w:color w:val="000000" w:themeColor="text1"/>
          <w:sz w:val="28"/>
          <w:szCs w:val="28"/>
          <w:lang w:eastAsia="ru-RU"/>
        </w:rPr>
        <w:br/>
        <w:t xml:space="preserve">в Федеральном казначействе и его территориальных органах, </w:t>
      </w:r>
      <w:r>
        <w:rPr>
          <w:rFonts w:ascii="Times New Roman" w:eastAsia="Times New Roman" w:hAnsi="Times New Roman"/>
          <w:color w:val="000000" w:themeColor="text1"/>
          <w:sz w:val="28"/>
          <w:szCs w:val="28"/>
          <w:lang w:eastAsia="ru-RU"/>
        </w:rPr>
        <w:br/>
        <w:t xml:space="preserve">ее координации и мониторинга, учета, сбора, обобщения и систематизации информации о результатах контрольно-надзорной деятельности </w:t>
      </w:r>
      <w:r>
        <w:rPr>
          <w:rFonts w:ascii="Times New Roman" w:eastAsia="Times New Roman" w:hAnsi="Times New Roman"/>
          <w:color w:val="000000" w:themeColor="text1"/>
          <w:sz w:val="28"/>
          <w:szCs w:val="28"/>
          <w:lang w:eastAsia="ru-RU"/>
        </w:rPr>
        <w:br/>
        <w:t>в Федеральном казначействе и его территориальных органах.</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Вновь созданными структурными подразделениями Федерального казначейства и его территориальными органами в 2016 году обеспечена преемственность и непрерывность исполнения переданных в соответствии </w:t>
      </w:r>
      <w:r>
        <w:rPr>
          <w:rFonts w:ascii="Times New Roman" w:eastAsia="Times New Roman" w:hAnsi="Times New Roman"/>
          <w:color w:val="000000" w:themeColor="text1"/>
          <w:sz w:val="28"/>
          <w:szCs w:val="28"/>
          <w:lang w:eastAsia="ru-RU"/>
        </w:rPr>
        <w:br/>
        <w:t xml:space="preserve">с Указом Президента № 41 функций по осуществлению контроля и надзора в финансово-бюджетной сфере.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Проведена значительная работа по формированию в Федеральном казначействе нормативной базы для обеспечения и совершенствования реализации новых для него контрольно-надзорных функций.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3.1.1. Планирование контрольных мероприятий Федерального казначейства в финансово-бюджетной сфере в 2016 году</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Реализация полномочий по контролю в финансово-бюджетной сфере, возложенных на Федеральное казначейство в отчетном периоде, осуществлялась на основании </w:t>
      </w:r>
      <w:r>
        <w:rPr>
          <w:rFonts w:ascii="Times New Roman" w:hAnsi="Times New Roman"/>
          <w:color w:val="000000" w:themeColor="text1"/>
          <w:sz w:val="28"/>
          <w:szCs w:val="28"/>
        </w:rPr>
        <w:t xml:space="preserve">Плана контрольных мероприятий Федерального казначейства в финансово-бюджетной сфере на 2016 год </w:t>
      </w:r>
      <w:r>
        <w:rPr>
          <w:rFonts w:ascii="Times New Roman" w:eastAsia="Times New Roman" w:hAnsi="Times New Roman"/>
          <w:color w:val="000000" w:themeColor="text1"/>
          <w:sz w:val="28"/>
          <w:szCs w:val="28"/>
          <w:lang w:eastAsia="ru-RU"/>
        </w:rPr>
        <w:t>(далее – План контрольных мероприятий на 2016 год)</w:t>
      </w:r>
      <w:r>
        <w:rPr>
          <w:rFonts w:ascii="Times New Roman" w:hAnsi="Times New Roman"/>
          <w:color w:val="000000" w:themeColor="text1"/>
          <w:sz w:val="28"/>
          <w:szCs w:val="28"/>
        </w:rPr>
        <w:t xml:space="preserve"> и планов контрольной работы управлений Федерального казначейства по субъектам Российской Федерации </w:t>
      </w:r>
      <w:r>
        <w:rPr>
          <w:rFonts w:ascii="Times New Roman" w:eastAsia="Times New Roman" w:hAnsi="Times New Roman"/>
          <w:color w:val="000000" w:themeColor="text1"/>
          <w:sz w:val="28"/>
          <w:szCs w:val="28"/>
          <w:lang w:eastAsia="ru-RU"/>
        </w:rPr>
        <w:t>на 2016 год</w:t>
      </w:r>
      <w:r>
        <w:rPr>
          <w:rFonts w:ascii="Times New Roman" w:hAnsi="Times New Roman"/>
          <w:color w:val="000000" w:themeColor="text1"/>
          <w:sz w:val="28"/>
          <w:szCs w:val="28"/>
        </w:rPr>
        <w:t xml:space="preserve"> </w:t>
      </w:r>
      <w:r>
        <w:rPr>
          <w:rFonts w:ascii="Times New Roman" w:eastAsia="Times New Roman" w:hAnsi="Times New Roman"/>
          <w:color w:val="000000" w:themeColor="text1"/>
          <w:sz w:val="28"/>
          <w:szCs w:val="28"/>
          <w:lang w:eastAsia="ru-RU"/>
        </w:rPr>
        <w:t>(далее – Планы контрольной работы УФК на 2016 год), которые были подготовлены в кратчайшие сроки после завершения организационно-штатных мероприятий, а также в рамках внеплановых контрольных мероприятий.</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План контрольных мероприятий на 2016 год согласован Министром финансов Российской Федерации А.Г. Силуановым и утвержден руководителем Федерального казначейства Р.Е. Артюхиным 20 июня 2016 года.</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установления общих правил, требований и процедур планирования контрольной деятельности Федерального казначейства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 xml:space="preserve">и его территориальных органов в финансово-бюджетной сфере разработан </w:t>
      </w:r>
      <w:hyperlink w:anchor="P31" w:history="1">
        <w:r>
          <w:rPr>
            <w:rFonts w:ascii="Times New Roman" w:eastAsia="Times New Roman" w:hAnsi="Times New Roman"/>
            <w:color w:val="000000" w:themeColor="text1"/>
            <w:sz w:val="28"/>
            <w:szCs w:val="28"/>
            <w:lang w:eastAsia="ru-RU"/>
          </w:rPr>
          <w:t>Порядок</w:t>
        </w:r>
      </w:hyperlink>
      <w:r>
        <w:rPr>
          <w:rFonts w:ascii="Times New Roman" w:eastAsia="Times New Roman" w:hAnsi="Times New Roman"/>
          <w:color w:val="000000" w:themeColor="text1"/>
          <w:sz w:val="28"/>
          <w:szCs w:val="28"/>
          <w:lang w:eastAsia="ru-RU"/>
        </w:rPr>
        <w:t xml:space="preserve"> планирования контрольных мероприятий в финансово-бюджетной сфере, проводимых Федеральным казначейством и его территориальными органами (далее – Порядок планирования), утвержденный приказом Федерального казначейства от 30 сентября 2016 г. № 356.</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Порядком планирования установлены требования к процедурам </w:t>
      </w:r>
      <w:r>
        <w:rPr>
          <w:rFonts w:ascii="Times New Roman" w:eastAsia="Times New Roman" w:hAnsi="Times New Roman"/>
          <w:color w:val="000000" w:themeColor="text1"/>
          <w:sz w:val="28"/>
          <w:szCs w:val="28"/>
          <w:lang w:eastAsia="ru-RU"/>
        </w:rPr>
        <w:br/>
        <w:t xml:space="preserve">и срокам формирования планов контрольных мероприятий Федерального казначейства и его территориальных органов в финансово-бюджетной сфере на соответствующий год и ответственность участников процесса планирования контрольных мероприятий в финансово-бюджетной сфере. </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Порядком планирования определена схема взаимодействия как структурных подразделений ЦАФК, так и ЦАФК </w:t>
      </w:r>
      <w:r>
        <w:rPr>
          <w:rFonts w:ascii="Times New Roman" w:eastAsia="Times New Roman" w:hAnsi="Times New Roman"/>
          <w:color w:val="000000" w:themeColor="text1"/>
          <w:sz w:val="28"/>
          <w:szCs w:val="28"/>
          <w:lang w:eastAsia="ru-RU"/>
        </w:rPr>
        <w:br/>
        <w:t>с ТОФК по вопросу планирования контрольных мероприятий в финансово-бюджетной сфере.</w:t>
      </w:r>
    </w:p>
    <w:p>
      <w:pPr>
        <w:widowControl w:val="0"/>
        <w:autoSpaceDE w:val="0"/>
        <w:autoSpaceDN w:val="0"/>
        <w:adjustRightInd w:val="0"/>
        <w:spacing w:after="0" w:line="360" w:lineRule="atLeast"/>
        <w:ind w:firstLine="709"/>
        <w:jc w:val="both"/>
        <w:rPr>
          <w:rFonts w:ascii="Times New Roman" w:hAnsi="Times New Roman"/>
          <w:bCs/>
          <w:color w:val="000000" w:themeColor="text1"/>
          <w:sz w:val="28"/>
          <w:szCs w:val="28"/>
        </w:rPr>
      </w:pPr>
      <w:r>
        <w:rPr>
          <w:rFonts w:ascii="Times New Roman" w:eastAsia="Times New Roman" w:hAnsi="Times New Roman"/>
          <w:color w:val="000000" w:themeColor="text1"/>
          <w:sz w:val="28"/>
          <w:szCs w:val="28"/>
          <w:lang w:eastAsia="ru-RU"/>
        </w:rPr>
        <w:t xml:space="preserve">Формирование Плана контрольных мероприятий на 2016 год осуществлялось на основании предложений Министерства финансов Российской Федерации, предложений федеральных органов государственной власти Российской Федерации, указаний руководителя Федерального казначейства, предложений структурных подразделений Федерального казначейства с учетом требований, установленных разделом </w:t>
      </w:r>
      <w:r>
        <w:rPr>
          <w:rFonts w:ascii="Times New Roman" w:eastAsia="Times New Roman" w:hAnsi="Times New Roman"/>
          <w:color w:val="000000" w:themeColor="text1"/>
          <w:sz w:val="28"/>
          <w:szCs w:val="28"/>
          <w:lang w:val="en-US" w:eastAsia="ru-RU"/>
        </w:rPr>
        <w:t>II</w:t>
      </w:r>
      <w:r>
        <w:rPr>
          <w:rFonts w:ascii="Times New Roman" w:eastAsia="Times New Roman" w:hAnsi="Times New Roman"/>
          <w:color w:val="000000" w:themeColor="text1"/>
          <w:sz w:val="28"/>
          <w:szCs w:val="28"/>
          <w:lang w:eastAsia="ru-RU"/>
        </w:rPr>
        <w:t xml:space="preserve"> Правил </w:t>
      </w:r>
      <w:r>
        <w:rPr>
          <w:rFonts w:ascii="Times New Roman" w:hAnsi="Times New Roman"/>
          <w:bCs/>
          <w:color w:val="000000" w:themeColor="text1"/>
          <w:sz w:val="28"/>
          <w:szCs w:val="28"/>
        </w:rPr>
        <w:t xml:space="preserve">осуществления Федеральным казначейством полномочий </w:t>
      </w:r>
      <w:r>
        <w:rPr>
          <w:rFonts w:ascii="Times New Roman" w:hAnsi="Times New Roman"/>
          <w:bCs/>
          <w:color w:val="000000" w:themeColor="text1"/>
          <w:sz w:val="28"/>
          <w:szCs w:val="28"/>
        </w:rPr>
        <w:br/>
        <w:t>по контролю в финансово-бюджетной сфере</w:t>
      </w:r>
      <w:r>
        <w:rPr>
          <w:rFonts w:ascii="Times New Roman" w:eastAsia="Times New Roman" w:hAnsi="Times New Roman"/>
          <w:color w:val="000000" w:themeColor="text1"/>
          <w:sz w:val="28"/>
          <w:szCs w:val="28"/>
          <w:lang w:eastAsia="ru-RU"/>
        </w:rPr>
        <w:t xml:space="preserve">, утвержденных </w:t>
      </w:r>
      <w:r>
        <w:rPr>
          <w:rFonts w:ascii="Times New Roman" w:hAnsi="Times New Roman"/>
          <w:bCs/>
          <w:color w:val="000000" w:themeColor="text1"/>
          <w:sz w:val="28"/>
          <w:szCs w:val="28"/>
        </w:rPr>
        <w:t xml:space="preserve">постановлением Правительства </w:t>
      </w:r>
      <w:r>
        <w:rPr>
          <w:rFonts w:ascii="Times New Roman" w:eastAsia="Times New Roman" w:hAnsi="Times New Roman"/>
          <w:color w:val="000000" w:themeColor="text1"/>
          <w:sz w:val="28"/>
          <w:szCs w:val="28"/>
          <w:lang w:eastAsia="ru-RU"/>
        </w:rPr>
        <w:t>Российской Федерации</w:t>
      </w:r>
      <w:r>
        <w:rPr>
          <w:rFonts w:ascii="Times New Roman" w:hAnsi="Times New Roman"/>
          <w:bCs/>
          <w:color w:val="000000" w:themeColor="text1"/>
          <w:sz w:val="28"/>
          <w:szCs w:val="28"/>
        </w:rPr>
        <w:t xml:space="preserve"> от 28 ноября 2013 года № 1092 «О порядке осуществления Федеральным казначейством полномочий по контролю в финансово-бюджетной сфере» (далее – Постановление № 1092).</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Для обеспечения повышения эффективности контроля в финансово-бюджетной сфере и одновременного снижения уровня избыточности контрольной нагрузки на проверяемые организации при отборе контрольных мероприятий в ходе формировании планов применялись элементы риск-ориентированного подхода. Для включения контрольного мероприятия в План контрольных мероприятий на 2016 год проводился всесторонний анализ всей имеющейся информации об объекте контроля. Одновременно при планировании контрольных мероприятий учитывалась необходимость реализации всех полномочий Федерального казначейства </w:t>
      </w:r>
      <w:r>
        <w:rPr>
          <w:rFonts w:ascii="Times New Roman" w:eastAsia="Times New Roman" w:hAnsi="Times New Roman"/>
          <w:color w:val="000000" w:themeColor="text1"/>
          <w:sz w:val="28"/>
          <w:szCs w:val="28"/>
          <w:lang w:eastAsia="ru-RU"/>
        </w:rPr>
        <w:br/>
        <w:t>по контролю в финансово-бюджетной сфере, в том числе:</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 полномочий по контролю за соблюдением бюджетного законодательства </w:t>
      </w:r>
      <w:r>
        <w:rPr>
          <w:rFonts w:ascii="Times New Roman" w:eastAsia="Times New Roman" w:hAnsi="Times New Roman"/>
          <w:color w:val="000000" w:themeColor="text1"/>
          <w:sz w:val="28"/>
          <w:szCs w:val="24"/>
          <w:lang w:eastAsia="ru-RU"/>
        </w:rPr>
        <w:t>Российской Федерации и иных НПА, регулирующих бюджетные правоотношения;</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lastRenderedPageBreak/>
        <w:t>– полномочий по контролю за полнотой и достоверностью отчетности о реализации государственных программ Российской Федерации, в том числе об исполнении государственных заданий;</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 полномочий по </w:t>
      </w:r>
      <w:r>
        <w:rPr>
          <w:rFonts w:ascii="Times New Roman" w:eastAsia="Times New Roman" w:hAnsi="Times New Roman"/>
          <w:color w:val="000000" w:themeColor="text1"/>
          <w:sz w:val="28"/>
          <w:szCs w:val="24"/>
          <w:lang w:eastAsia="ru-RU"/>
        </w:rPr>
        <w:t>проверке соблюдения законодательства Российской Федерации о контрактной системе в сфере закупок для обеспечения государственных и муниципальных нужд;</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 полномочий по контролю </w:t>
      </w:r>
      <w:r>
        <w:rPr>
          <w:rFonts w:ascii="Times New Roman" w:eastAsia="Times New Roman" w:hAnsi="Times New Roman"/>
          <w:color w:val="000000" w:themeColor="text1"/>
          <w:sz w:val="28"/>
          <w:szCs w:val="24"/>
          <w:lang w:eastAsia="ru-RU"/>
        </w:rPr>
        <w:t xml:space="preserve">за использованием средств Государственной корпорации – Фонда содействия реформированию ЖКХ, направленных на предоставление финансовой поддержки за счет средств Фонда содействия реформированию ЖКХ и предусмотренных в бюджете субъекта Российской Федерации и (или) местном бюджете на долевое финансирование проведения капитального ремонта многоквартирных домов, переселения граждан из аварийного жилищного фонда </w:t>
      </w:r>
      <w:r>
        <w:rPr>
          <w:rFonts w:ascii="Times New Roman" w:eastAsia="Times New Roman" w:hAnsi="Times New Roman"/>
          <w:color w:val="000000" w:themeColor="text1"/>
          <w:sz w:val="28"/>
          <w:szCs w:val="24"/>
          <w:lang w:eastAsia="ru-RU"/>
        </w:rPr>
        <w:br/>
        <w:t>и модернизации системы коммунальной инфраструктуры;</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 полномочий по контролю </w:t>
      </w:r>
      <w:r>
        <w:rPr>
          <w:rFonts w:ascii="Times New Roman" w:eastAsia="Times New Roman" w:hAnsi="Times New Roman"/>
          <w:color w:val="000000" w:themeColor="text1"/>
          <w:sz w:val="28"/>
          <w:szCs w:val="24"/>
          <w:lang w:eastAsia="ru-RU"/>
        </w:rPr>
        <w:t>за использованием специализированными некоммерческими организациями, которые осуществляют деятельность, направленную на обеспечение проведения капитального ремонта общего имущества в многоквартирных домах (далее – региональный оператор), средств, полученных в качестве государственной поддержки, муниципальной поддержки капитального ремонта, а также средств, полученных от собственников помещений в многоквартирных домах, формирующих фонды капитального ремонта на счете (счетах) регионального оператора;</w:t>
      </w:r>
    </w:p>
    <w:p>
      <w:pPr>
        <w:tabs>
          <w:tab w:val="left" w:pos="993"/>
        </w:tabs>
        <w:spacing w:after="0"/>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 полномочий по контролю за </w:t>
      </w:r>
      <w:r>
        <w:rPr>
          <w:rFonts w:ascii="Times New Roman" w:eastAsia="Times New Roman" w:hAnsi="Times New Roman"/>
          <w:color w:val="000000" w:themeColor="text1"/>
          <w:sz w:val="28"/>
          <w:szCs w:val="24"/>
          <w:lang w:eastAsia="ru-RU"/>
        </w:rPr>
        <w:t xml:space="preserve">осуществлением органами государственного (муниципального) финансового контроля, являющимися органами (должностными лицами) исполнительной власти субъектов Российской Федерации (местных администраций), контроля </w:t>
      </w:r>
      <w:r>
        <w:rPr>
          <w:rFonts w:ascii="Times New Roman" w:eastAsia="Times New Roman" w:hAnsi="Times New Roman"/>
          <w:color w:val="000000" w:themeColor="text1"/>
          <w:sz w:val="28"/>
          <w:szCs w:val="24"/>
          <w:lang w:eastAsia="ru-RU"/>
        </w:rPr>
        <w:br/>
        <w:t>за соблюдением Федерального закона № 44-ФЗ.</w:t>
      </w:r>
    </w:p>
    <w:p>
      <w:pPr>
        <w:widowControl w:val="0"/>
        <w:autoSpaceDE w:val="0"/>
        <w:autoSpaceDN w:val="0"/>
        <w:adjustRightInd w:val="0"/>
        <w:spacing w:after="0"/>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При формировании Плана контрольных мероприятий на 2016 год </w:t>
      </w:r>
      <w:r>
        <w:rPr>
          <w:rFonts w:ascii="Times New Roman" w:eastAsia="Times New Roman" w:hAnsi="Times New Roman"/>
          <w:color w:val="000000" w:themeColor="text1"/>
          <w:sz w:val="28"/>
          <w:szCs w:val="28"/>
          <w:lang w:eastAsia="ru-RU"/>
        </w:rPr>
        <w:br/>
        <w:t>и Планов контрольной работы УФК на 2016 год наименования контрольных мероприятий формулировались таким образом, чтобы в рамках одного пункта плана были осуществлены несколько контрольных мероприятий, объединенных по признаку направления расходования бюджетных средств.</w:t>
      </w:r>
    </w:p>
    <w:p>
      <w:pPr>
        <w:widowControl w:val="0"/>
        <w:autoSpaceDE w:val="0"/>
        <w:autoSpaceDN w:val="0"/>
        <w:adjustRightInd w:val="0"/>
        <w:spacing w:after="0"/>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План контрольных мероприятий на 2016 год включал 81 пункт, в том числе:</w:t>
      </w:r>
    </w:p>
    <w:p>
      <w:pPr>
        <w:widowControl w:val="0"/>
        <w:autoSpaceDE w:val="0"/>
        <w:autoSpaceDN w:val="0"/>
        <w:adjustRightInd w:val="0"/>
        <w:spacing w:after="0"/>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46 пунктов – по проверкам в сфере развития экономики, социальной сфере, сфере межбюджетных отношений и социального страхования, сфере национальной безопасности, оборонного комплекса, судебной системы </w:t>
      </w:r>
      <w:r>
        <w:rPr>
          <w:rFonts w:ascii="Times New Roman" w:eastAsia="Times New Roman" w:hAnsi="Times New Roman"/>
          <w:color w:val="000000" w:themeColor="text1"/>
          <w:sz w:val="28"/>
          <w:szCs w:val="28"/>
          <w:lang w:eastAsia="ru-RU"/>
        </w:rPr>
        <w:br/>
        <w:t>и правоохранительных органов;</w:t>
      </w:r>
    </w:p>
    <w:p>
      <w:pPr>
        <w:widowControl w:val="0"/>
        <w:autoSpaceDE w:val="0"/>
        <w:autoSpaceDN w:val="0"/>
        <w:adjustRightInd w:val="0"/>
        <w:spacing w:after="0"/>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29 пунктов </w:t>
      </w:r>
      <w:r>
        <w:rPr>
          <w:rFonts w:ascii="Times New Roman" w:eastAsia="Times New Roman" w:hAnsi="Times New Roman"/>
          <w:color w:val="000000" w:themeColor="text1"/>
          <w:sz w:val="28"/>
          <w:szCs w:val="24"/>
          <w:lang w:eastAsia="ru-RU"/>
        </w:rPr>
        <w:t>–</w:t>
      </w:r>
      <w:r>
        <w:rPr>
          <w:rFonts w:ascii="Times New Roman" w:eastAsia="Times New Roman" w:hAnsi="Times New Roman"/>
          <w:color w:val="000000" w:themeColor="text1"/>
          <w:sz w:val="28"/>
          <w:szCs w:val="28"/>
          <w:lang w:eastAsia="ru-RU"/>
        </w:rPr>
        <w:t xml:space="preserve"> по проверкам в сфере контрактных отношений.</w:t>
      </w:r>
    </w:p>
    <w:p>
      <w:pPr>
        <w:widowControl w:val="0"/>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было предусмотрено участие сотрудников контрольно-ревизионных управлений Федерального казначейства в 6 контрольных мероприятиях в отношении средств федерального бюджета, направленных на финансовое обеспечение международного сотрудничества и участие </w:t>
      </w:r>
      <w:r>
        <w:rPr>
          <w:rFonts w:ascii="Times New Roman" w:eastAsia="Times New Roman" w:hAnsi="Times New Roman"/>
          <w:color w:val="000000" w:themeColor="text1"/>
          <w:sz w:val="28"/>
          <w:szCs w:val="28"/>
          <w:lang w:eastAsia="ru-RU"/>
        </w:rPr>
        <w:br/>
        <w:t xml:space="preserve">в международных организациях.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Планы контрольной работы УФК на 2016 год включали 3 113 пунктов, 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2 039 пунктов – по централизованным заданиям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1 041 пункт – по предложениям УФК;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33 пункта – по участию сотрудников контрольно-ревизионных отделов УФК в контрольных мероприятиях, проводимых контрольно-ревизионными управлениями ЦАФК.</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3.1.2. Планирование контрольных мероприятий Федерального казначейства в финансово-бюджетной сфере на 2017 год</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В 2016 году Федеральным казначейством подготовлен План контрольных мероприятий Федерального казначейства в финансово-бюджетной сфере на 2017 год (далее – План контрольных мероприятий </w:t>
      </w:r>
      <w:r>
        <w:rPr>
          <w:rFonts w:ascii="Times New Roman" w:eastAsiaTheme="minorHAnsi" w:hAnsi="Times New Roman"/>
          <w:iCs/>
          <w:color w:val="000000" w:themeColor="text1"/>
          <w:sz w:val="28"/>
          <w:szCs w:val="28"/>
        </w:rPr>
        <w:br/>
        <w:t>на 2017 год), который согласован Министром финансов Российской Федерации А.Г.</w:t>
      </w:r>
      <w:r>
        <w:rPr>
          <w:rFonts w:ascii="Times New Roman" w:eastAsiaTheme="minorHAnsi" w:hAnsi="Times New Roman"/>
          <w:iCs/>
          <w:color w:val="000000" w:themeColor="text1"/>
          <w:sz w:val="28"/>
          <w:szCs w:val="28"/>
          <w:lang w:val="en-US"/>
        </w:rPr>
        <w:t> </w:t>
      </w:r>
      <w:r>
        <w:rPr>
          <w:rFonts w:ascii="Times New Roman" w:eastAsiaTheme="minorHAnsi" w:hAnsi="Times New Roman"/>
          <w:iCs/>
          <w:color w:val="000000" w:themeColor="text1"/>
          <w:sz w:val="28"/>
          <w:szCs w:val="28"/>
        </w:rPr>
        <w:t>Силуановым 5 декабря 2016 года и утвержден руководителем Федерального казначейства Р.Е.</w:t>
      </w:r>
      <w:r>
        <w:rPr>
          <w:rFonts w:ascii="Times New Roman" w:eastAsiaTheme="minorHAnsi" w:hAnsi="Times New Roman"/>
          <w:iCs/>
          <w:color w:val="000000" w:themeColor="text1"/>
          <w:sz w:val="28"/>
          <w:szCs w:val="28"/>
          <w:lang w:val="en-US"/>
        </w:rPr>
        <w:t> </w:t>
      </w:r>
      <w:r>
        <w:rPr>
          <w:rFonts w:ascii="Times New Roman" w:eastAsiaTheme="minorHAnsi" w:hAnsi="Times New Roman"/>
          <w:iCs/>
          <w:color w:val="000000" w:themeColor="text1"/>
          <w:sz w:val="28"/>
          <w:szCs w:val="28"/>
        </w:rPr>
        <w:t>Артюхиным 9 декабря 2016 года.</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План контрольных мероприятий на 2017 год содержит 77 пунктов, </w:t>
      </w:r>
      <w:r>
        <w:rPr>
          <w:rFonts w:ascii="Times New Roman" w:eastAsiaTheme="minorHAnsi" w:hAnsi="Times New Roman"/>
          <w:iCs/>
          <w:color w:val="000000" w:themeColor="text1"/>
          <w:sz w:val="28"/>
          <w:szCs w:val="28"/>
        </w:rPr>
        <w:br/>
        <w:t>в том числе:</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heme="minorHAnsi" w:hAnsi="Times New Roman"/>
          <w:iCs/>
          <w:color w:val="000000" w:themeColor="text1"/>
          <w:sz w:val="28"/>
          <w:szCs w:val="28"/>
        </w:rPr>
        <w:t>– 72 пункта – в сфере развития экономики, социальной сфере, сфере межбюджетных отношений и социального страхования, сфере национальной безопасности, оборонного комплекса,</w:t>
      </w:r>
      <w:r>
        <w:rPr>
          <w:rFonts w:ascii="Times New Roman" w:eastAsia="Times New Roman" w:hAnsi="Times New Roman"/>
          <w:color w:val="000000" w:themeColor="text1"/>
          <w:sz w:val="28"/>
          <w:szCs w:val="28"/>
          <w:lang w:eastAsia="ru-RU"/>
        </w:rPr>
        <w:t xml:space="preserve"> судебной системы </w:t>
      </w:r>
      <w:r>
        <w:rPr>
          <w:rFonts w:ascii="Times New Roman" w:eastAsia="Times New Roman" w:hAnsi="Times New Roman"/>
          <w:color w:val="000000" w:themeColor="text1"/>
          <w:sz w:val="28"/>
          <w:szCs w:val="28"/>
          <w:lang w:eastAsia="ru-RU"/>
        </w:rPr>
        <w:br/>
        <w:t>и правоохранительных органов;</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2 пункта</w:t>
      </w:r>
      <w:r>
        <w:rPr>
          <w:rFonts w:ascii="Times New Roman" w:eastAsia="Times New Roman" w:hAnsi="Times New Roman"/>
          <w:color w:val="000000" w:themeColor="text1"/>
          <w:sz w:val="28"/>
          <w:szCs w:val="28"/>
          <w:lang w:eastAsia="ru-RU"/>
        </w:rPr>
        <w:t xml:space="preserve"> </w:t>
      </w:r>
      <w:r>
        <w:rPr>
          <w:rFonts w:ascii="Times New Roman" w:eastAsiaTheme="minorHAnsi" w:hAnsi="Times New Roman"/>
          <w:iCs/>
          <w:color w:val="000000" w:themeColor="text1"/>
          <w:sz w:val="28"/>
          <w:szCs w:val="28"/>
        </w:rPr>
        <w:t>–</w:t>
      </w:r>
      <w:r>
        <w:rPr>
          <w:rFonts w:ascii="Times New Roman" w:eastAsia="Times New Roman" w:hAnsi="Times New Roman"/>
          <w:color w:val="000000" w:themeColor="text1"/>
          <w:sz w:val="28"/>
          <w:szCs w:val="28"/>
          <w:lang w:eastAsia="ru-RU"/>
        </w:rPr>
        <w:t xml:space="preserve"> в сфере контрактных отношений, в том числе по одному из них </w:t>
      </w:r>
      <w:r>
        <w:rPr>
          <w:rFonts w:ascii="Times New Roman" w:eastAsiaTheme="minorHAnsi" w:hAnsi="Times New Roman"/>
          <w:iCs/>
          <w:color w:val="000000" w:themeColor="text1"/>
          <w:sz w:val="28"/>
          <w:szCs w:val="28"/>
        </w:rPr>
        <w:t>–</w:t>
      </w:r>
      <w:r>
        <w:rPr>
          <w:rFonts w:ascii="Times New Roman" w:eastAsia="Times New Roman" w:hAnsi="Times New Roman"/>
          <w:color w:val="000000" w:themeColor="text1"/>
          <w:sz w:val="28"/>
          <w:szCs w:val="28"/>
          <w:lang w:eastAsia="ru-RU"/>
        </w:rPr>
        <w:t xml:space="preserve"> </w:t>
      </w:r>
      <w:r>
        <w:rPr>
          <w:rFonts w:ascii="Times New Roman" w:eastAsiaTheme="minorHAnsi" w:hAnsi="Times New Roman"/>
          <w:iCs/>
          <w:color w:val="000000" w:themeColor="text1"/>
          <w:sz w:val="28"/>
          <w:szCs w:val="28"/>
        </w:rPr>
        <w:t>в отношении 89 главных распорядителей бюджетных средств;</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3 пункта – в отношении средств федерального бюджета, направленных на финансовое обеспечение международного сотрудничества и участие Российской Федерации в международных организациях.</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Подготовка Плана контрольных мероприятий на 2017 год осуществлялась в тесном взаимодействии с департаментами Министерства финансов Российской Федерации и была направлена на отбор контрольных мероприятий с учетом приоритетных направлений расходования бюджетных средств. Результатом этой работы стало значительное </w:t>
      </w:r>
      <w:r>
        <w:rPr>
          <w:rFonts w:ascii="Times New Roman" w:eastAsiaTheme="minorHAnsi" w:hAnsi="Times New Roman"/>
          <w:iCs/>
          <w:color w:val="000000" w:themeColor="text1"/>
          <w:sz w:val="28"/>
          <w:szCs w:val="28"/>
        </w:rPr>
        <w:lastRenderedPageBreak/>
        <w:t xml:space="preserve">увеличение доли пунктов указанного плана, включенных по предложениям департаментов Минфина России. Также в структуре Плана контрольных мероприятий на 2017 год нашло отражение взаимодействие Федерального казначейства с Генеральной прокуратурой Российской Федерации и ФСБ России в рамках заключенных в 2016 году соглашений о сотрудничестве </w:t>
      </w:r>
      <w:r>
        <w:rPr>
          <w:rFonts w:ascii="Times New Roman" w:eastAsiaTheme="minorHAnsi" w:hAnsi="Times New Roman"/>
          <w:iCs/>
          <w:color w:val="000000" w:themeColor="text1"/>
          <w:sz w:val="28"/>
          <w:szCs w:val="28"/>
        </w:rPr>
        <w:br/>
        <w:t>и взаимодействии.</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Сравнение Плана контрольных мероприятий на 2016 год с Планом контрольных мероприятий на 2017 год в части оснований </w:t>
      </w:r>
      <w:r>
        <w:rPr>
          <w:rFonts w:ascii="Times New Roman" w:eastAsiaTheme="minorHAnsi" w:hAnsi="Times New Roman"/>
          <w:iCs/>
          <w:color w:val="000000" w:themeColor="text1"/>
          <w:sz w:val="28"/>
          <w:szCs w:val="28"/>
        </w:rPr>
        <w:br/>
        <w:t>для формирования планов приведено в таблице 14.</w:t>
      </w:r>
    </w:p>
    <w:p>
      <w:pPr>
        <w:widowControl w:val="0"/>
        <w:autoSpaceDE w:val="0"/>
        <w:autoSpaceDN w:val="0"/>
        <w:spacing w:before="120" w:after="120" w:line="240" w:lineRule="auto"/>
        <w:ind w:firstLine="709"/>
        <w:jc w:val="right"/>
        <w:rPr>
          <w:rFonts w:ascii="Times New Roman" w:eastAsia="Arial Unicode MS" w:hAnsi="Times New Roman"/>
          <w:bCs/>
          <w:color w:val="000000" w:themeColor="text1"/>
          <w:kern w:val="24"/>
          <w:sz w:val="28"/>
          <w:szCs w:val="28"/>
          <w:lang w:eastAsia="ru-RU"/>
        </w:rPr>
      </w:pPr>
      <w:r>
        <w:rPr>
          <w:rFonts w:ascii="Times New Roman" w:eastAsia="Arial Unicode MS" w:hAnsi="Times New Roman"/>
          <w:bCs/>
          <w:color w:val="000000" w:themeColor="text1"/>
          <w:kern w:val="24"/>
          <w:sz w:val="28"/>
          <w:szCs w:val="28"/>
          <w:lang w:eastAsia="ru-RU"/>
        </w:rPr>
        <w:t>Таблица 14</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402"/>
        <w:gridCol w:w="1484"/>
        <w:gridCol w:w="1543"/>
      </w:tblGrid>
      <w:tr>
        <w:trPr>
          <w:trHeight w:val="384"/>
          <w:jc w:val="center"/>
        </w:trPr>
        <w:tc>
          <w:tcPr>
            <w:tcW w:w="3395" w:type="pct"/>
            <w:vMerge w:val="restart"/>
            <w:shd w:val="clear" w:color="auto"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Основания для включения в План</w:t>
            </w:r>
          </w:p>
        </w:tc>
        <w:tc>
          <w:tcPr>
            <w:tcW w:w="1605" w:type="pct"/>
            <w:gridSpan w:val="2"/>
            <w:shd w:val="clear" w:color="auto"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Количество пунктов Плана</w:t>
            </w:r>
          </w:p>
        </w:tc>
      </w:tr>
      <w:tr>
        <w:trPr>
          <w:trHeight w:val="292"/>
          <w:jc w:val="center"/>
        </w:trPr>
        <w:tc>
          <w:tcPr>
            <w:tcW w:w="3395" w:type="pct"/>
            <w:vMerge/>
            <w:shd w:val="clear" w:color="auto" w:fill="BFBFBF" w:themeFill="background1" w:themeFillShade="BF"/>
            <w:vAlign w:val="center"/>
            <w:hideMark/>
          </w:tcPr>
          <w:p>
            <w:pPr>
              <w:spacing w:after="0" w:line="240" w:lineRule="auto"/>
              <w:rPr>
                <w:rFonts w:ascii="Times New Roman" w:eastAsia="Times New Roman" w:hAnsi="Times New Roman"/>
                <w:b/>
                <w:bCs/>
                <w:color w:val="000000" w:themeColor="text1"/>
                <w:sz w:val="24"/>
                <w:szCs w:val="24"/>
                <w:lang w:eastAsia="ru-RU"/>
              </w:rPr>
            </w:pPr>
          </w:p>
        </w:tc>
        <w:tc>
          <w:tcPr>
            <w:tcW w:w="787" w:type="pct"/>
            <w:shd w:val="clear" w:color="auto"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2016 год</w:t>
            </w:r>
          </w:p>
        </w:tc>
        <w:tc>
          <w:tcPr>
            <w:tcW w:w="818" w:type="pct"/>
            <w:shd w:val="clear" w:color="auto"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2017 год</w:t>
            </w:r>
          </w:p>
        </w:tc>
      </w:tr>
      <w:tr>
        <w:trPr>
          <w:trHeight w:val="277"/>
          <w:jc w:val="center"/>
        </w:trPr>
        <w:tc>
          <w:tcPr>
            <w:tcW w:w="3395" w:type="pct"/>
            <w:shd w:val="clear" w:color="000000" w:fill="FFFFFF" w:themeFill="background1"/>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Поручения Минфина России</w:t>
            </w:r>
          </w:p>
        </w:tc>
        <w:tc>
          <w:tcPr>
            <w:tcW w:w="787"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32</w:t>
            </w:r>
          </w:p>
        </w:tc>
        <w:tc>
          <w:tcPr>
            <w:tcW w:w="818"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50</w:t>
            </w:r>
          </w:p>
        </w:tc>
      </w:tr>
      <w:tr>
        <w:trPr>
          <w:trHeight w:val="277"/>
          <w:jc w:val="center"/>
        </w:trPr>
        <w:tc>
          <w:tcPr>
            <w:tcW w:w="3395" w:type="pct"/>
            <w:shd w:val="clear" w:color="000000" w:fill="F2F2F2" w:themeFill="background1" w:themeFillShade="F2"/>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Предложения структурных подразделений ЦАФК</w:t>
            </w:r>
          </w:p>
        </w:tc>
        <w:tc>
          <w:tcPr>
            <w:tcW w:w="787" w:type="pct"/>
            <w:shd w:val="clear" w:color="000000" w:fill="F2F2F2" w:themeFill="background1" w:themeFillShade="F2"/>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41</w:t>
            </w:r>
          </w:p>
        </w:tc>
        <w:tc>
          <w:tcPr>
            <w:tcW w:w="818" w:type="pct"/>
            <w:shd w:val="clear" w:color="000000" w:fill="F2F2F2" w:themeFill="background1" w:themeFillShade="F2"/>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10</w:t>
            </w:r>
          </w:p>
        </w:tc>
      </w:tr>
      <w:tr>
        <w:trPr>
          <w:trHeight w:val="277"/>
          <w:jc w:val="center"/>
        </w:trPr>
        <w:tc>
          <w:tcPr>
            <w:tcW w:w="3395" w:type="pct"/>
            <w:shd w:val="clear" w:color="000000" w:fill="FFFFFF" w:themeFill="background1"/>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Обращения ФСБ России</w:t>
            </w:r>
          </w:p>
        </w:tc>
        <w:tc>
          <w:tcPr>
            <w:tcW w:w="787"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1</w:t>
            </w:r>
          </w:p>
        </w:tc>
        <w:tc>
          <w:tcPr>
            <w:tcW w:w="818"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13</w:t>
            </w:r>
          </w:p>
        </w:tc>
      </w:tr>
      <w:tr>
        <w:trPr>
          <w:trHeight w:val="277"/>
          <w:jc w:val="center"/>
        </w:trPr>
        <w:tc>
          <w:tcPr>
            <w:tcW w:w="3395" w:type="pct"/>
            <w:shd w:val="clear" w:color="000000" w:fill="F2F2F2" w:themeFill="background1" w:themeFillShade="F2"/>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Обращения Генпрокуратуры России</w:t>
            </w:r>
          </w:p>
        </w:tc>
        <w:tc>
          <w:tcPr>
            <w:tcW w:w="787" w:type="pct"/>
            <w:shd w:val="clear" w:color="000000" w:fill="F2F2F2" w:themeFill="background1" w:themeFillShade="F2"/>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3</w:t>
            </w:r>
          </w:p>
        </w:tc>
        <w:tc>
          <w:tcPr>
            <w:tcW w:w="818" w:type="pct"/>
            <w:shd w:val="clear" w:color="000000" w:fill="F2F2F2" w:themeFill="background1" w:themeFillShade="F2"/>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3</w:t>
            </w:r>
          </w:p>
        </w:tc>
      </w:tr>
      <w:tr>
        <w:trPr>
          <w:trHeight w:val="277"/>
          <w:jc w:val="center"/>
        </w:trPr>
        <w:tc>
          <w:tcPr>
            <w:tcW w:w="3395" w:type="pct"/>
            <w:shd w:val="clear" w:color="000000" w:fill="FFFFFF" w:themeFill="background1"/>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Иные основания </w:t>
            </w:r>
          </w:p>
        </w:tc>
        <w:tc>
          <w:tcPr>
            <w:tcW w:w="787"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4</w:t>
            </w:r>
          </w:p>
        </w:tc>
        <w:tc>
          <w:tcPr>
            <w:tcW w:w="818" w:type="pct"/>
            <w:shd w:val="clear" w:color="000000" w:fill="FFFFFF" w:themeFill="background1"/>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1</w:t>
            </w:r>
          </w:p>
        </w:tc>
      </w:tr>
      <w:tr>
        <w:trPr>
          <w:trHeight w:val="292"/>
          <w:jc w:val="center"/>
        </w:trPr>
        <w:tc>
          <w:tcPr>
            <w:tcW w:w="3395" w:type="pct"/>
            <w:shd w:val="clear" w:color="auto" w:fill="BFBFBF" w:themeFill="background1" w:themeFillShade="BF"/>
            <w:vAlign w:val="center"/>
            <w:hideMark/>
          </w:tcPr>
          <w:p>
            <w:pPr>
              <w:spacing w:after="0" w:line="240" w:lineRule="auto"/>
              <w:jc w:val="right"/>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ИТОГО</w:t>
            </w:r>
          </w:p>
        </w:tc>
        <w:tc>
          <w:tcPr>
            <w:tcW w:w="787" w:type="pct"/>
            <w:shd w:val="clear" w:color="auto" w:fill="BFBFBF" w:themeFill="background1" w:themeFillShade="BF"/>
            <w:vAlign w:val="center"/>
            <w:hideMark/>
          </w:tcPr>
          <w:p>
            <w:pPr>
              <w:spacing w:after="0" w:line="240" w:lineRule="auto"/>
              <w:jc w:val="right"/>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81</w:t>
            </w:r>
          </w:p>
        </w:tc>
        <w:tc>
          <w:tcPr>
            <w:tcW w:w="818" w:type="pct"/>
            <w:shd w:val="clear" w:color="auto" w:fill="BFBFBF" w:themeFill="background1" w:themeFillShade="BF"/>
            <w:vAlign w:val="center"/>
            <w:hideMark/>
          </w:tcPr>
          <w:p>
            <w:pPr>
              <w:spacing w:after="0" w:line="240" w:lineRule="auto"/>
              <w:jc w:val="right"/>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77*</w:t>
            </w:r>
          </w:p>
        </w:tc>
      </w:tr>
    </w:tbl>
    <w:p>
      <w:pPr>
        <w:widowControl w:val="0"/>
        <w:autoSpaceDE w:val="0"/>
        <w:autoSpaceDN w:val="0"/>
        <w:spacing w:after="0" w:line="240" w:lineRule="auto"/>
        <w:ind w:firstLine="709"/>
        <w:jc w:val="both"/>
        <w:rPr>
          <w:rFonts w:ascii="Times New Roman" w:eastAsia="Arial Unicode MS" w:hAnsi="Times New Roman"/>
          <w:bCs/>
          <w:color w:val="000000" w:themeColor="text1"/>
          <w:kern w:val="24"/>
          <w:sz w:val="20"/>
          <w:szCs w:val="20"/>
          <w:lang w:eastAsia="ru-RU"/>
        </w:rPr>
      </w:pPr>
      <w:r>
        <w:rPr>
          <w:rFonts w:ascii="Times New Roman" w:eastAsia="Arial Unicode MS" w:hAnsi="Times New Roman"/>
          <w:bCs/>
          <w:color w:val="000000" w:themeColor="text1"/>
          <w:kern w:val="24"/>
          <w:sz w:val="20"/>
          <w:szCs w:val="20"/>
          <w:lang w:eastAsia="ru-RU"/>
        </w:rPr>
        <w:t>*В целях оптимизации процессов планирования контрольные мероприятия в сфере контрактных отношений в отношении 89 главных распорядителей бюджетных средств объединены в один пункт плана.</w:t>
      </w:r>
    </w:p>
    <w:p>
      <w:pPr>
        <w:widowControl w:val="0"/>
        <w:autoSpaceDE w:val="0"/>
        <w:autoSpaceDN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В План контрольных мероприятий на 2016 год были включены проверки эффективности и правомерности использования средств федерального бюджета в ходе реализации 16 государственных программ. Контрольные мероприятия были запланированы в отношении 45 главных распорядителей бюджетных средств. Планом контрольных мероприятий </w:t>
      </w:r>
      <w:r>
        <w:rPr>
          <w:rFonts w:ascii="Times New Roman" w:eastAsiaTheme="minorHAnsi" w:hAnsi="Times New Roman"/>
          <w:iCs/>
          <w:color w:val="000000" w:themeColor="text1"/>
          <w:sz w:val="28"/>
          <w:szCs w:val="28"/>
        </w:rPr>
        <w:br/>
        <w:t xml:space="preserve">на 2017 год запланированы контрольные мероприятия </w:t>
      </w:r>
      <w:r>
        <w:rPr>
          <w:rFonts w:ascii="Times New Roman" w:eastAsiaTheme="minorHAnsi" w:hAnsi="Times New Roman"/>
          <w:iCs/>
          <w:color w:val="000000" w:themeColor="text1"/>
          <w:sz w:val="28"/>
          <w:szCs w:val="28"/>
        </w:rPr>
        <w:br/>
        <w:t>по 18 государственным программам и в отношении 92 ГРБС (таблица 15).</w:t>
      </w:r>
    </w:p>
    <w:p>
      <w:pPr>
        <w:widowControl w:val="0"/>
        <w:autoSpaceDE w:val="0"/>
        <w:autoSpaceDN w:val="0"/>
        <w:spacing w:before="120" w:after="120" w:line="240" w:lineRule="auto"/>
        <w:ind w:firstLine="709"/>
        <w:jc w:val="right"/>
        <w:rPr>
          <w:rFonts w:ascii="Times New Roman" w:eastAsia="Arial Unicode MS" w:hAnsi="Times New Roman"/>
          <w:bCs/>
          <w:color w:val="000000" w:themeColor="text1"/>
          <w:kern w:val="24"/>
          <w:sz w:val="28"/>
          <w:szCs w:val="28"/>
          <w:lang w:eastAsia="ru-RU"/>
        </w:rPr>
      </w:pPr>
      <w:r>
        <w:rPr>
          <w:rFonts w:ascii="Times New Roman" w:eastAsia="Arial Unicode MS" w:hAnsi="Times New Roman"/>
          <w:bCs/>
          <w:color w:val="000000" w:themeColor="text1"/>
          <w:kern w:val="24"/>
          <w:sz w:val="28"/>
          <w:szCs w:val="28"/>
          <w:lang w:eastAsia="ru-RU"/>
        </w:rPr>
        <w:t>Таблица 15</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701"/>
        <w:gridCol w:w="1365"/>
        <w:gridCol w:w="1363"/>
      </w:tblGrid>
      <w:tr>
        <w:trPr>
          <w:trHeight w:val="330"/>
        </w:trPr>
        <w:tc>
          <w:tcPr>
            <w:tcW w:w="3553" w:type="pct"/>
            <w:shd w:val="clear" w:color="000000"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Распределение бюджетных средств</w:t>
            </w:r>
          </w:p>
        </w:tc>
        <w:tc>
          <w:tcPr>
            <w:tcW w:w="724" w:type="pct"/>
            <w:shd w:val="clear" w:color="000000"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2016</w:t>
            </w:r>
          </w:p>
        </w:tc>
        <w:tc>
          <w:tcPr>
            <w:tcW w:w="723" w:type="pct"/>
            <w:shd w:val="clear" w:color="000000" w:fill="BFBFBF" w:themeFill="background1" w:themeFillShade="BF"/>
            <w:vAlign w:val="center"/>
            <w:hideMark/>
          </w:tcPr>
          <w:p>
            <w:pPr>
              <w:spacing w:after="0" w:line="240" w:lineRule="auto"/>
              <w:jc w:val="center"/>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2017</w:t>
            </w:r>
          </w:p>
        </w:tc>
      </w:tr>
      <w:tr>
        <w:trPr>
          <w:trHeight w:val="310"/>
        </w:trPr>
        <w:tc>
          <w:tcPr>
            <w:tcW w:w="3553" w:type="pct"/>
            <w:shd w:val="clear" w:color="000000" w:fill="FFFFFF" w:themeFill="background1"/>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Государственные программы Российской Федерации: </w:t>
            </w:r>
          </w:p>
        </w:tc>
        <w:tc>
          <w:tcPr>
            <w:tcW w:w="724" w:type="pct"/>
            <w:shd w:val="clear" w:color="000000" w:fill="FFFFFF" w:themeFill="background1"/>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16 </w:t>
            </w:r>
          </w:p>
        </w:tc>
        <w:tc>
          <w:tcPr>
            <w:tcW w:w="723" w:type="pct"/>
            <w:shd w:val="clear" w:color="000000" w:fill="FFFFFF" w:themeFill="background1"/>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18 </w:t>
            </w:r>
          </w:p>
        </w:tc>
      </w:tr>
      <w:tr>
        <w:trPr>
          <w:trHeight w:val="552"/>
        </w:trPr>
        <w:tc>
          <w:tcPr>
            <w:tcW w:w="3553" w:type="pct"/>
            <w:shd w:val="clear" w:color="auto" w:fill="F2F2F2" w:themeFill="background1" w:themeFillShade="F2"/>
            <w:vAlign w:val="center"/>
            <w:hideMark/>
          </w:tcPr>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Главные распорядители бюджетных средств</w:t>
            </w:r>
          </w:p>
          <w:p>
            <w:pPr>
              <w:spacing w:after="0" w:line="240" w:lineRule="auto"/>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в том числе контрольные мероприятия: </w:t>
            </w:r>
          </w:p>
        </w:tc>
        <w:tc>
          <w:tcPr>
            <w:tcW w:w="724" w:type="pct"/>
            <w:shd w:val="clear" w:color="auto" w:fill="F2F2F2" w:themeFill="background1" w:themeFillShade="F2"/>
            <w:noWrap/>
            <w:vAlign w:val="center"/>
          </w:tcPr>
          <w:p>
            <w:pPr>
              <w:spacing w:after="0" w:line="240" w:lineRule="auto"/>
              <w:jc w:val="right"/>
              <w:rPr>
                <w:rFonts w:ascii="Times New Roman" w:eastAsia="Times New Roman" w:hAnsi="Times New Roman"/>
                <w:bCs/>
                <w:color w:val="000000" w:themeColor="text1"/>
                <w:sz w:val="24"/>
                <w:szCs w:val="24"/>
                <w:lang w:eastAsia="ru-RU"/>
              </w:rPr>
            </w:pPr>
          </w:p>
        </w:tc>
        <w:tc>
          <w:tcPr>
            <w:tcW w:w="723" w:type="pct"/>
            <w:shd w:val="clear" w:color="auto" w:fill="F2F2F2" w:themeFill="background1" w:themeFillShade="F2"/>
            <w:noWrap/>
            <w:vAlign w:val="center"/>
          </w:tcPr>
          <w:p>
            <w:pPr>
              <w:spacing w:after="0" w:line="240" w:lineRule="auto"/>
              <w:jc w:val="right"/>
              <w:rPr>
                <w:rFonts w:ascii="Times New Roman" w:eastAsia="Times New Roman" w:hAnsi="Times New Roman"/>
                <w:bCs/>
                <w:color w:val="000000" w:themeColor="text1"/>
                <w:sz w:val="24"/>
                <w:szCs w:val="24"/>
                <w:lang w:eastAsia="ru-RU"/>
              </w:rPr>
            </w:pPr>
          </w:p>
        </w:tc>
      </w:tr>
      <w:tr>
        <w:trPr>
          <w:trHeight w:val="283"/>
        </w:trPr>
        <w:tc>
          <w:tcPr>
            <w:tcW w:w="3553" w:type="pct"/>
            <w:shd w:val="clear" w:color="auto" w:fill="FFFFFF" w:themeFill="background1"/>
            <w:vAlign w:val="center"/>
            <w:hideMark/>
          </w:tcPr>
          <w:p>
            <w:pPr>
              <w:spacing w:after="0" w:line="240" w:lineRule="auto"/>
              <w:ind w:left="49" w:right="-146"/>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При осуществлении контроля в финансово-бюджетной сфере </w:t>
            </w:r>
          </w:p>
        </w:tc>
        <w:tc>
          <w:tcPr>
            <w:tcW w:w="724" w:type="pct"/>
            <w:shd w:val="clear" w:color="auto" w:fill="FFFFFF" w:themeFill="background1"/>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22 </w:t>
            </w:r>
          </w:p>
        </w:tc>
        <w:tc>
          <w:tcPr>
            <w:tcW w:w="723" w:type="pct"/>
            <w:shd w:val="clear" w:color="auto" w:fill="FFFFFF" w:themeFill="background1"/>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29</w:t>
            </w:r>
          </w:p>
        </w:tc>
      </w:tr>
      <w:tr>
        <w:trPr>
          <w:trHeight w:val="275"/>
        </w:trPr>
        <w:tc>
          <w:tcPr>
            <w:tcW w:w="3553" w:type="pct"/>
            <w:shd w:val="clear" w:color="auto" w:fill="F2F2F2" w:themeFill="background1" w:themeFillShade="F2"/>
            <w:vAlign w:val="center"/>
            <w:hideMark/>
          </w:tcPr>
          <w:p>
            <w:pPr>
              <w:spacing w:after="0" w:line="240" w:lineRule="auto"/>
              <w:ind w:left="49" w:right="-146"/>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При осуществлении контроля в сфере закупок</w:t>
            </w:r>
          </w:p>
        </w:tc>
        <w:tc>
          <w:tcPr>
            <w:tcW w:w="724" w:type="pct"/>
            <w:shd w:val="clear" w:color="auto" w:fill="F2F2F2" w:themeFill="background1" w:themeFillShade="F2"/>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 xml:space="preserve">28 </w:t>
            </w:r>
          </w:p>
        </w:tc>
        <w:tc>
          <w:tcPr>
            <w:tcW w:w="723" w:type="pct"/>
            <w:shd w:val="clear" w:color="auto" w:fill="F2F2F2" w:themeFill="background1" w:themeFillShade="F2"/>
            <w:noWrap/>
            <w:vAlign w:val="center"/>
            <w:hideMark/>
          </w:tcPr>
          <w:p>
            <w:pPr>
              <w:spacing w:after="0" w:line="240" w:lineRule="auto"/>
              <w:jc w:val="right"/>
              <w:rPr>
                <w:rFonts w:ascii="Times New Roman" w:eastAsia="Times New Roman" w:hAnsi="Times New Roman"/>
                <w:bCs/>
                <w:color w:val="000000" w:themeColor="text1"/>
                <w:sz w:val="24"/>
                <w:szCs w:val="24"/>
                <w:lang w:eastAsia="ru-RU"/>
              </w:rPr>
            </w:pPr>
            <w:r>
              <w:rPr>
                <w:rFonts w:ascii="Times New Roman" w:eastAsia="Times New Roman" w:hAnsi="Times New Roman"/>
                <w:bCs/>
                <w:color w:val="000000" w:themeColor="text1"/>
                <w:sz w:val="24"/>
                <w:szCs w:val="24"/>
                <w:lang w:eastAsia="ru-RU"/>
              </w:rPr>
              <w:t>89</w:t>
            </w:r>
          </w:p>
        </w:tc>
      </w:tr>
    </w:tbl>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xml:space="preserve">В Планы контрольной работы управлений Федерального казначейства </w:t>
      </w:r>
      <w:r>
        <w:rPr>
          <w:rFonts w:ascii="Times New Roman" w:hAnsi="Times New Roman"/>
          <w:color w:val="000000" w:themeColor="text1"/>
          <w:sz w:val="28"/>
          <w:szCs w:val="28"/>
        </w:rPr>
        <w:br/>
        <w:t xml:space="preserve">по субъектам Российской Федерации </w:t>
      </w:r>
      <w:r>
        <w:rPr>
          <w:rFonts w:ascii="Times New Roman" w:eastAsia="Times New Roman" w:hAnsi="Times New Roman"/>
          <w:color w:val="000000" w:themeColor="text1"/>
          <w:sz w:val="28"/>
          <w:szCs w:val="28"/>
          <w:lang w:eastAsia="ru-RU"/>
        </w:rPr>
        <w:t>на 2017 год (далее – Планы контрольной работы УФК на 2017 год) были включены 5 240 пунктов, 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2 317 пунктов – по централизованным заданиям;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2 923 – по предложениям органов исполнительной власти субъектов Российской Федерации и УФК.</w:t>
      </w:r>
    </w:p>
    <w:p>
      <w:pPr>
        <w:autoSpaceDE w:val="0"/>
        <w:autoSpaceDN w:val="0"/>
        <w:adjustRightInd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lastRenderedPageBreak/>
        <w:t>В целях реализации межведомственного информационного взаимодействия 14 ноября 2016 года проект Плана контрольных мероприятий на 2017 год был направлен в Счетную палату Российской Федерации, копии утвержденного плана были направлены в Контрольное управление Президента Российской Федерации и Генеральную прокуратуру Российской Федерации.</w:t>
      </w:r>
    </w:p>
    <w:p>
      <w:pPr>
        <w:autoSpaceDE w:val="0"/>
        <w:autoSpaceDN w:val="0"/>
        <w:adjustRightInd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Сканированная копия утвержденного Плана контрольных мероприятий на 2017 год была размещена на Официальном сайте www.roskazna.ru 12 декабря 2016 года.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3.1.3. Исполнение Плана контрольных мероприятий Федерального казначейства и его территориальных органов в 2016 году</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Контрольная деятельность в финансово-бюджетной сфере осуществлялась 5 структурными подразделениями ЦАФК и 84 УФК, как </w:t>
      </w:r>
      <w:r>
        <w:rPr>
          <w:rFonts w:ascii="Times New Roman" w:eastAsia="Times New Roman" w:hAnsi="Times New Roman"/>
          <w:color w:val="000000" w:themeColor="text1"/>
          <w:sz w:val="28"/>
          <w:szCs w:val="28"/>
          <w:lang w:eastAsia="ru-RU"/>
        </w:rPr>
        <w:br/>
        <w:t xml:space="preserve">на основании утвержденных Плана контрольных мероприятий на 2016 год </w:t>
      </w:r>
      <w:r>
        <w:rPr>
          <w:rFonts w:ascii="Times New Roman" w:eastAsia="Times New Roman" w:hAnsi="Times New Roman"/>
          <w:color w:val="000000" w:themeColor="text1"/>
          <w:sz w:val="28"/>
          <w:szCs w:val="28"/>
          <w:lang w:eastAsia="ru-RU"/>
        </w:rPr>
        <w:br/>
        <w:t>и Планов контрольной работы УФК на 2016 год, так и в рамках внеплановых контрольных мероприятий.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Всего в 2016 году ЦАФК проведено 81 контрольное мероприятие </w:t>
      </w:r>
      <w:r>
        <w:rPr>
          <w:rFonts w:ascii="Times New Roman" w:eastAsia="Times New Roman" w:hAnsi="Times New Roman"/>
          <w:color w:val="000000" w:themeColor="text1"/>
          <w:sz w:val="28"/>
          <w:szCs w:val="28"/>
          <w:lang w:eastAsia="ru-RU"/>
        </w:rPr>
        <w:br/>
        <w:t xml:space="preserve">по 61 пункту Плана контрольных мероприятий на 2016 год (I и II разделы), по 13 пунктам Плана контрольных мероприятий на 2016 год проведены проверки в рамках централизованных заданий под руководством ЦАФК, </w:t>
      </w:r>
      <w:r>
        <w:rPr>
          <w:rFonts w:ascii="Times New Roman" w:eastAsia="Times New Roman" w:hAnsi="Times New Roman"/>
          <w:color w:val="000000" w:themeColor="text1"/>
          <w:sz w:val="28"/>
          <w:szCs w:val="28"/>
          <w:lang w:eastAsia="ru-RU"/>
        </w:rPr>
        <w:br/>
        <w:t xml:space="preserve">по 1 пункту Плана контрольных мероприятий на 2016 год контрольное мероприятие было отменено по объективным причинам. Кроме того, в 2016 году ЦАФК проведено 32 внеплановых контрольных мероприятий. </w:t>
      </w:r>
      <w:r>
        <w:rPr>
          <w:rFonts w:ascii="Times New Roman" w:eastAsia="Times New Roman" w:hAnsi="Times New Roman"/>
          <w:color w:val="000000" w:themeColor="text1"/>
          <w:sz w:val="28"/>
          <w:szCs w:val="28"/>
          <w:lang w:eastAsia="ru-RU"/>
        </w:rPr>
        <w:br/>
        <w:t xml:space="preserve">По результатам проведенных контрольных мероприятий направлены </w:t>
      </w:r>
      <w:r>
        <w:rPr>
          <w:rFonts w:ascii="Times New Roman" w:eastAsia="Times New Roman" w:hAnsi="Times New Roman"/>
          <w:color w:val="000000" w:themeColor="text1"/>
          <w:sz w:val="28"/>
          <w:szCs w:val="28"/>
          <w:lang w:eastAsia="ru-RU"/>
        </w:rPr>
        <w:br/>
        <w:t>55 докладов в Минфин России.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Информация по проведенным контрольным мероприятиям в разрезе управлений ЦАФК приведена в таблице 16:</w:t>
      </w:r>
    </w:p>
    <w:p>
      <w:pPr>
        <w:tabs>
          <w:tab w:val="left" w:pos="851"/>
        </w:tabs>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Arial Unicode MS" w:hAnsi="Times New Roman"/>
          <w:color w:val="000000" w:themeColor="text1"/>
          <w:kern w:val="24"/>
          <w:sz w:val="28"/>
          <w:szCs w:val="28"/>
          <w:lang w:eastAsia="ru-RU"/>
        </w:rPr>
        <w:t>Таблица 16</w:t>
      </w:r>
    </w:p>
    <w:tbl>
      <w:tblPr>
        <w:tblStyle w:val="13"/>
        <w:tblW w:w="9020" w:type="dxa"/>
        <w:jc w:val="center"/>
        <w:tblInd w:w="-1322" w:type="dxa"/>
        <w:tblLook w:val="04A0" w:firstRow="1" w:lastRow="0" w:firstColumn="1" w:lastColumn="0" w:noHBand="0" w:noVBand="1"/>
      </w:tblPr>
      <w:tblGrid>
        <w:gridCol w:w="4857"/>
        <w:gridCol w:w="2558"/>
        <w:gridCol w:w="1605"/>
      </w:tblGrid>
      <w:tr>
        <w:trPr>
          <w:jc w:val="center"/>
        </w:trPr>
        <w:tc>
          <w:tcPr>
            <w:tcW w:w="4857" w:type="dxa"/>
            <w:shd w:val="clear" w:color="auto" w:fill="A6A6A6" w:themeFill="background1" w:themeFillShade="A6"/>
            <w:vAlign w:val="center"/>
          </w:tcPr>
          <w:p>
            <w:pPr>
              <w:tabs>
                <w:tab w:val="left" w:pos="851"/>
              </w:tabs>
              <w:jc w:val="center"/>
              <w:rPr>
                <w:rFonts w:ascii="Times New Roman" w:hAnsi="Times New Roman"/>
                <w:b/>
                <w:color w:val="000000" w:themeColor="text1"/>
                <w:lang w:eastAsia="ru-RU"/>
              </w:rPr>
            </w:pPr>
            <w:r>
              <w:rPr>
                <w:rFonts w:ascii="Times New Roman" w:hAnsi="Times New Roman"/>
                <w:b/>
                <w:color w:val="000000" w:themeColor="text1"/>
                <w:lang w:eastAsia="ru-RU"/>
              </w:rPr>
              <w:t>Наименование управления ЦАФК</w:t>
            </w:r>
          </w:p>
        </w:tc>
        <w:tc>
          <w:tcPr>
            <w:tcW w:w="2558" w:type="dxa"/>
            <w:shd w:val="clear" w:color="auto" w:fill="A6A6A6" w:themeFill="background1" w:themeFillShade="A6"/>
            <w:vAlign w:val="center"/>
          </w:tcPr>
          <w:p>
            <w:pPr>
              <w:tabs>
                <w:tab w:val="left" w:pos="851"/>
              </w:tabs>
              <w:jc w:val="center"/>
              <w:rPr>
                <w:rFonts w:ascii="Times New Roman" w:hAnsi="Times New Roman"/>
                <w:b/>
                <w:color w:val="000000" w:themeColor="text1"/>
                <w:lang w:eastAsia="ru-RU"/>
              </w:rPr>
            </w:pPr>
            <w:r>
              <w:rPr>
                <w:rFonts w:ascii="Times New Roman" w:hAnsi="Times New Roman"/>
                <w:b/>
                <w:color w:val="000000" w:themeColor="text1"/>
                <w:lang w:eastAsia="ru-RU"/>
              </w:rPr>
              <w:t>Проведено плановых контрольных мероприятий</w:t>
            </w:r>
          </w:p>
          <w:p>
            <w:pPr>
              <w:tabs>
                <w:tab w:val="left" w:pos="851"/>
              </w:tabs>
              <w:jc w:val="center"/>
              <w:rPr>
                <w:rFonts w:ascii="Times New Roman" w:hAnsi="Times New Roman"/>
                <w:b/>
                <w:color w:val="000000" w:themeColor="text1"/>
                <w:lang w:eastAsia="ru-RU"/>
              </w:rPr>
            </w:pPr>
            <w:r>
              <w:rPr>
                <w:rFonts w:ascii="Times New Roman" w:hAnsi="Times New Roman"/>
                <w:color w:val="000000" w:themeColor="text1"/>
                <w:sz w:val="20"/>
                <w:szCs w:val="20"/>
                <w:lang w:eastAsia="ru-RU"/>
              </w:rPr>
              <w:t>(по I и II разделам Плана Федерального казначейства на 2016 год)</w:t>
            </w:r>
          </w:p>
        </w:tc>
        <w:tc>
          <w:tcPr>
            <w:tcW w:w="1605" w:type="dxa"/>
            <w:shd w:val="clear" w:color="auto" w:fill="A6A6A6" w:themeFill="background1" w:themeFillShade="A6"/>
            <w:vAlign w:val="center"/>
          </w:tcPr>
          <w:p>
            <w:pPr>
              <w:tabs>
                <w:tab w:val="left" w:pos="851"/>
              </w:tabs>
              <w:jc w:val="center"/>
              <w:rPr>
                <w:rFonts w:ascii="Times New Roman" w:hAnsi="Times New Roman"/>
                <w:b/>
                <w:color w:val="000000" w:themeColor="text1"/>
                <w:lang w:eastAsia="ru-RU"/>
              </w:rPr>
            </w:pPr>
            <w:r>
              <w:rPr>
                <w:rFonts w:ascii="Times New Roman" w:hAnsi="Times New Roman"/>
                <w:b/>
                <w:color w:val="000000" w:themeColor="text1"/>
                <w:lang w:eastAsia="ru-RU"/>
              </w:rPr>
              <w:t>Проведено внеплановых контрольных мероприятий</w:t>
            </w:r>
          </w:p>
        </w:tc>
      </w:tr>
      <w:tr>
        <w:trPr>
          <w:jc w:val="center"/>
        </w:trPr>
        <w:tc>
          <w:tcPr>
            <w:tcW w:w="4857" w:type="dxa"/>
            <w:tcBorders>
              <w:bottom w:val="single" w:sz="4" w:space="0" w:color="auto"/>
            </w:tcBorders>
          </w:tcPr>
          <w:p>
            <w:pPr>
              <w:tabs>
                <w:tab w:val="left" w:pos="851"/>
              </w:tabs>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Контрольно-ревизионное управление в сфере национальной безопасности, правоохранительной деятельности, судебной системе и оборонном комплексе</w:t>
            </w:r>
          </w:p>
        </w:tc>
        <w:tc>
          <w:tcPr>
            <w:tcW w:w="2558"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15</w:t>
            </w:r>
          </w:p>
        </w:tc>
        <w:tc>
          <w:tcPr>
            <w:tcW w:w="1605"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3</w:t>
            </w:r>
          </w:p>
        </w:tc>
      </w:tr>
      <w:tr>
        <w:trPr>
          <w:jc w:val="center"/>
        </w:trPr>
        <w:tc>
          <w:tcPr>
            <w:tcW w:w="4857" w:type="dxa"/>
            <w:shd w:val="clear" w:color="auto" w:fill="D9D9D9" w:themeFill="background1" w:themeFillShade="D9"/>
          </w:tcPr>
          <w:p>
            <w:pPr>
              <w:tabs>
                <w:tab w:val="left" w:pos="851"/>
              </w:tabs>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Контрольно-ревизионное управление в социальной сфере, сфере межбюджетных отношений и социального страхования</w:t>
            </w:r>
          </w:p>
        </w:tc>
        <w:tc>
          <w:tcPr>
            <w:tcW w:w="2558" w:type="dxa"/>
            <w:shd w:val="clear" w:color="auto" w:fill="D9D9D9" w:themeFill="background1" w:themeFillShade="D9"/>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24</w:t>
            </w:r>
          </w:p>
        </w:tc>
        <w:tc>
          <w:tcPr>
            <w:tcW w:w="1605" w:type="dxa"/>
            <w:shd w:val="clear" w:color="auto" w:fill="D9D9D9" w:themeFill="background1" w:themeFillShade="D9"/>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9</w:t>
            </w:r>
          </w:p>
        </w:tc>
      </w:tr>
      <w:tr>
        <w:trPr>
          <w:jc w:val="center"/>
        </w:trPr>
        <w:tc>
          <w:tcPr>
            <w:tcW w:w="4857" w:type="dxa"/>
            <w:tcBorders>
              <w:bottom w:val="single" w:sz="4" w:space="0" w:color="auto"/>
            </w:tcBorders>
          </w:tcPr>
          <w:p>
            <w:pPr>
              <w:tabs>
                <w:tab w:val="left" w:pos="851"/>
              </w:tabs>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 xml:space="preserve">Контрольно-ревизионное управление в </w:t>
            </w:r>
            <w:r>
              <w:rPr>
                <w:rFonts w:ascii="Times New Roman" w:hAnsi="Times New Roman"/>
                <w:color w:val="000000" w:themeColor="text1"/>
                <w:sz w:val="24"/>
                <w:szCs w:val="24"/>
                <w:lang w:eastAsia="ru-RU"/>
              </w:rPr>
              <w:lastRenderedPageBreak/>
              <w:t>сфере развития экономики</w:t>
            </w:r>
          </w:p>
        </w:tc>
        <w:tc>
          <w:tcPr>
            <w:tcW w:w="2558"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lastRenderedPageBreak/>
              <w:t>14</w:t>
            </w:r>
          </w:p>
        </w:tc>
        <w:tc>
          <w:tcPr>
            <w:tcW w:w="1605"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6</w:t>
            </w:r>
          </w:p>
        </w:tc>
      </w:tr>
      <w:tr>
        <w:trPr>
          <w:jc w:val="center"/>
        </w:trPr>
        <w:tc>
          <w:tcPr>
            <w:tcW w:w="4857" w:type="dxa"/>
            <w:shd w:val="clear" w:color="auto" w:fill="D9D9D9" w:themeFill="background1" w:themeFillShade="D9"/>
          </w:tcPr>
          <w:p>
            <w:pPr>
              <w:tabs>
                <w:tab w:val="left" w:pos="851"/>
              </w:tabs>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lastRenderedPageBreak/>
              <w:t>Управление по контролю в сфере контрактных отношений</w:t>
            </w:r>
          </w:p>
        </w:tc>
        <w:tc>
          <w:tcPr>
            <w:tcW w:w="2558" w:type="dxa"/>
            <w:shd w:val="clear" w:color="auto" w:fill="D9D9D9" w:themeFill="background1" w:themeFillShade="D9"/>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28</w:t>
            </w:r>
          </w:p>
        </w:tc>
        <w:tc>
          <w:tcPr>
            <w:tcW w:w="1605" w:type="dxa"/>
            <w:shd w:val="clear" w:color="auto" w:fill="D9D9D9" w:themeFill="background1" w:themeFillShade="D9"/>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3</w:t>
            </w:r>
          </w:p>
        </w:tc>
      </w:tr>
      <w:tr>
        <w:trPr>
          <w:trHeight w:val="391"/>
          <w:jc w:val="center"/>
        </w:trPr>
        <w:tc>
          <w:tcPr>
            <w:tcW w:w="4857" w:type="dxa"/>
            <w:tcBorders>
              <w:bottom w:val="single" w:sz="4" w:space="0" w:color="auto"/>
            </w:tcBorders>
            <w:vAlign w:val="center"/>
          </w:tcPr>
          <w:p>
            <w:pPr>
              <w:tabs>
                <w:tab w:val="left" w:pos="851"/>
              </w:tabs>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Управление ведомственных проектов</w:t>
            </w:r>
          </w:p>
        </w:tc>
        <w:tc>
          <w:tcPr>
            <w:tcW w:w="2558"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eastAsia="Times New Roman" w:hAnsi="Times New Roman"/>
                <w:color w:val="000000" w:themeColor="text1"/>
                <w:sz w:val="28"/>
                <w:szCs w:val="28"/>
                <w:lang w:eastAsia="ru-RU"/>
              </w:rPr>
              <w:t>–</w:t>
            </w:r>
          </w:p>
        </w:tc>
        <w:tc>
          <w:tcPr>
            <w:tcW w:w="1605" w:type="dxa"/>
            <w:tcBorders>
              <w:bottom w:val="single" w:sz="4" w:space="0" w:color="auto"/>
            </w:tcBorders>
            <w:vAlign w:val="center"/>
          </w:tcPr>
          <w:p>
            <w:pPr>
              <w:tabs>
                <w:tab w:val="left" w:pos="851"/>
              </w:tabs>
              <w:jc w:val="right"/>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11</w:t>
            </w:r>
          </w:p>
        </w:tc>
      </w:tr>
      <w:tr>
        <w:trPr>
          <w:trHeight w:val="425"/>
          <w:jc w:val="center"/>
        </w:trPr>
        <w:tc>
          <w:tcPr>
            <w:tcW w:w="4857" w:type="dxa"/>
            <w:shd w:val="clear" w:color="auto" w:fill="A6A6A6" w:themeFill="background1" w:themeFillShade="A6"/>
            <w:vAlign w:val="center"/>
          </w:tcPr>
          <w:p>
            <w:pPr>
              <w:tabs>
                <w:tab w:val="left" w:pos="851"/>
              </w:tabs>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Итого</w:t>
            </w:r>
          </w:p>
        </w:tc>
        <w:tc>
          <w:tcPr>
            <w:tcW w:w="2558" w:type="dxa"/>
            <w:shd w:val="clear" w:color="auto" w:fill="A6A6A6" w:themeFill="background1" w:themeFillShade="A6"/>
            <w:vAlign w:val="center"/>
          </w:tcPr>
          <w:p>
            <w:pPr>
              <w:tabs>
                <w:tab w:val="left" w:pos="851"/>
              </w:tabs>
              <w:jc w:val="right"/>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81</w:t>
            </w:r>
          </w:p>
        </w:tc>
        <w:tc>
          <w:tcPr>
            <w:tcW w:w="1605" w:type="dxa"/>
            <w:shd w:val="clear" w:color="auto" w:fill="A6A6A6" w:themeFill="background1" w:themeFillShade="A6"/>
            <w:vAlign w:val="center"/>
          </w:tcPr>
          <w:p>
            <w:pPr>
              <w:tabs>
                <w:tab w:val="left" w:pos="851"/>
              </w:tabs>
              <w:jc w:val="right"/>
              <w:rPr>
                <w:rFonts w:ascii="Times New Roman" w:hAnsi="Times New Roman"/>
                <w:b/>
                <w:color w:val="000000" w:themeColor="text1"/>
                <w:sz w:val="24"/>
                <w:szCs w:val="24"/>
                <w:lang w:eastAsia="ru-RU"/>
              </w:rPr>
            </w:pPr>
            <w:r>
              <w:rPr>
                <w:rFonts w:ascii="Times New Roman" w:hAnsi="Times New Roman"/>
                <w:b/>
                <w:color w:val="000000" w:themeColor="text1"/>
                <w:sz w:val="24"/>
                <w:szCs w:val="24"/>
                <w:lang w:eastAsia="ru-RU"/>
              </w:rPr>
              <w:t>32</w:t>
            </w:r>
          </w:p>
        </w:tc>
      </w:tr>
    </w:tbl>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 в 2016 году центральным аппаратом Росфиннадзора были проведены: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1 контрольное мероприятие по направлению в сфере национальной безопасности, правоохранительной деятельности, судебной системы </w:t>
      </w:r>
      <w:r>
        <w:rPr>
          <w:rFonts w:ascii="Times New Roman" w:eastAsia="Times New Roman" w:hAnsi="Times New Roman"/>
          <w:color w:val="000000" w:themeColor="text1"/>
          <w:sz w:val="28"/>
          <w:szCs w:val="28"/>
          <w:lang w:eastAsia="ru-RU"/>
        </w:rPr>
        <w:br/>
        <w:t>и оборонного комплекса;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2 контрольных мероприятия в сфере развития экономики </w:t>
      </w:r>
      <w:r>
        <w:rPr>
          <w:rFonts w:ascii="Times New Roman" w:eastAsia="Times New Roman" w:hAnsi="Times New Roman"/>
          <w:color w:val="000000" w:themeColor="text1"/>
          <w:sz w:val="28"/>
          <w:szCs w:val="28"/>
          <w:lang w:eastAsia="ru-RU"/>
        </w:rPr>
        <w:br/>
        <w:t xml:space="preserve">и 1 контрольное мероприятие – в сфере контрактных отношений, </w:t>
      </w:r>
      <w:r>
        <w:rPr>
          <w:rFonts w:ascii="Times New Roman" w:eastAsia="Times New Roman" w:hAnsi="Times New Roman"/>
          <w:color w:val="000000" w:themeColor="text1"/>
          <w:sz w:val="28"/>
          <w:szCs w:val="28"/>
          <w:lang w:eastAsia="ru-RU"/>
        </w:rPr>
        <w:br/>
        <w:t>а контрольные мероприятия, проведенные территориальными органами Росфиннадзора в 2016 году, включены в отчетность Федерального казначейства за 2016 год в рамках внеплановых контрольных мероприятий.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w:t>
      </w:r>
      <w:r>
        <w:rPr>
          <w:rFonts w:ascii="Times New Roman" w:eastAsia="Times New Roman" w:hAnsi="Times New Roman"/>
          <w:color w:val="000000" w:themeColor="text1"/>
          <w:sz w:val="28"/>
          <w:szCs w:val="28"/>
          <w:lang w:val="en-US" w:eastAsia="ru-RU"/>
        </w:rPr>
        <w:t>III</w:t>
      </w:r>
      <w:r>
        <w:rPr>
          <w:rFonts w:ascii="Times New Roman" w:eastAsia="Times New Roman" w:hAnsi="Times New Roman"/>
          <w:color w:val="000000" w:themeColor="text1"/>
          <w:sz w:val="28"/>
          <w:szCs w:val="28"/>
          <w:lang w:eastAsia="ru-RU"/>
        </w:rPr>
        <w:t xml:space="preserve"> раздела Плана контрольных мероприятий на 2017 год Контрольно-ревизионное управление в социальной сфере, сфере межбюджетных отношений и социального страхования приняло участие </w:t>
      </w:r>
      <w:r>
        <w:rPr>
          <w:rFonts w:ascii="Times New Roman" w:eastAsia="Times New Roman" w:hAnsi="Times New Roman"/>
          <w:color w:val="000000" w:themeColor="text1"/>
          <w:sz w:val="28"/>
          <w:szCs w:val="28"/>
          <w:lang w:eastAsia="ru-RU"/>
        </w:rPr>
        <w:br/>
        <w:t>в ревизии финансово-хозяйственной деятельности Исполнительной дирекции Межгосударственного фонда гуманитарного сотрудничества государств-участников СНГ за 2014–2015 годы и Секретариата Совета Межпарламентской Ассамблеи государств-участников СНГ, Контрольно-ревизионное управление в сфере национальной безопасности, правоохранительной деятельности, судебной системе и оборонном комплексе – в ревизии финансово-хозяйственной деятельности Координационной службы Совета командующих Пограничными войсками, Бюро по координации борьбы с организованной преступностью и иными опасными видами преступлений на территории государств-участников СНГ, а также Секретариата Координационного совета генеральных прокуроров государств-участников СНГ.</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 ЦАФК и УФК в 2016 году проведены 1 362 внеплановых контрольных мероприятия в финансово-бюджетной сфере. Внеплановые проверки проводились на основании обращений органов прокуратуры Российской Федерации, ФСБ России, МВД России, Следственный Комитет Российской Федерации, ФАС России, аппаратов полномочных представителей Президента Российской Федерации в федеральных округах, жалоб граждан и юридических лиц.</w:t>
      </w:r>
    </w:p>
    <w:p>
      <w:pPr>
        <w:pageBreakBefore/>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3.1.4. Контроль в сфере контрактных отношений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разделом II Плана контрольных мероприятий </w:t>
      </w:r>
      <w:r>
        <w:rPr>
          <w:rFonts w:ascii="Times New Roman" w:eastAsia="Times New Roman" w:hAnsi="Times New Roman"/>
          <w:color w:val="000000" w:themeColor="text1"/>
          <w:sz w:val="28"/>
          <w:szCs w:val="28"/>
          <w:lang w:eastAsia="ru-RU"/>
        </w:rPr>
        <w:br/>
        <w:t xml:space="preserve">на 2016 год Управлением по контролю в сфере контрактных отношений проведены 28 камеральных проверок планирования закупок </w:t>
      </w:r>
      <w:r>
        <w:rPr>
          <w:rFonts w:ascii="Times New Roman" w:eastAsia="Times New Roman" w:hAnsi="Times New Roman"/>
          <w:color w:val="000000" w:themeColor="text1"/>
          <w:sz w:val="28"/>
          <w:szCs w:val="28"/>
          <w:lang w:eastAsia="ru-RU"/>
        </w:rPr>
        <w:br/>
        <w:t xml:space="preserve">для обеспечения государственных нужд, а также 3 внеплановые проверки Министерства обороны Российской Федерации.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в пяти субъектах Российской Федерации (г. Москва, Хабаровский край, Новосибирская область, Ростовская область, республика Татарстан) по централизованному заданию Федерального казначейства проведены плановые выездные проверки осуществления органами государственного финансового контроля, являющимися органами исполнительной власти субъектов Российской Федерации, контроля </w:t>
      </w:r>
      <w:r>
        <w:rPr>
          <w:rFonts w:ascii="Times New Roman" w:eastAsia="Times New Roman" w:hAnsi="Times New Roman"/>
          <w:color w:val="000000" w:themeColor="text1"/>
          <w:sz w:val="28"/>
          <w:szCs w:val="28"/>
          <w:lang w:eastAsia="ru-RU"/>
        </w:rPr>
        <w:br/>
        <w:t xml:space="preserve">за соблюдением законодательства Российской Федерации о контрактной системе. Выявлено 6 нарушений. </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рамках проведенных камеральных проверок проанализированы планы-графики размещения заказов на поставку товаров, выполнение работ, оказание услуг для обеспечения государственных нужд на 2016 год, содержащие 2 727 позиций, совокупный объем закупок по которым составляет 53 140 177,05 тыс. рублей. Выборочным методом проверено 2 333 позиции на общую сумму 19 549 880,0 тыс. рублей. Выявлено 219 нарушений в части обоснования начальной (максимальной) цены контрактов, общая сумма позиций с нарушениями составляет 3 249 828,93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проведенных внеплановых камеральных проверок Министерства обороны Российской Федерации совокупный объем проанализированных закупок составил 822 555,879 тыс. рублей. </w:t>
      </w:r>
      <w:r>
        <w:rPr>
          <w:rFonts w:ascii="Times New Roman" w:eastAsia="Times New Roman" w:hAnsi="Times New Roman"/>
          <w:color w:val="000000" w:themeColor="text1"/>
          <w:sz w:val="28"/>
          <w:szCs w:val="28"/>
          <w:lang w:eastAsia="ru-RU"/>
        </w:rPr>
        <w:br/>
        <w:t>Выявлено 5 нарушений в части обоснования начальной (максимальной) цены контрактов, общая сумма позиций с нарушениями составляет 407 538,627 тыс.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осуществлен контроль за соблюдением ФОИВ правил нормирования в сфере закупок, предусмотренного </w:t>
      </w:r>
      <w:hyperlink r:id="rId117" w:history="1">
        <w:r>
          <w:rPr>
            <w:rFonts w:ascii="Times New Roman" w:eastAsia="Times New Roman" w:hAnsi="Times New Roman"/>
            <w:color w:val="000000" w:themeColor="text1"/>
            <w:sz w:val="28"/>
            <w:szCs w:val="28"/>
            <w:lang w:eastAsia="ru-RU"/>
          </w:rPr>
          <w:t>статьей 19</w:t>
        </w:r>
      </w:hyperlink>
      <w:r>
        <w:rPr>
          <w:rFonts w:ascii="Times New Roman" w:eastAsia="Times New Roman" w:hAnsi="Times New Roman"/>
          <w:color w:val="000000" w:themeColor="text1"/>
          <w:sz w:val="28"/>
          <w:szCs w:val="28"/>
          <w:lang w:eastAsia="ru-RU"/>
        </w:rPr>
        <w:t xml:space="preserve"> Федерального закона № 44-ФЗ. Выявлено 83 нарушения Правил определения нормативных затрат на обеспечение функций федеральных государственных органов, органов управления государственными внебюджетными фондами Российской Федерации, включая соответственно территориальные органы и подведомственные казенные учреждения, утвержденных постановлением Правительства Российской Федерации </w:t>
      </w:r>
      <w:r>
        <w:rPr>
          <w:rFonts w:ascii="Times New Roman" w:eastAsia="Times New Roman" w:hAnsi="Times New Roman"/>
          <w:color w:val="000000" w:themeColor="text1"/>
          <w:sz w:val="28"/>
          <w:szCs w:val="28"/>
          <w:lang w:eastAsia="ru-RU"/>
        </w:rPr>
        <w:br/>
        <w:t xml:space="preserve">от 20 октября 2014 г. № 1084, Требований к порядку разработки и принятия правовых актов о нормировании в сфере закупок для обеспечения </w:t>
      </w:r>
      <w:r>
        <w:rPr>
          <w:rFonts w:ascii="Times New Roman" w:eastAsia="Times New Roman" w:hAnsi="Times New Roman"/>
          <w:color w:val="000000" w:themeColor="text1"/>
          <w:sz w:val="28"/>
          <w:szCs w:val="28"/>
          <w:lang w:eastAsia="ru-RU"/>
        </w:rPr>
        <w:lastRenderedPageBreak/>
        <w:t xml:space="preserve">федеральных нужд, содержанию указанных актов и обеспечению </w:t>
      </w:r>
      <w:r>
        <w:rPr>
          <w:rFonts w:ascii="Times New Roman" w:eastAsia="Times New Roman" w:hAnsi="Times New Roman"/>
          <w:color w:val="000000" w:themeColor="text1"/>
          <w:sz w:val="28"/>
          <w:szCs w:val="28"/>
          <w:lang w:eastAsia="ru-RU"/>
        </w:rPr>
        <w:br/>
        <w:t xml:space="preserve">их исполнения, утвержденных постановлением Правительства Российской Федерации от 19 мая 2015 г. № 479, и Правил определения требований </w:t>
      </w:r>
      <w:r>
        <w:rPr>
          <w:rFonts w:ascii="Times New Roman" w:eastAsia="Times New Roman" w:hAnsi="Times New Roman"/>
          <w:color w:val="000000" w:themeColor="text1"/>
          <w:sz w:val="28"/>
          <w:szCs w:val="28"/>
          <w:lang w:eastAsia="ru-RU"/>
        </w:rPr>
        <w:br/>
        <w:t xml:space="preserve">к закупаемым федеральными государственными органами, органами управления государственными внебюджетными фондами Российской Федерации, их территориальными органами и подведомственными </w:t>
      </w:r>
      <w:r>
        <w:rPr>
          <w:rFonts w:ascii="Times New Roman" w:eastAsia="Times New Roman" w:hAnsi="Times New Roman"/>
          <w:color w:val="000000" w:themeColor="text1"/>
          <w:sz w:val="28"/>
          <w:szCs w:val="28"/>
          <w:lang w:eastAsia="ru-RU"/>
        </w:rPr>
        <w:br/>
        <w:t xml:space="preserve">им казенными и бюджетными учреждениями отдельным видам товаров, работ, услуг (в том числе предельных цен товаров, работ, услуг), утвержденных постановлением Правительства Российской Федерации </w:t>
      </w:r>
      <w:r>
        <w:rPr>
          <w:rFonts w:ascii="Times New Roman" w:eastAsia="Times New Roman" w:hAnsi="Times New Roman"/>
          <w:color w:val="000000" w:themeColor="text1"/>
          <w:sz w:val="28"/>
          <w:szCs w:val="28"/>
          <w:lang w:eastAsia="ru-RU"/>
        </w:rPr>
        <w:br/>
        <w:t>от 2 сентября 2015 г. № 927.</w:t>
      </w:r>
    </w:p>
    <w:p>
      <w:pPr>
        <w:spacing w:after="120" w:line="240" w:lineRule="auto"/>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Диаграмма 43</w:t>
      </w:r>
    </w:p>
    <w:p>
      <w:pPr>
        <w:spacing w:before="120" w:after="12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noProof/>
          <w:color w:val="000000" w:themeColor="text1"/>
          <w:sz w:val="28"/>
          <w:szCs w:val="28"/>
          <w:lang w:eastAsia="ru-RU"/>
        </w:rPr>
        <w:drawing>
          <wp:anchor distT="0" distB="0" distL="114300" distR="114300" simplePos="0" relativeHeight="251675648" behindDoc="0" locked="0" layoutInCell="1" allowOverlap="1">
            <wp:simplePos x="0" y="0"/>
            <wp:positionH relativeFrom="column">
              <wp:posOffset>-17780</wp:posOffset>
            </wp:positionH>
            <wp:positionV relativeFrom="paragraph">
              <wp:posOffset>424815</wp:posOffset>
            </wp:positionV>
            <wp:extent cx="5891530" cy="3569970"/>
            <wp:effectExtent l="0" t="0" r="0" b="0"/>
            <wp:wrapSquare wrapText="bothSides"/>
            <wp:docPr id="10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Pr>
          <w:rFonts w:ascii="Times New Roman" w:eastAsia="Times New Roman" w:hAnsi="Times New Roman"/>
          <w:b/>
          <w:color w:val="000000" w:themeColor="text1"/>
          <w:sz w:val="28"/>
          <w:szCs w:val="28"/>
          <w:lang w:eastAsia="ru-RU"/>
        </w:rPr>
        <w:t>Контрольные мероприятия ЦАФК в сфере закупок</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результатам проведенных проверок выданы 15 предписаний </w:t>
      </w:r>
      <w:r>
        <w:rPr>
          <w:rFonts w:ascii="Times New Roman" w:eastAsia="Times New Roman" w:hAnsi="Times New Roman"/>
          <w:color w:val="000000" w:themeColor="text1"/>
          <w:sz w:val="28"/>
          <w:szCs w:val="28"/>
          <w:lang w:eastAsia="ru-RU"/>
        </w:rPr>
        <w:br/>
        <w:t xml:space="preserve">об устранении нарушений законодательства Российской Федерации иных НПА о контрактной системе в сфере закупок товаров, работ, услуг </w:t>
      </w:r>
      <w:r>
        <w:rPr>
          <w:rFonts w:ascii="Times New Roman" w:eastAsia="Times New Roman" w:hAnsi="Times New Roman"/>
          <w:color w:val="000000" w:themeColor="text1"/>
          <w:sz w:val="28"/>
          <w:szCs w:val="28"/>
          <w:lang w:eastAsia="ru-RU"/>
        </w:rPr>
        <w:br/>
        <w:t xml:space="preserve">для обеспечения государственных и муниципальных нужд, направлены </w:t>
      </w:r>
      <w:r>
        <w:rPr>
          <w:rFonts w:ascii="Times New Roman" w:eastAsia="Times New Roman" w:hAnsi="Times New Roman"/>
          <w:color w:val="000000" w:themeColor="text1"/>
          <w:sz w:val="28"/>
          <w:szCs w:val="28"/>
          <w:lang w:eastAsia="ru-RU"/>
        </w:rPr>
        <w:br/>
        <w:t xml:space="preserve">26 информационных писем о недопущении нарушений законодательства Российской Федерации в сфере закупок товаров, работу, услуг </w:t>
      </w:r>
      <w:r>
        <w:rPr>
          <w:rFonts w:ascii="Times New Roman" w:eastAsia="Times New Roman" w:hAnsi="Times New Roman"/>
          <w:color w:val="000000" w:themeColor="text1"/>
          <w:sz w:val="28"/>
          <w:szCs w:val="28"/>
          <w:lang w:eastAsia="ru-RU"/>
        </w:rPr>
        <w:br/>
        <w:t>в дальнейшем.</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 наиболее часто встречающимся нарушениям в сфере закупок товаров, работ, услуг для обеспечения государственных нужд в 2016 году относятся:</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нарушение требований пунктов 1, 2 </w:t>
      </w:r>
      <w:hyperlink r:id="rId119" w:history="1">
        <w:r>
          <w:rPr>
            <w:rFonts w:ascii="Times New Roman" w:eastAsia="Times New Roman" w:hAnsi="Times New Roman"/>
            <w:color w:val="000000" w:themeColor="text1"/>
            <w:sz w:val="28"/>
            <w:szCs w:val="28"/>
            <w:lang w:eastAsia="ru-RU"/>
          </w:rPr>
          <w:t>части 18</w:t>
        </w:r>
      </w:hyperlink>
      <w:r>
        <w:rPr>
          <w:rFonts w:ascii="Times New Roman" w:eastAsia="Times New Roman" w:hAnsi="Times New Roman"/>
          <w:color w:val="000000" w:themeColor="text1"/>
          <w:sz w:val="28"/>
          <w:szCs w:val="28"/>
          <w:lang w:eastAsia="ru-RU"/>
        </w:rPr>
        <w:t xml:space="preserve"> статьи 22 Федерального закона № 44-ФЗ. Использование ненадлежащих общедоступных источников информации с целью обоснования начальной (максимальной) цены контракта;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нарушение требований части 3 и части 5 статьи 22 Федерального закона № 44-ФЗ. Использование в обосновании начальной (максимальной) цены контракта коммерческих предложений, не соответствующих требованиям Федерального закона № 44-ФЗ и обоснования, содержащие ошибочные расчеты;</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нарушение требований пунктов 5, 14 Требований к порядку разработки и принятия правовых актов о нормировании в сфере закупок </w:t>
      </w:r>
      <w:r>
        <w:rPr>
          <w:rFonts w:ascii="Times New Roman" w:eastAsia="Times New Roman" w:hAnsi="Times New Roman"/>
          <w:color w:val="000000" w:themeColor="text1"/>
          <w:sz w:val="28"/>
          <w:szCs w:val="28"/>
          <w:lang w:eastAsia="ru-RU"/>
        </w:rPr>
        <w:br/>
        <w:t xml:space="preserve">для обеспечения федеральных нужд, содержанию указанных актов </w:t>
      </w:r>
      <w:r>
        <w:rPr>
          <w:rFonts w:ascii="Times New Roman" w:eastAsia="Times New Roman" w:hAnsi="Times New Roman"/>
          <w:color w:val="000000" w:themeColor="text1"/>
          <w:sz w:val="28"/>
          <w:szCs w:val="28"/>
          <w:lang w:eastAsia="ru-RU"/>
        </w:rPr>
        <w:br/>
        <w:t xml:space="preserve">и обеспечению их исполнения, утвержденных постановлением Правительства Российской Федерации от 19 мая 2015 г. № 479. Проекты приказов о нормативных затратах, требованиях к отдельным видам товаров, работ, услуг и пояснительная записка к ним не размещались в ЕИС </w:t>
      </w:r>
      <w:r>
        <w:rPr>
          <w:rFonts w:ascii="Times New Roman" w:eastAsia="Times New Roman" w:hAnsi="Times New Roman"/>
          <w:color w:val="000000" w:themeColor="text1"/>
          <w:sz w:val="28"/>
          <w:szCs w:val="28"/>
          <w:lang w:eastAsia="ru-RU"/>
        </w:rPr>
        <w:br/>
        <w:t xml:space="preserve">для проведения обсуждения в целях общественного контроля, требование </w:t>
      </w:r>
      <w:r>
        <w:rPr>
          <w:rFonts w:ascii="Times New Roman" w:eastAsia="Times New Roman" w:hAnsi="Times New Roman"/>
          <w:color w:val="000000" w:themeColor="text1"/>
          <w:sz w:val="28"/>
          <w:szCs w:val="28"/>
          <w:lang w:eastAsia="ru-RU"/>
        </w:rPr>
        <w:br/>
        <w:t>о ежегодном пересмотре нормативных затрат не выполнялось;</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нарушение требований пункта 2 постановления Правительства Российской Федерации от 20 октября 2014 г. № 1084 «О порядке определения нормативных затрат на обеспечение функций федеральных государственных органов, органов управления государственными внебюджетными фондами Российской Федерации, включая соответственно территориальные органы и подведомственные казенные учреждения». Нормативные затраты утверждены позднее установленного срока – 31 декабря 2014 года;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нарушение требований пункта 5 Правил определения нормативных затрат на обеспечение функций федеральный государственных органов, органов управления государственными внебюджетными фондами Российской Федерации, включая соответственно территориальные органы и подведомственные казенные учреждения, утвержденных постановлением Правительства Российской Федерации от 20 октября 2014 г. № 1084 </w:t>
      </w:r>
      <w:r>
        <w:rPr>
          <w:rFonts w:ascii="Times New Roman" w:eastAsia="Times New Roman" w:hAnsi="Times New Roman"/>
          <w:color w:val="000000" w:themeColor="text1"/>
          <w:sz w:val="28"/>
          <w:szCs w:val="28"/>
          <w:lang w:eastAsia="ru-RU"/>
        </w:rPr>
        <w:br/>
        <w:t xml:space="preserve">«О порядке определения нормативных затрат на обеспечение функций федеральных государственных органов, органов управления государственными внебюджетными фондами Российской Федерации, включая соответственно территориальные органы и подведомственные казенные учреждения». При формировании нормативных затрат </w:t>
      </w:r>
      <w:r>
        <w:rPr>
          <w:rFonts w:ascii="Times New Roman" w:eastAsia="Times New Roman" w:hAnsi="Times New Roman"/>
          <w:color w:val="000000" w:themeColor="text1"/>
          <w:sz w:val="28"/>
          <w:szCs w:val="28"/>
          <w:lang w:eastAsia="ru-RU"/>
        </w:rPr>
        <w:br/>
        <w:t>не утверждены обязательные нормативы;</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нарушение положений постановления Правительства Российской Федерации от 2 сентября 2015 г. № 927 «Об определении требований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 xml:space="preserve">к закупаемым федеральными государственными органами, органами управления государственными внебюджетными фондами Российской Федерации, их территориальными органами и подведомственными </w:t>
      </w:r>
      <w:r>
        <w:rPr>
          <w:rFonts w:ascii="Times New Roman" w:eastAsia="Times New Roman" w:hAnsi="Times New Roman"/>
          <w:color w:val="000000" w:themeColor="text1"/>
          <w:sz w:val="28"/>
          <w:szCs w:val="28"/>
          <w:lang w:eastAsia="ru-RU"/>
        </w:rPr>
        <w:br/>
        <w:t xml:space="preserve">им казенными и бюджетными учреждениями, федеральными государственными унитарными предприятиями отдельным видам товаров, работ, услуг (в том числе предельных цен товаров, работ, услуг)». </w:t>
      </w:r>
      <w:r>
        <w:rPr>
          <w:rFonts w:ascii="Times New Roman" w:eastAsia="Times New Roman" w:hAnsi="Times New Roman"/>
          <w:color w:val="000000" w:themeColor="text1"/>
          <w:sz w:val="28"/>
          <w:szCs w:val="28"/>
          <w:lang w:eastAsia="ru-RU"/>
        </w:rPr>
        <w:br/>
        <w:t xml:space="preserve">Не утверждены требования к товарам, работам, услугам, либо утверждены </w:t>
      </w:r>
      <w:r>
        <w:rPr>
          <w:rFonts w:ascii="Times New Roman" w:eastAsia="Times New Roman" w:hAnsi="Times New Roman"/>
          <w:color w:val="000000" w:themeColor="text1"/>
          <w:sz w:val="28"/>
          <w:szCs w:val="28"/>
          <w:lang w:eastAsia="ru-RU"/>
        </w:rPr>
        <w:br/>
        <w:t>с нарушением.</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ходе проведения контрольных мероприятий выявлены факты, формально соответствующие требованиям Федерального закона № 44-ФЗ, но имеющие признаки нарушений:</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для определения начальной (максимальной) цены контракта методом сопоставимых рыночных цен (анализа рынка) используются ценовые предложения от нескольких юридических лиц, которые по данным Единого государственного реестра юридических лиц (далее – ЕГРЮЛ) связанны между собой (один учредитель, директор, адрес фактического местонахождения и регистрации). Фактически при этом заказчик товаров, работ и услуг для государственных нужд направляет запрос на определение начальной (максимальной) цены контракта одному возможному бенефициару, что является нарушением части 5 статьи 22 Федерального закона № 44-ФЗ. Указанные факты могут свидетельствовать о сговоре заказчика и потенциального исполнителя с целью завышения начальной (максимальной) цены контракта;</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 2016 году подавляющим большинством субъектов контроля заключены государственные контракты на оказание услуг </w:t>
      </w:r>
      <w:r>
        <w:rPr>
          <w:rFonts w:ascii="Times New Roman" w:eastAsia="Times New Roman" w:hAnsi="Times New Roman"/>
          <w:color w:val="000000" w:themeColor="text1"/>
          <w:sz w:val="28"/>
          <w:szCs w:val="28"/>
          <w:lang w:eastAsia="ru-RU"/>
        </w:rPr>
        <w:br/>
        <w:t xml:space="preserve">по автотранспортному обеспечению. При проведении проверки обоснования начальной (максимальной) цены указанных контрактов выявлен большой разброс цен на оказание автотранспортных услуг </w:t>
      </w:r>
      <w:r>
        <w:rPr>
          <w:rFonts w:ascii="Times New Roman" w:eastAsia="Times New Roman" w:hAnsi="Times New Roman"/>
          <w:color w:val="000000" w:themeColor="text1"/>
          <w:sz w:val="28"/>
          <w:szCs w:val="28"/>
          <w:lang w:eastAsia="ru-RU"/>
        </w:rPr>
        <w:br/>
        <w:t>по аналогичным автомобилям и условиям эксплуатации;</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 рамках анализа планов-графиков размещения заказов на поставку товаров, выполнение работ, оказание услуг для обеспечения государственных нужд на 2016 год выявлены факты необоснованного планирования и осуществления закупок, работы по предмету которых должны осуществляться ФОИВ в соответствии с его учредительными документами (аутсорсинг).</w:t>
      </w:r>
    </w:p>
    <w:p>
      <w:pPr>
        <w:spacing w:after="0" w:line="360" w:lineRule="atLeast"/>
        <w:ind w:firstLine="708"/>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Минфин России направлены предложения по совершенствованию законодательства Российской Федерации в части недопущения указанных составов нарушений в дальнейшем.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Продолжено совершенствование механизмов внутреннего государственного финансового контроля, 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подготовлен проект приказа Федерального казначейства </w:t>
      </w:r>
      <w:r>
        <w:rPr>
          <w:rFonts w:ascii="Times New Roman" w:eastAsia="Times New Roman" w:hAnsi="Times New Roman"/>
          <w:color w:val="000000" w:themeColor="text1"/>
          <w:sz w:val="28"/>
          <w:szCs w:val="28"/>
          <w:lang w:eastAsia="ru-RU"/>
        </w:rPr>
        <w:br/>
        <w:t xml:space="preserve">«Об утверждении Общих требований к осуществлению органами государственного (муниципального) финансового контроля, являющимися органами (должностными лицами) исполнительной власти субъектов Российской Федерации (местных администраций), контроля </w:t>
      </w:r>
      <w:r>
        <w:rPr>
          <w:rFonts w:ascii="Times New Roman" w:eastAsia="Times New Roman" w:hAnsi="Times New Roman"/>
          <w:color w:val="000000" w:themeColor="text1"/>
          <w:sz w:val="28"/>
          <w:szCs w:val="28"/>
          <w:lang w:eastAsia="ru-RU"/>
        </w:rPr>
        <w:br/>
        <w:t xml:space="preserve">за соблюдением Федерального закона «О контрактной системе в сфере закупок товаров, работ, услуг для обеспечения государственных </w:t>
      </w:r>
      <w:r>
        <w:rPr>
          <w:rFonts w:ascii="Times New Roman" w:eastAsia="Times New Roman" w:hAnsi="Times New Roman"/>
          <w:color w:val="000000" w:themeColor="text1"/>
          <w:sz w:val="28"/>
          <w:szCs w:val="28"/>
          <w:lang w:eastAsia="ru-RU"/>
        </w:rPr>
        <w:br/>
        <w:t>и муниципальных нужд»;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подготовлен проект стандарта внутреннего государственного финансового контроля «Осуществление Федеральным казначейством контроля в сфере закупок товаров, работ, услуг для обеспечения государственных и муниципальных нужд».</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3.1.5. Контрольные комиссии Федерального казначейства </w:t>
      </w:r>
      <w:r>
        <w:rPr>
          <w:rFonts w:ascii="Times New Roman" w:hAnsi="Times New Roman"/>
          <w:b/>
          <w:color w:val="000000" w:themeColor="text1"/>
          <w:sz w:val="28"/>
          <w:szCs w:val="28"/>
        </w:rPr>
        <w:br/>
        <w:t>и управлений Федерального казначейства по субъектам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рассмотрения результатов контрольных мероприятий </w:t>
      </w:r>
      <w:r>
        <w:rPr>
          <w:rFonts w:ascii="Times New Roman" w:eastAsia="Times New Roman" w:hAnsi="Times New Roman"/>
          <w:color w:val="000000" w:themeColor="text1"/>
          <w:sz w:val="28"/>
          <w:szCs w:val="28"/>
          <w:lang w:eastAsia="ru-RU"/>
        </w:rPr>
        <w:br/>
        <w:t xml:space="preserve">в финансово-бюджетной сфере и выработки предложений для руководителя Федерального казначейства о принятии решений о реализации результатов контрольных мероприятий в финансово-бюджетной сфере, а также </w:t>
      </w:r>
      <w:r>
        <w:rPr>
          <w:rFonts w:ascii="Times New Roman" w:eastAsia="Times New Roman" w:hAnsi="Times New Roman"/>
          <w:color w:val="000000" w:themeColor="text1"/>
          <w:sz w:val="28"/>
          <w:szCs w:val="28"/>
          <w:lang w:eastAsia="ru-RU"/>
        </w:rPr>
        <w:br/>
        <w:t xml:space="preserve">по результатам рассмотрения жалоб на представления, предписания ТОФК приказом Федерального казначейства от 6 июня 2016 года № 185 </w:t>
      </w:r>
      <w:r>
        <w:rPr>
          <w:rFonts w:ascii="Times New Roman" w:eastAsia="Times New Roman" w:hAnsi="Times New Roman"/>
          <w:color w:val="000000" w:themeColor="text1"/>
          <w:sz w:val="28"/>
          <w:szCs w:val="28"/>
          <w:lang w:eastAsia="ru-RU"/>
        </w:rPr>
        <w:br/>
        <w:t xml:space="preserve">«О создании Контрольной комиссии Федерального казначейства» создана Контрольная комиссия Федерального казначейства, утверждены Положение о Контрольной комиссии Федерального казначейства и ее состав.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Организационно-техническое обеспечение деятельности Контрольной комиссии Федерального казначейства возложено на Управление планирования и отчетности контрольно-надзорной деятельности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повышения качества организационно-технического обеспечения проведения заседаний Контрольной комиссии Федерального казначейства руководителем Федерального казначейства Р.Е. Артюхиным утвержден Перечень мероприятий по обеспечению подготовки </w:t>
      </w:r>
      <w:r>
        <w:rPr>
          <w:rFonts w:ascii="Times New Roman" w:eastAsia="Times New Roman" w:hAnsi="Times New Roman"/>
          <w:color w:val="000000" w:themeColor="text1"/>
          <w:sz w:val="28"/>
          <w:szCs w:val="28"/>
          <w:lang w:eastAsia="ru-RU"/>
        </w:rPr>
        <w:br/>
        <w:t xml:space="preserve">и проведения заседаний Контрольной комиссии Федерального казначейства.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поручением руководителя Федерального казначейства Р.Е. Артюхина от 27 июня 2016 г. № 07-04-05/21-467 созданы 84 контрольные комиссии УФК, координация деятельности которых </w:t>
      </w:r>
      <w:r>
        <w:rPr>
          <w:rFonts w:ascii="Times New Roman" w:eastAsia="Times New Roman" w:hAnsi="Times New Roman"/>
          <w:color w:val="000000" w:themeColor="text1"/>
          <w:sz w:val="28"/>
          <w:szCs w:val="28"/>
          <w:lang w:eastAsia="ru-RU"/>
        </w:rPr>
        <w:br/>
        <w:t xml:space="preserve">для обеспечения единых подходов при проведении заседаний контрольных комиссий и оформлении документов по их результатам возложена </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на Управление планирования и отчетности контрольно-надзорной деятельности.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состоялись 34 заседания Контрольной комиссии Федерального казначейства, на которых рассматривались результаты плановых и внеплановых контрольных мероприятий, в том числе проведенных УФК по централизованным заданиям.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заседаниях Контрольной комиссии Федерального казначейства </w:t>
      </w:r>
      <w:r>
        <w:rPr>
          <w:rFonts w:ascii="Times New Roman" w:eastAsia="Times New Roman" w:hAnsi="Times New Roman"/>
          <w:color w:val="000000" w:themeColor="text1"/>
          <w:sz w:val="28"/>
          <w:szCs w:val="28"/>
          <w:lang w:eastAsia="ru-RU"/>
        </w:rPr>
        <w:br/>
        <w:t xml:space="preserve">на постоянной основе участвовали представители Минфина России, также приглашались представители объектов контроля. На заседаниях Контрольной комиссии Федерального казначейства проводились обсуждения выявленных нарушений и представленных объектами контроля возражений на акты проверок, с учетом которых Контрольной комиссией Федерального казначейства подготавливались предложения руководителю Федерального казначейства Р.Е. Артюхину для принятия решений </w:t>
      </w:r>
      <w:r>
        <w:rPr>
          <w:rFonts w:ascii="Times New Roman" w:eastAsia="Times New Roman" w:hAnsi="Times New Roman"/>
          <w:color w:val="000000" w:themeColor="text1"/>
          <w:sz w:val="28"/>
          <w:szCs w:val="28"/>
          <w:lang w:eastAsia="ru-RU"/>
        </w:rPr>
        <w:br/>
        <w:t xml:space="preserve">по реализации результатов контрольных мероприятий. Благодаря полноте учета всей вышеперечисленной информации при принятии решений удалось минимизировать случаи оспаривания в судебном порядке объектами контроля направленных им Федеральным казначейством представлений и предписаний по результатам контрольных мероприятий.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При рассмотрении результатов контрольных мероприятий, проведенных УФК по централизованным заданиям и поручениям Федерального казначейства, к участию в заседаниях Контрольной комиссии привлекалось руководство УФК и руководители групп проверок посредством видеоконференцсвязи. При всестороннем рассмотрении </w:t>
      </w:r>
      <w:r>
        <w:rPr>
          <w:rFonts w:ascii="Times New Roman" w:eastAsia="Times New Roman" w:hAnsi="Times New Roman"/>
          <w:color w:val="000000" w:themeColor="text1"/>
          <w:sz w:val="28"/>
          <w:szCs w:val="28"/>
          <w:lang w:eastAsia="ru-RU"/>
        </w:rPr>
        <w:br/>
        <w:t xml:space="preserve">и обсуждении результатов контрольных мероприятий на Контрольной комиссии Федерального казначейства вырабатывались предложения </w:t>
      </w:r>
      <w:r>
        <w:rPr>
          <w:rFonts w:ascii="Times New Roman" w:eastAsia="Times New Roman" w:hAnsi="Times New Roman"/>
          <w:color w:val="000000" w:themeColor="text1"/>
          <w:sz w:val="28"/>
          <w:szCs w:val="28"/>
          <w:lang w:eastAsia="ru-RU"/>
        </w:rPr>
        <w:br/>
        <w:t xml:space="preserve">по совершенствованию нормативной правовой базы, которые в дальнейшем направлялись в Министерство финансов Российской Федерации.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результатам заседаний Контрольной комиссии Федерального казначейства были даны 374 поручения должностным лицам ЦАФК и УФК.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координации деятельности контрольных комиссий УФК </w:t>
      </w:r>
      <w:r>
        <w:rPr>
          <w:rFonts w:ascii="Times New Roman" w:eastAsia="Times New Roman" w:hAnsi="Times New Roman"/>
          <w:color w:val="000000" w:themeColor="text1"/>
          <w:sz w:val="28"/>
          <w:szCs w:val="28"/>
          <w:lang w:eastAsia="ru-RU"/>
        </w:rPr>
        <w:br/>
        <w:t>в целях внедрения единой практики работы и обмена опытом в УФК были направлены следующие документы:</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примерная форма справки о результатах проведения контрольного мероприятия;</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график проведения заседаний Контрольной комиссии Федерального казначейства на 2016 год;</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перечень мероприятий по обеспечению подготовки и проведения заседаний Контрольной комиссии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lastRenderedPageBreak/>
        <w:t>Всего в 2016 году состоялись 1 185 заседаний контрольных комиссий УФК, на которых были рассмотрены результаты 3 171 контрольного мероприятия, из них 2 942 плановых и 229 внеплановых.</w:t>
      </w:r>
    </w:p>
    <w:p>
      <w:pPr>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По результатам рассмотрения результатов контрольных мероприятий контрольными комиссиями УФК были даны 4 142 поручения.</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3.1.6. Мониторинг контрольно-надзорной деятельности </w:t>
      </w:r>
      <w:r>
        <w:rPr>
          <w:rFonts w:ascii="Times New Roman" w:hAnsi="Times New Roman"/>
          <w:b/>
          <w:color w:val="000000" w:themeColor="text1"/>
          <w:sz w:val="28"/>
          <w:szCs w:val="28"/>
        </w:rPr>
        <w:br/>
        <w:t>в финансово-бюджетной сфере</w:t>
      </w:r>
    </w:p>
    <w:p>
      <w:pPr>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В 2016 году на постоянной основе осуществлялся мониторинг контрольно-надзорной деятельности Федерального казначейства </w:t>
      </w:r>
      <w:r>
        <w:rPr>
          <w:rFonts w:ascii="Times New Roman" w:eastAsia="Times New Roman" w:hAnsi="Times New Roman"/>
          <w:color w:val="000000" w:themeColor="text1"/>
          <w:sz w:val="28"/>
          <w:szCs w:val="24"/>
          <w:lang w:eastAsia="ru-RU"/>
        </w:rPr>
        <w:br/>
        <w:t>и еженедельное представление руководству Федерального казначейства следующей информации:</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о ходе проведения контрольных мероприятий в финансово-бюджетной сфере;</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о сроках завершения контрольных мероприятий, проводимых УФК на основании централизованных заданий, представления и рассмотрения </w:t>
      </w:r>
      <w:r>
        <w:rPr>
          <w:rFonts w:ascii="Times New Roman" w:eastAsia="Times New Roman" w:hAnsi="Times New Roman"/>
          <w:color w:val="000000" w:themeColor="text1"/>
          <w:sz w:val="28"/>
          <w:szCs w:val="24"/>
          <w:lang w:eastAsia="ru-RU"/>
        </w:rPr>
        <w:br/>
        <w:t>на Контрольной комиссии Федерального казначейства их результатов;</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о направлении Федеральным казначейством и исполнении объектами проверок предписаний, представлений по результатам контрольных мероприятий в финансово-бюджетной сфере;</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о направлении проектов уведомлений по применению бюджетных мер принуждения по результатам контрольных мероприятий в финансово-бюджетной сфере в Министерство финансов Российской Федерации, принятие и исполнение решений по результатам их рассмотрения;</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о соблюдении сроков рассмотрения обращений (поручений) граждан, членов Совета Федерации и депутатов Государственной Думы Федерального Собрания Российской Федерации, органов исполнительной власти, органов прокуратуры и правоохранительных органов о фактах нарушений (злоупотреблений);</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об исполнении протокольных поручений Контрольной комиссии Федерального казначейства.</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Ведение мониторинга позволило своевременно выявлять риски нарушения сроков осуществления Федеральным казначейством отдельных действий в рамках исполнения контрольно-надзорных функций </w:t>
      </w:r>
      <w:r>
        <w:rPr>
          <w:rFonts w:ascii="Times New Roman" w:hAnsi="Times New Roman"/>
          <w:color w:val="000000" w:themeColor="text1"/>
          <w:sz w:val="28"/>
          <w:szCs w:val="28"/>
          <w:lang w:eastAsia="ru-RU"/>
        </w:rPr>
        <w:br/>
        <w:t>и принимать меры для их недопущения, а также своевременного устранения причин их возникновения.</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в целях обобщения практики контрольно-надзорной деятельности в финансово-бюджетной сфере подготовлен и 30 декабря </w:t>
      </w:r>
      <w:r>
        <w:rPr>
          <w:rFonts w:ascii="Times New Roman" w:hAnsi="Times New Roman"/>
          <w:color w:val="000000" w:themeColor="text1"/>
          <w:sz w:val="28"/>
          <w:szCs w:val="28"/>
          <w:lang w:eastAsia="ru-RU"/>
        </w:rPr>
        <w:br/>
        <w:t xml:space="preserve">2016 года утвержден руководителем Федерального казначейства Р.Е. Артюхиным Порядок составления обзоров нарушений, выявленных </w:t>
      </w:r>
      <w:r>
        <w:rPr>
          <w:rFonts w:ascii="Times New Roman" w:hAnsi="Times New Roman"/>
          <w:color w:val="000000" w:themeColor="text1"/>
          <w:sz w:val="28"/>
          <w:szCs w:val="28"/>
          <w:lang w:eastAsia="ru-RU"/>
        </w:rPr>
        <w:lastRenderedPageBreak/>
        <w:t xml:space="preserve">Федеральным казначейством в ходе проведения контрольных мероприятий в финансово-бюджетной сфере. Работа по своду и обобщению материалов для включения в обзоры нарушений по итогам 2016 года запланирована </w:t>
      </w:r>
      <w:r>
        <w:rPr>
          <w:rFonts w:ascii="Times New Roman" w:hAnsi="Times New Roman"/>
          <w:color w:val="000000" w:themeColor="text1"/>
          <w:sz w:val="28"/>
          <w:szCs w:val="28"/>
          <w:lang w:eastAsia="ru-RU"/>
        </w:rPr>
        <w:br/>
        <w:t>на январь-февраль 2017 года.</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Направление таких обзоров ГРБС и руководителям высших исполнительных органов государственной власти субъектов Российской Федерации (в части, касающейся) нацелено на повышение бюджетной дисциплины и создание условий для своевременного предотвращения нарушений, аналогичных выявленным Федеральным казначейством </w:t>
      </w:r>
      <w:r>
        <w:rPr>
          <w:rFonts w:ascii="Times New Roman" w:hAnsi="Times New Roman"/>
          <w:color w:val="000000" w:themeColor="text1"/>
          <w:sz w:val="28"/>
          <w:szCs w:val="28"/>
          <w:lang w:eastAsia="ru-RU"/>
        </w:rPr>
        <w:br/>
        <w:t>в отчетном периоде. Также планируется направление в УФК обзоров нарушений, выявленных в ходе контрольных мероприятий в субъектах Российской Федерации, и рекомендаций для групп проверок по результатам рассмотрения таких мероприятий на Контрольной комиссии Федерального казначейства.</w:t>
      </w:r>
    </w:p>
    <w:p>
      <w:pPr>
        <w:tabs>
          <w:tab w:val="left" w:pos="851"/>
        </w:tabs>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3.1.7. Осуществление систематического сбора, обобщения, анализа и представления информации о результатах контрольных мероприятий</w:t>
      </w:r>
    </w:p>
    <w:p>
      <w:pPr>
        <w:autoSpaceDE w:val="0"/>
        <w:autoSpaceDN w:val="0"/>
        <w:adjustRightInd w:val="0"/>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При осуществлении полномочий по систематическому сбору, обобщению, анализу и представлению информации о результатах контрольных мероприятий в рамках выполнения функции по контролю </w:t>
      </w:r>
      <w:r>
        <w:rPr>
          <w:rFonts w:ascii="Times New Roman" w:eastAsiaTheme="minorHAnsi" w:hAnsi="Times New Roman"/>
          <w:color w:val="000000" w:themeColor="text1"/>
          <w:sz w:val="28"/>
          <w:szCs w:val="28"/>
        </w:rPr>
        <w:br/>
        <w:t xml:space="preserve">и надзору в финансово-бюджетной сфере использовался действовавший </w:t>
      </w:r>
      <w:r>
        <w:rPr>
          <w:rFonts w:ascii="Times New Roman" w:eastAsiaTheme="minorHAnsi" w:hAnsi="Times New Roman"/>
          <w:color w:val="000000" w:themeColor="text1"/>
          <w:sz w:val="28"/>
          <w:szCs w:val="28"/>
        </w:rPr>
        <w:br/>
        <w:t>в Росфиннадзоре прикладной программный продукт, обеспечивающий формирование отчетности в автоматизированном режиме.</w:t>
      </w:r>
    </w:p>
    <w:p>
      <w:pPr>
        <w:autoSpaceDE w:val="0"/>
        <w:autoSpaceDN w:val="0"/>
        <w:adjustRightInd w:val="0"/>
        <w:spacing w:after="0" w:line="360" w:lineRule="atLeast"/>
        <w:ind w:firstLine="540"/>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Федеральным казначейством в целях совершенствования процесса сбора и обработки информации о результатах контрольных мероприятий, проводимых в рамках выполнения функции по контролю и надзору </w:t>
      </w:r>
      <w:r>
        <w:rPr>
          <w:rFonts w:ascii="Times New Roman" w:eastAsiaTheme="minorHAnsi" w:hAnsi="Times New Roman"/>
          <w:color w:val="000000" w:themeColor="text1"/>
          <w:sz w:val="28"/>
          <w:szCs w:val="28"/>
        </w:rPr>
        <w:br/>
        <w:t xml:space="preserve">в финансово-бюджетной сфере, издан приказ </w:t>
      </w:r>
      <w:r>
        <w:rPr>
          <w:rFonts w:ascii="Times New Roman" w:hAnsi="Times New Roman"/>
          <w:color w:val="000000" w:themeColor="text1"/>
          <w:sz w:val="28"/>
          <w:szCs w:val="28"/>
          <w:lang w:eastAsia="ru-RU"/>
        </w:rPr>
        <w:t xml:space="preserve">Федерального казначейства </w:t>
      </w:r>
      <w:r>
        <w:rPr>
          <w:rFonts w:ascii="Times New Roman" w:hAnsi="Times New Roman"/>
          <w:color w:val="000000" w:themeColor="text1"/>
          <w:sz w:val="28"/>
          <w:szCs w:val="28"/>
          <w:lang w:eastAsia="ru-RU"/>
        </w:rPr>
        <w:br/>
      </w:r>
      <w:r>
        <w:rPr>
          <w:rFonts w:ascii="Times New Roman" w:eastAsiaTheme="minorHAnsi" w:hAnsi="Times New Roman"/>
          <w:color w:val="000000" w:themeColor="text1"/>
          <w:sz w:val="28"/>
          <w:szCs w:val="28"/>
        </w:rPr>
        <w:t xml:space="preserve">от 26 декабря 2016 г. № 494 «О представлении отчетности, информации, сведений и документов о проведении контрольных мероприятий </w:t>
      </w:r>
      <w:r>
        <w:rPr>
          <w:rFonts w:ascii="Times New Roman" w:eastAsiaTheme="minorHAnsi" w:hAnsi="Times New Roman"/>
          <w:color w:val="000000" w:themeColor="text1"/>
          <w:sz w:val="28"/>
          <w:szCs w:val="28"/>
        </w:rPr>
        <w:br/>
        <w:t>в финансово-бюджетной сфере».</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Издание указанного приказа было направлено на установление порядка систематического сбора отчетных данных от структурных подразделений ЦАФК и УФК, внедрение механизма автоматизированного сбора отчетных данных, позволяющих оценить уровень достижения результатов контрольно-надзорной деятельности, а также формировать отчетные данные, направляемые Федеральным казначейством по итогам отчетного года в Министерство финансов Российской Федерации </w:t>
      </w:r>
      <w:r>
        <w:rPr>
          <w:rFonts w:ascii="Times New Roman" w:eastAsiaTheme="minorHAnsi" w:hAnsi="Times New Roman"/>
          <w:color w:val="000000" w:themeColor="text1"/>
          <w:sz w:val="28"/>
          <w:szCs w:val="28"/>
        </w:rPr>
        <w:br/>
        <w:t>и Федеральную службу государственной статистики.</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 xml:space="preserve">3.1.8. Анализ результатов контрольных мероприятий Федерального казначейства и его территориальных органов </w:t>
      </w:r>
      <w:r>
        <w:rPr>
          <w:rFonts w:ascii="Times New Roman" w:hAnsi="Times New Roman"/>
          <w:b/>
          <w:color w:val="000000" w:themeColor="text1"/>
          <w:sz w:val="28"/>
          <w:szCs w:val="28"/>
        </w:rPr>
        <w:br/>
        <w:t>в финансово-бюджетной сфере</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rPr>
      </w:pPr>
      <w:bookmarkStart w:id="6" w:name="_Toc416429958"/>
      <w:r>
        <w:rPr>
          <w:rFonts w:ascii="Times New Roman" w:hAnsi="Times New Roman"/>
          <w:b/>
          <w:color w:val="000000" w:themeColor="text1"/>
          <w:sz w:val="28"/>
          <w:szCs w:val="28"/>
        </w:rPr>
        <w:t>3.1.8.1. Объем проверенных средств</w:t>
      </w:r>
      <w:bookmarkEnd w:id="6"/>
      <w:r>
        <w:rPr>
          <w:rFonts w:ascii="Times New Roman" w:hAnsi="Times New Roman"/>
          <w:b/>
          <w:color w:val="000000" w:themeColor="text1"/>
          <w:sz w:val="28"/>
          <w:szCs w:val="28"/>
        </w:rPr>
        <w:t xml:space="preserve"> </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rPr>
        <w:t xml:space="preserve">Проведение </w:t>
      </w:r>
      <w:r>
        <w:rPr>
          <w:rFonts w:ascii="Times New Roman" w:eastAsia="Times New Roman" w:hAnsi="Times New Roman"/>
          <w:color w:val="000000" w:themeColor="text1"/>
          <w:sz w:val="28"/>
          <w:szCs w:val="28"/>
          <w:lang w:eastAsia="ru-RU"/>
        </w:rPr>
        <w:t xml:space="preserve">в </w:t>
      </w:r>
      <w:r>
        <w:rPr>
          <w:rFonts w:ascii="Times New Roman" w:eastAsia="Times New Roman" w:hAnsi="Times New Roman"/>
          <w:color w:val="000000" w:themeColor="text1"/>
          <w:sz w:val="28"/>
          <w:szCs w:val="28"/>
          <w:lang w:val="en-US" w:eastAsia="ru-RU"/>
        </w:rPr>
        <w:t>I</w:t>
      </w:r>
      <w:r>
        <w:rPr>
          <w:rFonts w:ascii="Times New Roman" w:eastAsia="Times New Roman" w:hAnsi="Times New Roman"/>
          <w:color w:val="000000" w:themeColor="text1"/>
          <w:sz w:val="28"/>
          <w:szCs w:val="28"/>
          <w:lang w:eastAsia="ru-RU"/>
        </w:rPr>
        <w:t xml:space="preserve"> полугодии 2016 года организационно-штатных мероприятий в соответствии с Указом Президента № 41 явилось причиной того, что</w:t>
      </w:r>
      <w:r>
        <w:rPr>
          <w:rFonts w:ascii="Times New Roman" w:hAnsi="Times New Roman"/>
          <w:color w:val="000000" w:themeColor="text1"/>
          <w:sz w:val="28"/>
          <w:szCs w:val="28"/>
        </w:rPr>
        <w:t xml:space="preserve"> плановая контрольная деятельность осуществлялась Федеральным казначейством в </w:t>
      </w:r>
      <w:r>
        <w:rPr>
          <w:rFonts w:ascii="Times New Roman" w:hAnsi="Times New Roman"/>
          <w:color w:val="000000" w:themeColor="text1"/>
          <w:sz w:val="28"/>
          <w:szCs w:val="28"/>
          <w:lang w:eastAsia="ru-RU"/>
        </w:rPr>
        <w:t xml:space="preserve">соответствии с </w:t>
      </w:r>
      <w:r>
        <w:rPr>
          <w:rFonts w:ascii="Times New Roman" w:hAnsi="Times New Roman"/>
          <w:color w:val="000000" w:themeColor="text1"/>
          <w:sz w:val="28"/>
          <w:szCs w:val="28"/>
        </w:rPr>
        <w:t xml:space="preserve">Планом контрольных мероприятий </w:t>
      </w:r>
      <w:r>
        <w:rPr>
          <w:rFonts w:ascii="Times New Roman" w:hAnsi="Times New Roman"/>
          <w:color w:val="000000" w:themeColor="text1"/>
          <w:sz w:val="28"/>
          <w:szCs w:val="28"/>
        </w:rPr>
        <w:br/>
        <w:t xml:space="preserve">на 2016 год и Планами контрольной работы УФК на 2016 год только </w:t>
      </w:r>
      <w:r>
        <w:rPr>
          <w:rFonts w:ascii="Times New Roman" w:hAnsi="Times New Roman"/>
          <w:color w:val="000000" w:themeColor="text1"/>
          <w:sz w:val="28"/>
          <w:szCs w:val="28"/>
        </w:rPr>
        <w:br/>
      </w:r>
      <w:r>
        <w:rPr>
          <w:rFonts w:ascii="Times New Roman" w:hAnsi="Times New Roman"/>
          <w:color w:val="000000" w:themeColor="text1"/>
          <w:sz w:val="28"/>
          <w:szCs w:val="28"/>
          <w:lang w:eastAsia="ru-RU"/>
        </w:rPr>
        <w:t xml:space="preserve">во II полугодии 2016 года, что привело к снижению количественных показателей по сравнению с показателями исполнения функции </w:t>
      </w:r>
      <w:r>
        <w:rPr>
          <w:rFonts w:ascii="Times New Roman" w:hAnsi="Times New Roman"/>
          <w:color w:val="000000" w:themeColor="text1"/>
          <w:sz w:val="28"/>
          <w:szCs w:val="28"/>
          <w:lang w:eastAsia="ru-RU"/>
        </w:rPr>
        <w:br/>
        <w:t xml:space="preserve">по контролю и надзору в финансово-бюджетной сфере, осуществлявшейся </w:t>
      </w:r>
      <w:proofErr w:type="spellStart"/>
      <w:r>
        <w:rPr>
          <w:rFonts w:ascii="Times New Roman" w:hAnsi="Times New Roman"/>
          <w:color w:val="000000" w:themeColor="text1"/>
          <w:sz w:val="28"/>
          <w:szCs w:val="28"/>
          <w:lang w:eastAsia="ru-RU"/>
        </w:rPr>
        <w:t>Росфиннадзором</w:t>
      </w:r>
      <w:proofErr w:type="spellEnd"/>
      <w:r>
        <w:rPr>
          <w:rFonts w:ascii="Times New Roman" w:hAnsi="Times New Roman"/>
          <w:color w:val="000000" w:themeColor="text1"/>
          <w:sz w:val="28"/>
          <w:szCs w:val="28"/>
          <w:lang w:eastAsia="ru-RU"/>
        </w:rPr>
        <w:t xml:space="preserve"> в 2015 году.</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Так, в ходе реализации </w:t>
      </w:r>
      <w:r>
        <w:rPr>
          <w:rFonts w:ascii="Times New Roman" w:eastAsia="Times New Roman" w:hAnsi="Times New Roman"/>
          <w:color w:val="000000" w:themeColor="text1"/>
          <w:sz w:val="28"/>
          <w:szCs w:val="28"/>
          <w:lang w:eastAsia="ru-RU"/>
        </w:rPr>
        <w:t>функции по контролю и надзору в финансово-бюджетной сфере</w:t>
      </w:r>
      <w:r>
        <w:rPr>
          <w:rFonts w:ascii="Times New Roman" w:hAnsi="Times New Roman"/>
          <w:color w:val="000000" w:themeColor="text1"/>
          <w:sz w:val="28"/>
          <w:szCs w:val="28"/>
          <w:lang w:eastAsia="ru-RU"/>
        </w:rPr>
        <w:t xml:space="preserve"> в 2016 году </w:t>
      </w:r>
      <w:r>
        <w:rPr>
          <w:rFonts w:ascii="Times New Roman" w:eastAsia="Times New Roman" w:hAnsi="Times New Roman"/>
          <w:color w:val="000000" w:themeColor="text1"/>
          <w:sz w:val="28"/>
          <w:szCs w:val="28"/>
          <w:lang w:eastAsia="ru-RU"/>
        </w:rPr>
        <w:t xml:space="preserve">показатель </w:t>
      </w:r>
      <w:r>
        <w:rPr>
          <w:rFonts w:ascii="Times New Roman" w:hAnsi="Times New Roman"/>
          <w:color w:val="000000" w:themeColor="text1"/>
          <w:sz w:val="28"/>
          <w:szCs w:val="28"/>
          <w:lang w:eastAsia="ru-RU"/>
        </w:rPr>
        <w:t xml:space="preserve">охвата контрольными мероприятиями Федерального казначейства средств федерального бюджета, включая средства, выделенные из федерального бюджета в виде межбюджетных трансфертов, и иные виды предоставления средств </w:t>
      </w:r>
      <w:r>
        <w:rPr>
          <w:rFonts w:ascii="Times New Roman" w:hAnsi="Times New Roman"/>
          <w:color w:val="000000" w:themeColor="text1"/>
          <w:sz w:val="28"/>
          <w:szCs w:val="28"/>
          <w:lang w:eastAsia="ru-RU"/>
        </w:rPr>
        <w:br/>
        <w:t xml:space="preserve">из федерального бюджета, снизился по сравнению с показателем, определенным по итогам осуществления функции </w:t>
      </w:r>
      <w:r>
        <w:rPr>
          <w:rFonts w:ascii="Times New Roman" w:eastAsia="Times New Roman" w:hAnsi="Times New Roman"/>
          <w:color w:val="000000" w:themeColor="text1"/>
          <w:sz w:val="28"/>
          <w:szCs w:val="28"/>
          <w:lang w:eastAsia="ru-RU"/>
        </w:rPr>
        <w:t xml:space="preserve">по контролю и надзору </w:t>
      </w:r>
      <w:r>
        <w:rPr>
          <w:rFonts w:ascii="Times New Roman" w:eastAsia="Times New Roman" w:hAnsi="Times New Roman"/>
          <w:color w:val="000000" w:themeColor="text1"/>
          <w:sz w:val="28"/>
          <w:szCs w:val="28"/>
          <w:lang w:eastAsia="ru-RU"/>
        </w:rPr>
        <w:br/>
        <w:t xml:space="preserve">в финансово-бюджетной сфере в 2015 году, </w:t>
      </w:r>
      <w:r>
        <w:rPr>
          <w:rFonts w:ascii="Times New Roman" w:hAnsi="Times New Roman"/>
          <w:color w:val="000000" w:themeColor="text1"/>
          <w:sz w:val="28"/>
          <w:szCs w:val="28"/>
          <w:lang w:eastAsia="ru-RU"/>
        </w:rPr>
        <w:t>и составил 3 442,7 млрд рублей (в 2015 году этот показатель составлял 9 311,5 млрд рублей).</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целом контрольными мероприятиями, проведенными Федеральным казначейством в 2016 году, проверено распределение и использование средств федерального бюджета, государственных внебюджетных фондов </w:t>
      </w:r>
      <w:r>
        <w:rPr>
          <w:rFonts w:ascii="Times New Roman" w:hAnsi="Times New Roman"/>
          <w:color w:val="000000" w:themeColor="text1"/>
          <w:sz w:val="28"/>
          <w:szCs w:val="28"/>
          <w:lang w:eastAsia="ru-RU"/>
        </w:rPr>
        <w:br/>
        <w:t>и иных средств в сумме 5 040,9 млрд рублей (в 2015 году – 9 665,9 млрд рублей), что на 47,8 % меньше по отношению к 2015 году.</w:t>
      </w:r>
    </w:p>
    <w:p>
      <w:pPr>
        <w:tabs>
          <w:tab w:val="left" w:pos="851"/>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Охват проверенных в 2016 году средств государственных внебюджетных фондов составил 1 374,1 млрд рублей (в </w:t>
      </w:r>
      <w:r>
        <w:rPr>
          <w:rFonts w:ascii="Times New Roman" w:eastAsia="Times New Roman" w:hAnsi="Times New Roman"/>
          <w:color w:val="000000" w:themeColor="text1"/>
          <w:sz w:val="28"/>
          <w:szCs w:val="28"/>
          <w:lang w:eastAsia="ru-RU"/>
        </w:rPr>
        <w:t>2015 году этот показатель составлял 202,2 млрд рублей), что в 6,8 раз больше показателя 2015 года</w:t>
      </w:r>
      <w:r>
        <w:rPr>
          <w:rFonts w:ascii="Times New Roman" w:hAnsi="Times New Roman"/>
          <w:color w:val="000000" w:themeColor="text1"/>
          <w:sz w:val="28"/>
          <w:szCs w:val="28"/>
          <w:lang w:eastAsia="ru-RU"/>
        </w:rPr>
        <w:t>.</w:t>
      </w:r>
    </w:p>
    <w:p>
      <w:pPr>
        <w:tabs>
          <w:tab w:val="left" w:pos="851"/>
        </w:tabs>
        <w:spacing w:after="0"/>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Динамика объема проверенных средств в финансово-бюджетной сфере за 2015–2016 годы представлена в таблице 17.</w:t>
      </w:r>
    </w:p>
    <w:p>
      <w:pPr>
        <w:tabs>
          <w:tab w:val="left" w:pos="851"/>
        </w:tabs>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Arial Unicode MS" w:hAnsi="Times New Roman"/>
          <w:color w:val="000000" w:themeColor="text1"/>
          <w:kern w:val="24"/>
          <w:sz w:val="28"/>
          <w:szCs w:val="28"/>
          <w:lang w:eastAsia="ru-RU"/>
        </w:rPr>
        <w:t>Таблица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971"/>
        <w:gridCol w:w="1526"/>
        <w:gridCol w:w="971"/>
        <w:gridCol w:w="1526"/>
        <w:gridCol w:w="1524"/>
      </w:tblGrid>
      <w:tr>
        <w:trPr>
          <w:trHeight w:val="421"/>
          <w:tblHeader/>
        </w:trPr>
        <w:tc>
          <w:tcPr>
            <w:tcW w:w="1544"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Средства, распределение и использование которых проверены</w:t>
            </w:r>
          </w:p>
        </w:tc>
        <w:tc>
          <w:tcPr>
            <w:tcW w:w="1324"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Проверено средств</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в 2015 году</w:t>
            </w:r>
          </w:p>
        </w:tc>
        <w:tc>
          <w:tcPr>
            <w:tcW w:w="1323"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Проверено средств</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в 2016 году</w:t>
            </w:r>
          </w:p>
        </w:tc>
        <w:tc>
          <w:tcPr>
            <w:tcW w:w="809" w:type="pct"/>
            <w:vMerge w:val="restart"/>
            <w:tcBorders>
              <w:top w:val="single" w:sz="4" w:space="0" w:color="auto"/>
              <w:left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Соотношение объема проверенных средств (2016/2015), %</w:t>
            </w:r>
          </w:p>
        </w:tc>
      </w:tr>
      <w:tr>
        <w:trPr>
          <w:cantSplit/>
          <w:trHeight w:val="1094"/>
          <w:tblHeader/>
        </w:trPr>
        <w:tc>
          <w:tcPr>
            <w:tcW w:w="1544"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p>
        </w:tc>
        <w:tc>
          <w:tcPr>
            <w:tcW w:w="51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млрд </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рублей</w:t>
            </w:r>
          </w:p>
        </w:tc>
        <w:tc>
          <w:tcPr>
            <w:tcW w:w="809"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 xml:space="preserve">доля </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от общего объема проверенных средств, %</w:t>
            </w:r>
          </w:p>
        </w:tc>
        <w:tc>
          <w:tcPr>
            <w:tcW w:w="51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 xml:space="preserve">млрд </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рублей</w:t>
            </w:r>
          </w:p>
        </w:tc>
        <w:tc>
          <w:tcPr>
            <w:tcW w:w="809"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доля</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от общего объема проверенных средств, %</w:t>
            </w:r>
          </w:p>
        </w:tc>
        <w:tc>
          <w:tcPr>
            <w:tcW w:w="809" w:type="pct"/>
            <w:vMerge/>
            <w:tcBorders>
              <w:left w:val="single" w:sz="4" w:space="0" w:color="auto"/>
              <w:bottom w:val="single" w:sz="4" w:space="0" w:color="auto"/>
              <w:right w:val="single" w:sz="4" w:space="0" w:color="auto"/>
            </w:tcBorders>
            <w:shd w:val="clear" w:color="auto" w:fill="A6A6A6" w:themeFill="background1" w:themeFillShade="A6"/>
            <w:vAlign w:val="center"/>
          </w:tcPr>
          <w:p>
            <w:pPr>
              <w:spacing w:after="0" w:line="240" w:lineRule="auto"/>
              <w:jc w:val="center"/>
              <w:rPr>
                <w:rFonts w:ascii="Times New Roman" w:eastAsia="Times New Roman" w:hAnsi="Times New Roman"/>
                <w:b/>
                <w:color w:val="000000" w:themeColor="text1"/>
              </w:rPr>
            </w:pPr>
          </w:p>
        </w:tc>
      </w:tr>
      <w:tr>
        <w:trPr>
          <w:trHeight w:val="442"/>
        </w:trPr>
        <w:tc>
          <w:tcPr>
            <w:tcW w:w="1544"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lastRenderedPageBreak/>
              <w:t>Средства федерального бюджета, включая средства, выделенные из федерального бюджета в виде межбюджетных трансфертов, и иные виды предоставления средств из федерального бюджета</w:t>
            </w:r>
          </w:p>
        </w:tc>
        <w:tc>
          <w:tcPr>
            <w:tcW w:w="515"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9 311,5</w:t>
            </w:r>
          </w:p>
        </w:tc>
        <w:tc>
          <w:tcPr>
            <w:tcW w:w="809"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96,3</w:t>
            </w:r>
          </w:p>
        </w:tc>
        <w:tc>
          <w:tcPr>
            <w:tcW w:w="515"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3 442,7</w:t>
            </w:r>
          </w:p>
        </w:tc>
        <w:tc>
          <w:tcPr>
            <w:tcW w:w="809"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68,3</w:t>
            </w:r>
          </w:p>
        </w:tc>
        <w:tc>
          <w:tcPr>
            <w:tcW w:w="809" w:type="pct"/>
            <w:tcBorders>
              <w:top w:val="single" w:sz="4" w:space="0" w:color="auto"/>
              <w:left w:val="single" w:sz="4" w:space="0" w:color="auto"/>
              <w:bottom w:val="single" w:sz="4" w:space="0" w:color="auto"/>
              <w:right w:val="single" w:sz="4" w:space="0" w:color="auto"/>
            </w:tcBorders>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36,9</w:t>
            </w:r>
          </w:p>
        </w:tc>
      </w:tr>
      <w:tr>
        <w:tc>
          <w:tcPr>
            <w:tcW w:w="15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Средства государственных внебюджетных фондов, в том числе территориальных государственных внебюджетных фондов</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202,2</w:t>
            </w:r>
          </w:p>
        </w:tc>
        <w:tc>
          <w:tcPr>
            <w:tcW w:w="8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2,1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1374,1</w:t>
            </w:r>
          </w:p>
        </w:tc>
        <w:tc>
          <w:tcPr>
            <w:tcW w:w="8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27,3</w:t>
            </w:r>
          </w:p>
        </w:tc>
        <w:tc>
          <w:tcPr>
            <w:tcW w:w="8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679,6</w:t>
            </w:r>
          </w:p>
        </w:tc>
      </w:tr>
      <w:tr>
        <w:trPr>
          <w:trHeight w:val="1311"/>
        </w:trPr>
        <w:tc>
          <w:tcPr>
            <w:tcW w:w="1544" w:type="pct"/>
            <w:tcBorders>
              <w:top w:val="single" w:sz="4" w:space="0" w:color="auto"/>
              <w:left w:val="single" w:sz="4" w:space="0" w:color="auto"/>
              <w:bottom w:val="single" w:sz="4" w:space="0" w:color="auto"/>
              <w:right w:val="single" w:sz="4" w:space="0" w:color="auto"/>
            </w:tcBorders>
            <w:vAlign w:val="center"/>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Другие средства, включая средства Фонда содействия реформированию ЖКХ, средства, проверенные у регионального оператора</w:t>
            </w:r>
          </w:p>
        </w:tc>
        <w:tc>
          <w:tcPr>
            <w:tcW w:w="515" w:type="pct"/>
            <w:tcBorders>
              <w:top w:val="single" w:sz="4" w:space="0" w:color="auto"/>
              <w:left w:val="single" w:sz="4" w:space="0" w:color="auto"/>
              <w:bottom w:val="single" w:sz="4" w:space="0" w:color="auto"/>
              <w:right w:val="single" w:sz="4" w:space="0" w:color="auto"/>
            </w:tcBorders>
            <w:vAlign w:val="center"/>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152,2</w:t>
            </w:r>
          </w:p>
        </w:tc>
        <w:tc>
          <w:tcPr>
            <w:tcW w:w="809" w:type="pct"/>
            <w:tcBorders>
              <w:top w:val="single" w:sz="4" w:space="0" w:color="auto"/>
              <w:left w:val="single" w:sz="4" w:space="0" w:color="auto"/>
              <w:bottom w:val="single" w:sz="4" w:space="0" w:color="auto"/>
              <w:right w:val="single" w:sz="4" w:space="0" w:color="auto"/>
            </w:tcBorders>
            <w:vAlign w:val="center"/>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1,6</w:t>
            </w:r>
          </w:p>
        </w:tc>
        <w:tc>
          <w:tcPr>
            <w:tcW w:w="515" w:type="pct"/>
            <w:tcBorders>
              <w:top w:val="single" w:sz="4" w:space="0" w:color="auto"/>
              <w:left w:val="single" w:sz="4" w:space="0" w:color="auto"/>
              <w:bottom w:val="single" w:sz="4" w:space="0" w:color="auto"/>
              <w:right w:val="single" w:sz="4" w:space="0" w:color="auto"/>
            </w:tcBorders>
            <w:vAlign w:val="center"/>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224,1</w:t>
            </w:r>
          </w:p>
        </w:tc>
        <w:tc>
          <w:tcPr>
            <w:tcW w:w="809" w:type="pct"/>
            <w:tcBorders>
              <w:top w:val="single" w:sz="4" w:space="0" w:color="auto"/>
              <w:left w:val="single" w:sz="4" w:space="0" w:color="auto"/>
              <w:bottom w:val="single" w:sz="4" w:space="0" w:color="auto"/>
              <w:right w:val="single" w:sz="4" w:space="0" w:color="auto"/>
            </w:tcBorders>
            <w:vAlign w:val="center"/>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4,4</w:t>
            </w:r>
          </w:p>
        </w:tc>
        <w:tc>
          <w:tcPr>
            <w:tcW w:w="809" w:type="pct"/>
            <w:tcBorders>
              <w:top w:val="single" w:sz="4" w:space="0" w:color="auto"/>
              <w:left w:val="single" w:sz="4" w:space="0" w:color="auto"/>
              <w:bottom w:val="single" w:sz="4" w:space="0" w:color="auto"/>
              <w:right w:val="single" w:sz="4" w:space="0" w:color="auto"/>
            </w:tcBorders>
            <w:vAlign w:val="center"/>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147,2</w:t>
            </w:r>
          </w:p>
        </w:tc>
      </w:tr>
      <w:tr>
        <w:trPr>
          <w:trHeight w:val="347"/>
        </w:trPr>
        <w:tc>
          <w:tcPr>
            <w:tcW w:w="1544"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pPr>
              <w:spacing w:after="0" w:line="240" w:lineRule="auto"/>
              <w:rPr>
                <w:rFonts w:ascii="Times New Roman" w:eastAsia="Times New Roman" w:hAnsi="Times New Roman"/>
                <w:b/>
                <w:color w:val="000000" w:themeColor="text1"/>
                <w:lang w:eastAsia="ru-RU"/>
              </w:rPr>
            </w:pPr>
            <w:r>
              <w:rPr>
                <w:rFonts w:ascii="Times New Roman" w:eastAsia="Times New Roman" w:hAnsi="Times New Roman"/>
                <w:b/>
                <w:color w:val="000000" w:themeColor="text1"/>
                <w:lang w:eastAsia="ru-RU"/>
              </w:rPr>
              <w:t>Всего:</w:t>
            </w:r>
          </w:p>
        </w:tc>
        <w:tc>
          <w:tcPr>
            <w:tcW w:w="51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9 665,9</w:t>
            </w:r>
          </w:p>
        </w:tc>
        <w:tc>
          <w:tcPr>
            <w:tcW w:w="80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100</w:t>
            </w:r>
          </w:p>
        </w:tc>
        <w:tc>
          <w:tcPr>
            <w:tcW w:w="515"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5 040,9</w:t>
            </w:r>
          </w:p>
        </w:tc>
        <w:tc>
          <w:tcPr>
            <w:tcW w:w="80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100</w:t>
            </w:r>
          </w:p>
        </w:tc>
        <w:tc>
          <w:tcPr>
            <w:tcW w:w="80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52,1</w:t>
            </w:r>
          </w:p>
        </w:tc>
      </w:tr>
    </w:tbl>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xml:space="preserve">Структура государственных финансовых ресурсов, на которых </w:t>
      </w:r>
      <w:r>
        <w:rPr>
          <w:rFonts w:ascii="Times New Roman" w:hAnsi="Times New Roman"/>
          <w:color w:val="000000" w:themeColor="text1"/>
          <w:sz w:val="28"/>
          <w:szCs w:val="28"/>
        </w:rPr>
        <w:br/>
        <w:t>в 2016 году фокусировалась контрольная деятельность Федерального казначейства,</w:t>
      </w:r>
      <w:r>
        <w:rPr>
          <w:rFonts w:ascii="Times New Roman" w:hAnsi="Times New Roman"/>
          <w:i/>
          <w:color w:val="000000" w:themeColor="text1"/>
          <w:sz w:val="28"/>
          <w:szCs w:val="28"/>
        </w:rPr>
        <w:t xml:space="preserve"> </w:t>
      </w:r>
      <w:r>
        <w:rPr>
          <w:rFonts w:ascii="Times New Roman" w:hAnsi="Times New Roman"/>
          <w:color w:val="000000" w:themeColor="text1"/>
          <w:sz w:val="28"/>
          <w:szCs w:val="28"/>
        </w:rPr>
        <w:t>свидетельствует о том, что средства федерального бюджета являлись основным предметом контрольных мероприятий.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3.1.8.2. Характеристика осуществления функции по контролю </w:t>
      </w:r>
      <w:r>
        <w:rPr>
          <w:rFonts w:ascii="Times New Roman" w:hAnsi="Times New Roman"/>
          <w:b/>
          <w:color w:val="000000" w:themeColor="text1"/>
          <w:sz w:val="28"/>
          <w:szCs w:val="28"/>
        </w:rPr>
        <w:br/>
        <w:t>и надзору в финансово-бюджетной сфере</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отчетный период общее количество проведенных контрольных мероприятий составило 5 014 единицы. Контрольные мероприятия проводились следующими методами:</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ревизии и выездные проверки – 4 673;</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камеральные проверки – 227;</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обследования – 114.</w:t>
      </w:r>
    </w:p>
    <w:p>
      <w:pPr>
        <w:tabs>
          <w:tab w:val="left" w:pos="709"/>
        </w:tabs>
        <w:spacing w:after="0" w:line="360" w:lineRule="atLeast"/>
        <w:ind w:firstLine="709"/>
        <w:jc w:val="both"/>
        <w:rPr>
          <w:rFonts w:ascii="Times New Roman" w:eastAsia="Times New Roman" w:hAnsi="Times New Roman"/>
          <w:color w:val="000000" w:themeColor="text1"/>
          <w:sz w:val="24"/>
          <w:szCs w:val="24"/>
          <w:lang w:eastAsia="ru-RU"/>
        </w:rPr>
      </w:pPr>
      <w:r>
        <w:rPr>
          <w:rFonts w:ascii="Times New Roman" w:eastAsia="Times New Roman" w:hAnsi="Times New Roman"/>
          <w:snapToGrid w:val="0"/>
          <w:color w:val="000000" w:themeColor="text1"/>
          <w:sz w:val="28"/>
          <w:szCs w:val="28"/>
          <w:lang w:eastAsia="ru-RU"/>
        </w:rPr>
        <w:t xml:space="preserve">Динамика количества проведенных в 2015–2016 годах плановых </w:t>
      </w:r>
      <w:r>
        <w:rPr>
          <w:rFonts w:ascii="Times New Roman" w:eastAsia="Times New Roman" w:hAnsi="Times New Roman"/>
          <w:snapToGrid w:val="0"/>
          <w:color w:val="000000" w:themeColor="text1"/>
          <w:sz w:val="28"/>
          <w:szCs w:val="28"/>
          <w:lang w:eastAsia="ru-RU"/>
        </w:rPr>
        <w:br/>
        <w:t>и внеплановых контрольных мероприятий</w:t>
      </w:r>
      <w:r>
        <w:rPr>
          <w:rFonts w:ascii="Times New Roman" w:eastAsia="Times New Roman" w:hAnsi="Times New Roman"/>
          <w:color w:val="000000" w:themeColor="text1"/>
          <w:sz w:val="28"/>
          <w:szCs w:val="28"/>
          <w:lang w:eastAsia="ru-RU"/>
        </w:rPr>
        <w:t xml:space="preserve"> представлена в таблице 18</w:t>
      </w:r>
      <w:r>
        <w:rPr>
          <w:rFonts w:ascii="Times New Roman" w:eastAsia="Times New Roman" w:hAnsi="Times New Roman"/>
          <w:color w:val="000000" w:themeColor="text1"/>
          <w:sz w:val="24"/>
          <w:szCs w:val="24"/>
          <w:lang w:eastAsia="ru-RU"/>
        </w:rPr>
        <w:t xml:space="preserve">. </w:t>
      </w:r>
    </w:p>
    <w:p>
      <w:pPr>
        <w:tabs>
          <w:tab w:val="left" w:pos="851"/>
        </w:tabs>
        <w:spacing w:before="120" w:after="120" w:line="240" w:lineRule="auto"/>
        <w:jc w:val="right"/>
        <w:rPr>
          <w:rFonts w:ascii="Times New Roman" w:eastAsia="Arial Unicode MS" w:hAnsi="Times New Roman"/>
          <w:color w:val="000000" w:themeColor="text1"/>
          <w:kern w:val="24"/>
          <w:sz w:val="28"/>
          <w:szCs w:val="28"/>
          <w:lang w:eastAsia="ru-RU"/>
        </w:rPr>
      </w:pPr>
      <w:r>
        <w:rPr>
          <w:rFonts w:ascii="Times New Roman" w:eastAsia="Arial Unicode MS" w:hAnsi="Times New Roman"/>
          <w:color w:val="000000" w:themeColor="text1"/>
          <w:kern w:val="24"/>
          <w:sz w:val="28"/>
          <w:szCs w:val="28"/>
          <w:lang w:eastAsia="ru-RU"/>
        </w:rPr>
        <w:t>Таблица 18</w:t>
      </w:r>
    </w:p>
    <w:tbl>
      <w:tblPr>
        <w:tblW w:w="9315"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3"/>
        <w:gridCol w:w="952"/>
        <w:gridCol w:w="1701"/>
        <w:gridCol w:w="851"/>
        <w:gridCol w:w="1600"/>
        <w:gridCol w:w="1518"/>
      </w:tblGrid>
      <w:tr>
        <w:trPr>
          <w:trHeight w:val="397"/>
          <w:tblHeader/>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 xml:space="preserve">Показатели, </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 xml:space="preserve">характеризующие количество </w:t>
            </w:r>
          </w:p>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проведенных контрольных мероприятий</w:t>
            </w:r>
          </w:p>
        </w:tc>
        <w:tc>
          <w:tcPr>
            <w:tcW w:w="265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2015 год</w:t>
            </w:r>
          </w:p>
        </w:tc>
        <w:tc>
          <w:tcPr>
            <w:tcW w:w="2451"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2016 год</w:t>
            </w:r>
          </w:p>
        </w:tc>
        <w:tc>
          <w:tcPr>
            <w:tcW w:w="1518" w:type="dxa"/>
            <w:vMerge w:val="restart"/>
            <w:tcBorders>
              <w:top w:val="single" w:sz="4" w:space="0" w:color="auto"/>
              <w:left w:val="single" w:sz="4" w:space="0" w:color="auto"/>
              <w:right w:val="single" w:sz="4" w:space="0" w:color="auto"/>
            </w:tcBorders>
            <w:shd w:val="clear" w:color="auto" w:fill="A6A6A6" w:themeFill="background1" w:themeFillShade="A6"/>
            <w:vAlign w:val="center"/>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Динамика изменений количества проведенных контрольных мероприятий (2016/2015), %</w:t>
            </w:r>
          </w:p>
        </w:tc>
      </w:tr>
      <w:tr>
        <w:trPr>
          <w:cantSplit/>
          <w:trHeight w:val="1311"/>
          <w:tblHeader/>
          <w:jc w:val="center"/>
        </w:trPr>
        <w:tc>
          <w:tcPr>
            <w:tcW w:w="2693" w:type="dxa"/>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p>
        </w:tc>
        <w:tc>
          <w:tcPr>
            <w:tcW w:w="95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ед.</w:t>
            </w:r>
          </w:p>
        </w:tc>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доля в общем количестве контрольных мероприятий, %</w:t>
            </w:r>
          </w:p>
        </w:tc>
        <w:tc>
          <w:tcPr>
            <w:tcW w:w="85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ед.</w:t>
            </w:r>
          </w:p>
        </w:tc>
        <w:tc>
          <w:tcPr>
            <w:tcW w:w="160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color w:val="000000" w:themeColor="text1"/>
                <w:sz w:val="20"/>
                <w:szCs w:val="20"/>
                <w:lang w:eastAsia="ru-RU"/>
              </w:rPr>
            </w:pPr>
            <w:r>
              <w:rPr>
                <w:rFonts w:ascii="Times New Roman" w:eastAsia="Times New Roman" w:hAnsi="Times New Roman"/>
                <w:b/>
                <w:color w:val="000000" w:themeColor="text1"/>
                <w:sz w:val="20"/>
                <w:szCs w:val="20"/>
                <w:lang w:eastAsia="ru-RU"/>
              </w:rPr>
              <w:t>доля в общем количестве контрольных мероприятий, %</w:t>
            </w:r>
          </w:p>
        </w:tc>
        <w:tc>
          <w:tcPr>
            <w:tcW w:w="1518" w:type="dxa"/>
            <w:vMerge/>
            <w:tcBorders>
              <w:left w:val="single" w:sz="4" w:space="0" w:color="auto"/>
              <w:bottom w:val="single" w:sz="4" w:space="0" w:color="auto"/>
              <w:right w:val="single" w:sz="4" w:space="0" w:color="auto"/>
            </w:tcBorders>
            <w:shd w:val="clear" w:color="auto" w:fill="A6A6A6" w:themeFill="background1" w:themeFillShade="A6"/>
          </w:tcPr>
          <w:p>
            <w:pPr>
              <w:spacing w:after="0" w:line="240" w:lineRule="auto"/>
              <w:jc w:val="center"/>
              <w:rPr>
                <w:rFonts w:ascii="Times New Roman" w:eastAsia="Times New Roman" w:hAnsi="Times New Roman"/>
                <w:b/>
                <w:color w:val="000000" w:themeColor="text1"/>
                <w:lang w:eastAsia="ru-RU"/>
              </w:rPr>
            </w:pPr>
          </w:p>
        </w:tc>
      </w:tr>
      <w:tr>
        <w:trPr>
          <w:trHeight w:val="490"/>
          <w:jc w:val="center"/>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lastRenderedPageBreak/>
              <w:t xml:space="preserve">Общее количество проведенных контрольных мероприятий, в </w:t>
            </w:r>
            <w:proofErr w:type="spellStart"/>
            <w:r>
              <w:rPr>
                <w:rFonts w:ascii="Times New Roman" w:eastAsia="Times New Roman" w:hAnsi="Times New Roman"/>
                <w:color w:val="000000" w:themeColor="text1"/>
                <w:lang w:eastAsia="ru-RU"/>
              </w:rPr>
              <w:t>т.ч</w:t>
            </w:r>
            <w:proofErr w:type="spellEnd"/>
            <w:r>
              <w:rPr>
                <w:rFonts w:ascii="Times New Roman" w:eastAsia="Times New Roman" w:hAnsi="Times New Roman"/>
                <w:color w:val="000000" w:themeColor="text1"/>
                <w:lang w:eastAsia="ru-RU"/>
              </w:rPr>
              <w:t>.:</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10 249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5 014</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100</w:t>
            </w:r>
          </w:p>
        </w:tc>
        <w:tc>
          <w:tcPr>
            <w:tcW w:w="1518" w:type="dxa"/>
            <w:tcBorders>
              <w:top w:val="single" w:sz="4" w:space="0" w:color="auto"/>
              <w:left w:val="single" w:sz="4" w:space="0" w:color="auto"/>
              <w:bottom w:val="single" w:sz="4" w:space="0" w:color="auto"/>
              <w:right w:val="single" w:sz="4" w:space="0" w:color="auto"/>
            </w:tcBorders>
          </w:tcPr>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48,9</w:t>
            </w:r>
          </w:p>
        </w:tc>
      </w:tr>
      <w:tr>
        <w:trPr>
          <w:jc w:val="center"/>
        </w:trPr>
        <w:tc>
          <w:tcPr>
            <w:tcW w:w="2693"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проведенных в соответствии с разделами I, II Плана ФК на 2016 год и разделом I Планов УФК на 2016 год</w:t>
            </w:r>
          </w:p>
        </w:tc>
        <w:tc>
          <w:tcPr>
            <w:tcW w:w="952"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5 833</w:t>
            </w:r>
          </w:p>
        </w:tc>
        <w:tc>
          <w:tcPr>
            <w:tcW w:w="1701"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56,9</w:t>
            </w:r>
          </w:p>
        </w:tc>
        <w:tc>
          <w:tcPr>
            <w:tcW w:w="851"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2 644</w:t>
            </w:r>
          </w:p>
        </w:tc>
        <w:tc>
          <w:tcPr>
            <w:tcW w:w="1600"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52,8</w:t>
            </w:r>
          </w:p>
        </w:tc>
        <w:tc>
          <w:tcPr>
            <w:tcW w:w="1518" w:type="dxa"/>
            <w:tcBorders>
              <w:top w:val="single" w:sz="4" w:space="0" w:color="auto"/>
              <w:left w:val="single" w:sz="4" w:space="0" w:color="auto"/>
              <w:bottom w:val="single" w:sz="4" w:space="0" w:color="auto"/>
              <w:right w:val="single" w:sz="4" w:space="0" w:color="auto"/>
            </w:tcBorders>
            <w:shd w:val="pct15" w:color="auto" w:fill="auto"/>
            <w:vAlign w:val="center"/>
          </w:tcPr>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45,3</w:t>
            </w:r>
          </w:p>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p>
        </w:tc>
      </w:tr>
      <w:tr>
        <w:trPr>
          <w:jc w:val="center"/>
        </w:trPr>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проведенных в соответствии с разделом II Планов УФК на 2016 год</w:t>
            </w:r>
          </w:p>
        </w:tc>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3 916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38,2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1 008</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20,1</w:t>
            </w:r>
          </w:p>
        </w:tc>
        <w:tc>
          <w:tcPr>
            <w:tcW w:w="1518" w:type="dxa"/>
            <w:tcBorders>
              <w:top w:val="single" w:sz="4" w:space="0" w:color="auto"/>
              <w:left w:val="single" w:sz="4" w:space="0" w:color="auto"/>
              <w:bottom w:val="single" w:sz="4" w:space="0" w:color="auto"/>
              <w:right w:val="single" w:sz="4" w:space="0" w:color="auto"/>
            </w:tcBorders>
          </w:tcPr>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25,7</w:t>
            </w:r>
          </w:p>
        </w:tc>
      </w:tr>
      <w:tr>
        <w:trPr>
          <w:trHeight w:val="780"/>
          <w:jc w:val="center"/>
        </w:trPr>
        <w:tc>
          <w:tcPr>
            <w:tcW w:w="2693"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внеплановых контрольных мероприятий</w:t>
            </w:r>
          </w:p>
        </w:tc>
        <w:tc>
          <w:tcPr>
            <w:tcW w:w="952"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500</w:t>
            </w:r>
          </w:p>
        </w:tc>
        <w:tc>
          <w:tcPr>
            <w:tcW w:w="1701"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4,9</w:t>
            </w:r>
          </w:p>
        </w:tc>
        <w:tc>
          <w:tcPr>
            <w:tcW w:w="851"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1 362</w:t>
            </w:r>
          </w:p>
        </w:tc>
        <w:tc>
          <w:tcPr>
            <w:tcW w:w="1600" w:type="dxa"/>
            <w:tcBorders>
              <w:top w:val="single" w:sz="4" w:space="0" w:color="auto"/>
              <w:left w:val="single" w:sz="4" w:space="0" w:color="auto"/>
              <w:bottom w:val="single" w:sz="4" w:space="0" w:color="auto"/>
              <w:right w:val="single" w:sz="4" w:space="0" w:color="auto"/>
            </w:tcBorders>
            <w:shd w:val="pct15" w:color="auto" w:fill="auto"/>
            <w:vAlign w:val="center"/>
            <w:hideMark/>
          </w:tcPr>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27,1</w:t>
            </w:r>
          </w:p>
        </w:tc>
        <w:tc>
          <w:tcPr>
            <w:tcW w:w="1518" w:type="dxa"/>
            <w:tcBorders>
              <w:top w:val="single" w:sz="4" w:space="0" w:color="auto"/>
              <w:left w:val="single" w:sz="4" w:space="0" w:color="auto"/>
              <w:bottom w:val="single" w:sz="4" w:space="0" w:color="auto"/>
              <w:right w:val="single" w:sz="4" w:space="0" w:color="auto"/>
            </w:tcBorders>
            <w:shd w:val="pct15" w:color="auto" w:fill="auto"/>
          </w:tcPr>
          <w:p>
            <w:pPr>
              <w:spacing w:after="0" w:line="240" w:lineRule="auto"/>
              <w:jc w:val="right"/>
              <w:rPr>
                <w:rFonts w:ascii="Times New Roman" w:eastAsia="Times New Roman" w:hAnsi="Times New Roman"/>
                <w:color w:val="000000" w:themeColor="text1"/>
                <w:lang w:eastAsia="ru-RU"/>
              </w:rPr>
            </w:pPr>
          </w:p>
          <w:p>
            <w:pPr>
              <w:spacing w:after="0" w:line="240" w:lineRule="auto"/>
              <w:jc w:val="right"/>
              <w:rPr>
                <w:rFonts w:ascii="Times New Roman" w:eastAsia="Times New Roman" w:hAnsi="Times New Roman"/>
                <w:color w:val="000000" w:themeColor="text1"/>
                <w:lang w:eastAsia="ru-RU"/>
              </w:rPr>
            </w:pPr>
            <w:r>
              <w:rPr>
                <w:rFonts w:ascii="Times New Roman" w:eastAsia="Times New Roman" w:hAnsi="Times New Roman"/>
                <w:color w:val="000000" w:themeColor="text1"/>
                <w:lang w:eastAsia="ru-RU"/>
              </w:rPr>
              <w:t>272,4</w:t>
            </w:r>
          </w:p>
          <w:p>
            <w:pPr>
              <w:spacing w:after="0" w:line="240" w:lineRule="auto"/>
              <w:jc w:val="right"/>
              <w:rPr>
                <w:rFonts w:ascii="Times New Roman" w:eastAsia="Times New Roman" w:hAnsi="Times New Roman"/>
                <w:color w:val="000000" w:themeColor="text1"/>
                <w:lang w:eastAsia="ru-RU"/>
              </w:rPr>
            </w:pPr>
          </w:p>
        </w:tc>
      </w:tr>
    </w:tbl>
    <w:p>
      <w:pPr>
        <w:tabs>
          <w:tab w:val="left" w:pos="709"/>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Общее количество </w:t>
      </w:r>
      <w:r>
        <w:rPr>
          <w:rFonts w:ascii="Times New Roman" w:eastAsia="Times New Roman" w:hAnsi="Times New Roman"/>
          <w:bCs/>
          <w:color w:val="000000" w:themeColor="text1"/>
          <w:sz w:val="28"/>
          <w:szCs w:val="28"/>
          <w:lang w:eastAsia="ru-RU"/>
        </w:rPr>
        <w:t>к</w:t>
      </w:r>
      <w:r>
        <w:rPr>
          <w:rFonts w:ascii="Times New Roman" w:eastAsia="Times New Roman" w:hAnsi="Times New Roman"/>
          <w:color w:val="000000" w:themeColor="text1"/>
          <w:sz w:val="28"/>
          <w:szCs w:val="28"/>
          <w:lang w:eastAsia="ru-RU"/>
        </w:rPr>
        <w:t xml:space="preserve">онтрольных мероприятий, проведенных </w:t>
      </w:r>
      <w:r>
        <w:rPr>
          <w:rFonts w:ascii="Times New Roman" w:eastAsia="Times New Roman" w:hAnsi="Times New Roman"/>
          <w:color w:val="000000" w:themeColor="text1"/>
          <w:sz w:val="28"/>
          <w:szCs w:val="28"/>
          <w:lang w:eastAsia="ru-RU"/>
        </w:rPr>
        <w:br/>
        <w:t>в отчетном году, составило 48,9 % от количества контрольных мероприятий, проведенных в 2015 году, что в годовом исчислении приближено к показателям 2015 года.</w:t>
      </w:r>
    </w:p>
    <w:p>
      <w:pPr>
        <w:tabs>
          <w:tab w:val="left" w:pos="709"/>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Увеличение доли внеплановых контрольных мероприятий в общем количестве проведенных контрольных мероприятий произошло по причине отнесения в отчетности к внеплановым мероприятиям контрольных мероприятий, проведенных, в том числе, </w:t>
      </w:r>
      <w:proofErr w:type="spellStart"/>
      <w:r>
        <w:rPr>
          <w:rFonts w:ascii="Times New Roman" w:eastAsia="Times New Roman" w:hAnsi="Times New Roman"/>
          <w:color w:val="000000" w:themeColor="text1"/>
          <w:sz w:val="28"/>
          <w:szCs w:val="28"/>
          <w:lang w:eastAsia="ru-RU"/>
        </w:rPr>
        <w:t>Росфиннадзором</w:t>
      </w:r>
      <w:proofErr w:type="spellEnd"/>
      <w:r>
        <w:rPr>
          <w:rFonts w:ascii="Times New Roman" w:eastAsia="Times New Roman" w:hAnsi="Times New Roman"/>
          <w:color w:val="000000" w:themeColor="text1"/>
          <w:sz w:val="28"/>
          <w:szCs w:val="28"/>
          <w:lang w:eastAsia="ru-RU"/>
        </w:rPr>
        <w:t>, до утверждения Плана контрольных мероприятий на 2016 год.</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w:t>
      </w:r>
      <w:r>
        <w:rPr>
          <w:rFonts w:ascii="Times New Roman" w:eastAsia="Times New Roman" w:hAnsi="Times New Roman"/>
          <w:color w:val="000000" w:themeColor="text1"/>
          <w:sz w:val="28"/>
          <w:szCs w:val="28"/>
          <w:lang w:eastAsia="ru-RU"/>
        </w:rPr>
        <w:t>полномочий, установленных Правилами осуществления Федеральным казначейством полномочий по контролю в финансово-бюджетной сфере, утвержденными Постановлением № 1092, Федеральным казначейством и УФК проведены контрольные мероприятия, количество которых в разрезе полномочий представлено на диаграмме 44.</w:t>
      </w:r>
    </w:p>
    <w:p>
      <w:pPr>
        <w:keepNext/>
        <w:autoSpaceDE w:val="0"/>
        <w:autoSpaceDN w:val="0"/>
        <w:adjustRightInd w:val="0"/>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44</w:t>
      </w:r>
    </w:p>
    <w:p>
      <w:pPr>
        <w:keepNext/>
        <w:autoSpaceDE w:val="0"/>
        <w:autoSpaceDN w:val="0"/>
        <w:adjustRightInd w:val="0"/>
        <w:spacing w:before="120" w:after="120" w:line="240" w:lineRule="auto"/>
        <w:ind w:firstLine="709"/>
        <w:jc w:val="center"/>
        <w:rPr>
          <w:rFonts w:ascii="Times New Roman" w:eastAsia="Arial Unicode MS" w:hAnsi="Times New Roman"/>
          <w:b/>
          <w:color w:val="000000" w:themeColor="text1"/>
          <w:kern w:val="24"/>
          <w:sz w:val="28"/>
          <w:szCs w:val="28"/>
        </w:rPr>
      </w:pPr>
      <w:r>
        <w:rPr>
          <w:rFonts w:ascii="Times New Roman" w:eastAsia="Arial Unicode MS" w:hAnsi="Times New Roman"/>
          <w:b/>
          <w:color w:val="000000" w:themeColor="text1"/>
          <w:kern w:val="24"/>
          <w:sz w:val="28"/>
          <w:szCs w:val="28"/>
        </w:rPr>
        <w:t>Контрольные мероприятия, осуществленные в рамках полномочий в финансово-бюджетной сфере (единицы)</w:t>
      </w:r>
    </w:p>
    <w:p>
      <w:pPr>
        <w:autoSpaceDE w:val="0"/>
        <w:autoSpaceDN w:val="0"/>
        <w:adjustRightInd w:val="0"/>
        <w:spacing w:before="120" w:after="120" w:line="240" w:lineRule="auto"/>
        <w:jc w:val="center"/>
        <w:rPr>
          <w:rFonts w:ascii="Times New Roman" w:eastAsia="Arial Unicode MS" w:hAnsi="Times New Roman"/>
          <w:b/>
          <w:color w:val="000000" w:themeColor="text1"/>
          <w:kern w:val="24"/>
          <w:sz w:val="28"/>
          <w:szCs w:val="28"/>
        </w:rPr>
      </w:pPr>
      <w:r>
        <w:rPr>
          <w:rFonts w:ascii="Times New Roman" w:eastAsia="Arial Unicode MS" w:hAnsi="Times New Roman"/>
          <w:b/>
          <w:noProof/>
          <w:color w:val="000000" w:themeColor="text1"/>
          <w:kern w:val="24"/>
          <w:sz w:val="28"/>
          <w:szCs w:val="28"/>
          <w:lang w:eastAsia="ru-RU"/>
        </w:rPr>
        <w:drawing>
          <wp:inline distT="0" distB="0" distL="0" distR="0">
            <wp:extent cx="5844209" cy="416648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200" cy="4169328"/>
                    </a:xfrm>
                    <a:prstGeom prst="rect">
                      <a:avLst/>
                    </a:prstGeom>
                    <a:noFill/>
                  </pic:spPr>
                </pic:pic>
              </a:graphicData>
            </a:graphic>
          </wp:inline>
        </w:drawing>
      </w:r>
    </w:p>
    <w:p>
      <w:pPr>
        <w:autoSpaceDE w:val="0"/>
        <w:autoSpaceDN w:val="0"/>
        <w:adjustRightInd w:val="0"/>
        <w:spacing w:before="120" w:after="120" w:line="240" w:lineRule="auto"/>
        <w:ind w:firstLine="709"/>
        <w:jc w:val="both"/>
        <w:outlineLvl w:val="3"/>
        <w:rPr>
          <w:rFonts w:ascii="Times New Roman" w:hAnsi="Times New Roman"/>
          <w:b/>
          <w:color w:val="000000" w:themeColor="text1"/>
          <w:sz w:val="28"/>
          <w:szCs w:val="28"/>
        </w:rPr>
      </w:pPr>
      <w:r>
        <w:rPr>
          <w:rFonts w:ascii="Times New Roman" w:hAnsi="Times New Roman"/>
          <w:b/>
          <w:color w:val="000000" w:themeColor="text1"/>
          <w:sz w:val="28"/>
          <w:szCs w:val="28"/>
        </w:rPr>
        <w:t>3.1.8.3. Структура выявленных нарушений по результатам проведения контрольных мероприятий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Объем нарушений, выявленных Федеральным казначейством и его территориальными органами в 2016 году, составил 682 млрд рублей </w:t>
      </w:r>
      <w:r>
        <w:rPr>
          <w:rFonts w:ascii="Times New Roman" w:hAnsi="Times New Roman"/>
          <w:color w:val="000000" w:themeColor="text1"/>
          <w:sz w:val="28"/>
          <w:szCs w:val="28"/>
        </w:rPr>
        <w:br/>
      </w:r>
      <w:r>
        <w:rPr>
          <w:rFonts w:ascii="Times New Roman" w:hAnsi="Times New Roman"/>
          <w:bCs/>
          <w:color w:val="000000" w:themeColor="text1"/>
          <w:sz w:val="28"/>
          <w:szCs w:val="28"/>
        </w:rPr>
        <w:t>или 13,5 % от общего объема проверенных бюджетных средств.</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45</w:t>
      </w:r>
    </w:p>
    <w:p>
      <w:pPr>
        <w:tabs>
          <w:tab w:val="left" w:pos="851"/>
        </w:tabs>
        <w:spacing w:after="0" w:line="240" w:lineRule="auto"/>
        <w:ind w:firstLine="709"/>
        <w:jc w:val="center"/>
        <w:rPr>
          <w:rFonts w:ascii="Times New Roman" w:eastAsia="Arial Unicode MS" w:hAnsi="Times New Roman"/>
          <w:b/>
          <w:color w:val="000000" w:themeColor="text1"/>
          <w:kern w:val="24"/>
          <w:sz w:val="28"/>
          <w:szCs w:val="28"/>
        </w:rPr>
      </w:pPr>
      <w:r>
        <w:rPr>
          <w:rFonts w:ascii="Times New Roman" w:eastAsia="Arial Unicode MS" w:hAnsi="Times New Roman"/>
          <w:b/>
          <w:color w:val="000000" w:themeColor="text1"/>
          <w:kern w:val="24"/>
          <w:sz w:val="28"/>
          <w:szCs w:val="28"/>
        </w:rPr>
        <w:t>Структура выявленных нарушений в ходе осуществления полномочий по контролю в финансово-бюджетной сфере по видам нарушений (млрд рублей)</w:t>
      </w:r>
    </w:p>
    <w:p>
      <w:pPr>
        <w:spacing w:after="0" w:line="240" w:lineRule="auto"/>
        <w:jc w:val="center"/>
        <w:rPr>
          <w:rFonts w:ascii="Times New Roman" w:eastAsia="Times New Roman" w:hAnsi="Times New Roman"/>
          <w:color w:val="000000" w:themeColor="text1"/>
          <w:sz w:val="28"/>
          <w:szCs w:val="28"/>
          <w:lang w:eastAsia="ru-RU"/>
        </w:rPr>
      </w:pPr>
      <w:r>
        <w:rPr>
          <w:rFonts w:ascii="Times New Roman" w:hAnsi="Times New Roman"/>
          <w:noProof/>
          <w:color w:val="000000" w:themeColor="text1"/>
          <w:lang w:eastAsia="ru-RU"/>
        </w:rPr>
        <w:drawing>
          <wp:inline distT="0" distB="0" distL="0" distR="0">
            <wp:extent cx="5907820" cy="5422789"/>
            <wp:effectExtent l="0" t="0" r="0" b="6985"/>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pPr>
        <w:shd w:val="clear" w:color="auto" w:fill="FFFFFF"/>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Объем выявленных наиболее серьезных финансовых нарушений </w:t>
      </w:r>
      <w:r>
        <w:rPr>
          <w:rFonts w:ascii="Times New Roman" w:eastAsia="Times New Roman" w:hAnsi="Times New Roman"/>
          <w:color w:val="000000" w:themeColor="text1"/>
          <w:sz w:val="28"/>
          <w:szCs w:val="28"/>
          <w:lang w:eastAsia="ru-RU"/>
        </w:rPr>
        <w:br/>
        <w:t>в части неправомерного, включая нецелевое, и неэффективного использования бюджетных средств составил 15,4 % от общего объема выявленных нарушений.</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состав выявленных нарушений за 2016 год вошли и иные нарушения бюджетного законодательства Российской Федерации (их доля составляет 15,4 % от общего объема выявленных нарушений), включающие следующие нарушения:</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нарушение порядка предоставления бюджетных средств, </w:t>
      </w:r>
      <w:r>
        <w:rPr>
          <w:rFonts w:ascii="Times New Roman" w:eastAsia="Times New Roman" w:hAnsi="Times New Roman"/>
          <w:color w:val="000000" w:themeColor="text1"/>
          <w:sz w:val="28"/>
          <w:szCs w:val="28"/>
          <w:lang w:eastAsia="ru-RU"/>
        </w:rPr>
        <w:br/>
        <w:t>в том числе порядка предоставления межбюджетных трансфертов;</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нарушение предоставления/получения бюджетных кредитов;</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нарушение порядка составления, утверждения и ведения бюджетных смет, несоответствие бюджетной росписи сводной бюджетной росписи;</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нарушение порядка принятия бюджетных обязательств, нарушение запрета на размещение и (или) порядка размещения бюджетных средств </w:t>
      </w:r>
      <w:r>
        <w:rPr>
          <w:rFonts w:ascii="Times New Roman" w:eastAsia="Times New Roman" w:hAnsi="Times New Roman"/>
          <w:color w:val="000000" w:themeColor="text1"/>
          <w:sz w:val="28"/>
          <w:szCs w:val="28"/>
          <w:lang w:eastAsia="ru-RU"/>
        </w:rPr>
        <w:br/>
        <w:t>на банковских депозитах либо запрета на передачу их в доверительное управление и другие.</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Объем выявленных прочих нарушений составил 47,9 % от общего объема выявленных нарушений и вырос на 41,6 % по сравнению </w:t>
      </w:r>
      <w:r>
        <w:rPr>
          <w:rFonts w:ascii="Times New Roman" w:eastAsia="Times New Roman" w:hAnsi="Times New Roman"/>
          <w:color w:val="000000" w:themeColor="text1"/>
          <w:sz w:val="28"/>
          <w:szCs w:val="28"/>
          <w:lang w:eastAsia="ru-RU"/>
        </w:rPr>
        <w:br/>
        <w:t>с 2015 годом (6,3 процентов).</w:t>
      </w:r>
    </w:p>
    <w:p>
      <w:pPr>
        <w:tabs>
          <w:tab w:val="left" w:pos="709"/>
          <w:tab w:val="left" w:pos="3444"/>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Объем выявленных нарушений в 2016 году по сравнению </w:t>
      </w:r>
      <w:r>
        <w:rPr>
          <w:rFonts w:ascii="Times New Roman" w:eastAsia="Times New Roman" w:hAnsi="Times New Roman"/>
          <w:color w:val="000000" w:themeColor="text1"/>
          <w:sz w:val="28"/>
          <w:szCs w:val="28"/>
          <w:lang w:eastAsia="ru-RU"/>
        </w:rPr>
        <w:br/>
        <w:t xml:space="preserve">с 2015 годом по закупкам товаров, работ, услуг для обеспечения государственных нужд и ведению бухгалтерского (бюджетного) учета </w:t>
      </w:r>
      <w:r>
        <w:rPr>
          <w:rFonts w:ascii="Times New Roman" w:eastAsia="Times New Roman" w:hAnsi="Times New Roman"/>
          <w:color w:val="000000" w:themeColor="text1"/>
          <w:sz w:val="28"/>
          <w:szCs w:val="28"/>
          <w:lang w:eastAsia="ru-RU"/>
        </w:rPr>
        <w:br/>
        <w:t>и представления отчетности снизился на 5,1 % , что можно считать незначительным ввиду разницы общего количества контрольных мероприятий между годами.</w:t>
      </w:r>
    </w:p>
    <w:p>
      <w:pPr>
        <w:autoSpaceDE w:val="0"/>
        <w:autoSpaceDN w:val="0"/>
        <w:adjustRightInd w:val="0"/>
        <w:spacing w:before="120" w:after="120" w:line="240" w:lineRule="auto"/>
        <w:ind w:firstLine="709"/>
        <w:jc w:val="both"/>
        <w:outlineLvl w:val="0"/>
        <w:rPr>
          <w:rFonts w:ascii="Times New Roman" w:hAnsi="Times New Roman"/>
          <w:b/>
          <w:color w:val="000000" w:themeColor="text1"/>
          <w:sz w:val="28"/>
          <w:szCs w:val="28"/>
        </w:rPr>
      </w:pPr>
      <w:bookmarkStart w:id="7" w:name="_Toc443481905"/>
      <w:r>
        <w:rPr>
          <w:rFonts w:ascii="Times New Roman" w:hAnsi="Times New Roman"/>
          <w:b/>
          <w:color w:val="000000" w:themeColor="text1"/>
          <w:sz w:val="28"/>
          <w:szCs w:val="28"/>
        </w:rPr>
        <w:t>3.1.8.4. Производство по делам об административных правонарушениях</w:t>
      </w:r>
      <w:bookmarkEnd w:id="7"/>
    </w:p>
    <w:p>
      <w:pPr>
        <w:tabs>
          <w:tab w:val="left" w:pos="851"/>
        </w:tabs>
        <w:spacing w:after="0" w:line="360" w:lineRule="atLeast"/>
        <w:ind w:firstLine="709"/>
        <w:jc w:val="both"/>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t>За 2016 год</w:t>
      </w:r>
      <w:r>
        <w:rPr>
          <w:rFonts w:ascii="Times New Roman" w:eastAsia="Times New Roman" w:hAnsi="Times New Roman"/>
          <w:color w:val="000000" w:themeColor="text1"/>
          <w:sz w:val="28"/>
          <w:szCs w:val="28"/>
          <w:lang w:eastAsia="ru-RU"/>
        </w:rPr>
        <w:t xml:space="preserve"> Федеральным казначейством</w:t>
      </w:r>
      <w:r>
        <w:rPr>
          <w:rFonts w:ascii="Times New Roman" w:eastAsia="Times New Roman" w:hAnsi="Times New Roman"/>
          <w:color w:val="000000" w:themeColor="text1"/>
          <w:spacing w:val="1"/>
          <w:sz w:val="28"/>
          <w:szCs w:val="28"/>
          <w:lang w:eastAsia="ru-RU"/>
        </w:rPr>
        <w:t xml:space="preserve"> и его территориальными органами составлены 2 119 протоколов об административных правонарушениях по статьям КоАП.</w:t>
      </w:r>
    </w:p>
    <w:p>
      <w:pPr>
        <w:tabs>
          <w:tab w:val="left" w:pos="851"/>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Количество протоколов об административных правонарушениях, составленных должностными лицами Федерального казначейства</w:t>
      </w:r>
      <w:r>
        <w:rPr>
          <w:rFonts w:ascii="Times New Roman" w:eastAsia="Times New Roman" w:hAnsi="Times New Roman"/>
          <w:color w:val="000000" w:themeColor="text1"/>
          <w:sz w:val="28"/>
          <w:szCs w:val="28"/>
          <w:lang w:eastAsia="ru-RU"/>
        </w:rPr>
        <w:br/>
        <w:t>и его территориальных органов в отношении должностных и юридических лиц в связи с выявлением нецелевого использования бюджетных средств, составило 386 единиц.</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составленным протоколам вынесены 1 492 постановления </w:t>
      </w:r>
      <w:r>
        <w:rPr>
          <w:rFonts w:ascii="Times New Roman" w:eastAsia="Times New Roman" w:hAnsi="Times New Roman"/>
          <w:color w:val="000000" w:themeColor="text1"/>
          <w:sz w:val="28"/>
          <w:szCs w:val="28"/>
          <w:lang w:eastAsia="ru-RU"/>
        </w:rPr>
        <w:br/>
        <w:t xml:space="preserve">о </w:t>
      </w:r>
      <w:r>
        <w:rPr>
          <w:rFonts w:ascii="Times New Roman" w:hAnsi="Times New Roman"/>
          <w:color w:val="000000" w:themeColor="text1"/>
          <w:sz w:val="28"/>
          <w:szCs w:val="28"/>
        </w:rPr>
        <w:t>назначении административного наказания.</w:t>
      </w:r>
      <w:r>
        <w:rPr>
          <w:rFonts w:ascii="Times New Roman" w:eastAsia="Times New Roman" w:hAnsi="Times New Roman"/>
          <w:color w:val="000000" w:themeColor="text1"/>
          <w:sz w:val="28"/>
          <w:szCs w:val="28"/>
          <w:lang w:eastAsia="ru-RU"/>
        </w:rPr>
        <w:t xml:space="preserve"> Вступили в законную силу </w:t>
      </w:r>
      <w:r>
        <w:rPr>
          <w:rFonts w:ascii="Times New Roman" w:eastAsia="Times New Roman" w:hAnsi="Times New Roman"/>
          <w:color w:val="000000" w:themeColor="text1"/>
          <w:sz w:val="28"/>
          <w:szCs w:val="28"/>
          <w:lang w:eastAsia="ru-RU"/>
        </w:rPr>
        <w:br/>
        <w:t>в отчетном году 1 505 постановлений (включая вынесенные в 2015 году) (диаграмма 46).</w:t>
      </w:r>
    </w:p>
    <w:p>
      <w:pPr>
        <w:pageBreakBefore/>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46</w:t>
      </w:r>
    </w:p>
    <w:p>
      <w:pPr>
        <w:spacing w:before="120" w:after="120" w:line="240" w:lineRule="auto"/>
        <w:ind w:firstLine="709"/>
        <w:jc w:val="center"/>
        <w:rPr>
          <w:rFonts w:ascii="Times New Roman" w:eastAsia="Arial Unicode MS" w:hAnsi="Times New Roman"/>
          <w:b/>
          <w:color w:val="000000" w:themeColor="text1"/>
          <w:kern w:val="24"/>
          <w:sz w:val="28"/>
          <w:szCs w:val="28"/>
        </w:rPr>
      </w:pPr>
      <w:r>
        <w:rPr>
          <w:rFonts w:ascii="Times New Roman" w:eastAsia="Arial Unicode MS" w:hAnsi="Times New Roman"/>
          <w:b/>
          <w:color w:val="000000" w:themeColor="text1"/>
          <w:kern w:val="24"/>
          <w:sz w:val="28"/>
          <w:szCs w:val="28"/>
        </w:rPr>
        <w:t>Реализация постановлений о привлечении к административной ответственности за нарушения законодательства Российской Федерации, выявленные при осуществлении полномочий по контролю в финансово-бюджетной сфере (единиц)</w:t>
      </w:r>
    </w:p>
    <w:p>
      <w:pPr>
        <w:autoSpaceDE w:val="0"/>
        <w:autoSpaceDN w:val="0"/>
        <w:adjustRightInd w:val="0"/>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009322" cy="2512612"/>
            <wp:effectExtent l="0" t="0" r="1270" b="2540"/>
            <wp:docPr id="113"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По фактам выявленных нарушений в 2016 году наложены административные штрафы на сумму 26,4 млн рублей. Наибольшие</w:t>
      </w:r>
      <w:r>
        <w:rPr>
          <w:rFonts w:ascii="Times New Roman" w:hAnsi="Times New Roman"/>
          <w:color w:val="000000" w:themeColor="text1"/>
          <w:sz w:val="28"/>
          <w:szCs w:val="28"/>
        </w:rPr>
        <w:t xml:space="preserve"> суммы наложенных административных штрафов приходятся на правонарушения, ответственность за которые предусмотрена статьей 15.14. «Нецелевое использование бюджетных средств» </w:t>
      </w:r>
      <w:r>
        <w:rPr>
          <w:rFonts w:ascii="Times New Roman" w:eastAsia="Times New Roman" w:hAnsi="Times New Roman"/>
          <w:color w:val="000000" w:themeColor="text1"/>
          <w:spacing w:val="1"/>
          <w:sz w:val="28"/>
          <w:szCs w:val="28"/>
          <w:lang w:eastAsia="ru-RU"/>
        </w:rPr>
        <w:t>КоАП –</w:t>
      </w:r>
      <w:r>
        <w:rPr>
          <w:rFonts w:ascii="Times New Roman" w:hAnsi="Times New Roman"/>
          <w:color w:val="000000" w:themeColor="text1"/>
          <w:sz w:val="28"/>
          <w:szCs w:val="28"/>
        </w:rPr>
        <w:t xml:space="preserve"> 7,4 млн рублей, а также статьей 15.15.6. «Нарушение порядка представления бюджетной отчетности» </w:t>
      </w:r>
      <w:r>
        <w:rPr>
          <w:rFonts w:ascii="Times New Roman" w:eastAsia="Times New Roman" w:hAnsi="Times New Roman"/>
          <w:color w:val="000000" w:themeColor="text1"/>
          <w:spacing w:val="1"/>
          <w:sz w:val="28"/>
          <w:szCs w:val="28"/>
          <w:lang w:eastAsia="ru-RU"/>
        </w:rPr>
        <w:t>КоАП</w:t>
      </w:r>
      <w:r>
        <w:rPr>
          <w:rFonts w:ascii="Times New Roman" w:hAnsi="Times New Roman"/>
          <w:color w:val="000000" w:themeColor="text1"/>
          <w:sz w:val="28"/>
          <w:szCs w:val="28"/>
        </w:rPr>
        <w:t xml:space="preserve"> </w:t>
      </w:r>
      <w:r>
        <w:rPr>
          <w:rFonts w:ascii="Times New Roman" w:eastAsia="Times New Roman" w:hAnsi="Times New Roman"/>
          <w:color w:val="000000" w:themeColor="text1"/>
          <w:spacing w:val="1"/>
          <w:sz w:val="28"/>
          <w:szCs w:val="28"/>
          <w:lang w:eastAsia="ru-RU"/>
        </w:rPr>
        <w:t>–</w:t>
      </w:r>
      <w:r>
        <w:rPr>
          <w:rFonts w:ascii="Times New Roman" w:hAnsi="Times New Roman"/>
          <w:color w:val="000000" w:themeColor="text1"/>
          <w:sz w:val="28"/>
          <w:szCs w:val="28"/>
        </w:rPr>
        <w:t xml:space="preserve"> 6,2 млн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Сумма взысканных штрафов в 2016 году составила 24,2 млн рублей.</w:t>
      </w:r>
    </w:p>
    <w:p>
      <w:pPr>
        <w:spacing w:before="120" w:after="120" w:line="360" w:lineRule="atLeast"/>
        <w:ind w:firstLine="709"/>
        <w:jc w:val="both"/>
        <w:rPr>
          <w:rFonts w:ascii="Times New Roman" w:hAnsi="Times New Roman"/>
          <w:b/>
          <w:color w:val="000000" w:themeColor="text1"/>
          <w:sz w:val="28"/>
          <w:szCs w:val="28"/>
        </w:rPr>
      </w:pPr>
      <w:bookmarkStart w:id="8" w:name="_Toc443481906"/>
      <w:r>
        <w:rPr>
          <w:rFonts w:ascii="Times New Roman" w:hAnsi="Times New Roman"/>
          <w:b/>
          <w:color w:val="000000" w:themeColor="text1"/>
          <w:sz w:val="28"/>
          <w:szCs w:val="28"/>
        </w:rPr>
        <w:t>3.1.8.5. Меры, принятые по реализации материалов ревизий (проверок), и устранению выявленных нарушений</w:t>
      </w:r>
      <w:bookmarkEnd w:id="8"/>
    </w:p>
    <w:p>
      <w:pPr>
        <w:spacing w:after="0" w:line="360" w:lineRule="atLeast"/>
        <w:ind w:firstLine="708"/>
        <w:jc w:val="both"/>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t>В рамках реализации материалов контрольных мероприятий</w:t>
      </w:r>
      <w:r>
        <w:rPr>
          <w:rFonts w:ascii="Times New Roman" w:eastAsia="Times New Roman" w:hAnsi="Times New Roman"/>
          <w:color w:val="000000" w:themeColor="text1"/>
          <w:spacing w:val="1"/>
          <w:sz w:val="28"/>
          <w:szCs w:val="28"/>
          <w:lang w:eastAsia="ru-RU"/>
        </w:rPr>
        <w:br/>
        <w:t xml:space="preserve">в 2016 году Федеральным казначейством объектам контроля направлены </w:t>
      </w:r>
      <w:r>
        <w:rPr>
          <w:rFonts w:ascii="Times New Roman" w:eastAsia="Times New Roman" w:hAnsi="Times New Roman"/>
          <w:color w:val="000000" w:themeColor="text1"/>
          <w:spacing w:val="1"/>
          <w:sz w:val="28"/>
          <w:szCs w:val="28"/>
          <w:lang w:eastAsia="ru-RU"/>
        </w:rPr>
        <w:br/>
        <w:t>2 418 представлений по нарушениям, связанным с использованием бюджетных средств, на сумму 432,6 млрд рублей.</w:t>
      </w:r>
    </w:p>
    <w:p>
      <w:pPr>
        <w:autoSpaceDE w:val="0"/>
        <w:autoSpaceDN w:val="0"/>
        <w:adjustRightInd w:val="0"/>
        <w:spacing w:after="0" w:line="360" w:lineRule="atLeast"/>
        <w:ind w:firstLine="708"/>
        <w:jc w:val="both"/>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t>По фактам выявленных нарушений бюджетного законодательства Российской Федерации и иных НПА, регулирующих бюджетные правоотношения, в истекшем году Федеральным казначейством направлены 655 предписаний по нарушениям на сумму 35,7 млрд рублей.</w:t>
      </w:r>
    </w:p>
    <w:p>
      <w:pPr>
        <w:spacing w:after="0" w:line="360" w:lineRule="atLeast"/>
        <w:ind w:firstLine="709"/>
        <w:jc w:val="both"/>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t xml:space="preserve">Реализация результатов контрольных мероприятий в абсолютном </w:t>
      </w:r>
      <w:r>
        <w:rPr>
          <w:rFonts w:ascii="Times New Roman" w:eastAsia="Times New Roman" w:hAnsi="Times New Roman"/>
          <w:color w:val="000000" w:themeColor="text1"/>
          <w:spacing w:val="1"/>
          <w:sz w:val="28"/>
          <w:szCs w:val="28"/>
          <w:lang w:eastAsia="ru-RU"/>
        </w:rPr>
        <w:br/>
        <w:t>и процентном выражении представлена на диаграмме 47.</w:t>
      </w:r>
    </w:p>
    <w:p>
      <w:pPr>
        <w:pageBreakBefore/>
        <w:spacing w:before="120" w:after="120" w:line="240" w:lineRule="auto"/>
        <w:ind w:firstLine="709"/>
        <w:jc w:val="right"/>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lastRenderedPageBreak/>
        <w:t>Диаграмма 47</w:t>
      </w:r>
    </w:p>
    <w:p>
      <w:pPr>
        <w:spacing w:before="120" w:after="120" w:line="240" w:lineRule="auto"/>
        <w:ind w:firstLine="709"/>
        <w:jc w:val="center"/>
        <w:rPr>
          <w:rFonts w:ascii="Times New Roman" w:eastAsia="Times New Roman" w:hAnsi="Times New Roman"/>
          <w:b/>
          <w:color w:val="000000" w:themeColor="text1"/>
          <w:spacing w:val="1"/>
          <w:sz w:val="28"/>
          <w:szCs w:val="28"/>
          <w:lang w:eastAsia="ru-RU"/>
        </w:rPr>
      </w:pPr>
      <w:r>
        <w:rPr>
          <w:rFonts w:ascii="Times New Roman" w:eastAsia="Arial Unicode MS" w:hAnsi="Times New Roman"/>
          <w:b/>
          <w:color w:val="000000" w:themeColor="text1"/>
          <w:kern w:val="24"/>
          <w:sz w:val="28"/>
          <w:szCs w:val="28"/>
        </w:rPr>
        <w:t>Структура мер реагирования по результатам контрольных мероприятий (единиц (%)</w:t>
      </w:r>
    </w:p>
    <w:p>
      <w:pPr>
        <w:spacing w:after="0" w:line="24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804452" cy="3188473"/>
            <wp:effectExtent l="0" t="0" r="6350" b="0"/>
            <wp:docPr id="114"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pPr>
        <w:spacing w:after="0"/>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Информация о принятых мерах по реализации материалов проверок (ревизий) в 2015–2016 годах приведена в таблице 19.</w:t>
      </w:r>
    </w:p>
    <w:p>
      <w:pPr>
        <w:spacing w:after="120" w:line="240" w:lineRule="auto"/>
        <w:ind w:firstLine="567"/>
        <w:jc w:val="right"/>
        <w:rPr>
          <w:rFonts w:ascii="Times New Roman" w:eastAsia="Times New Roman" w:hAnsi="Times New Roman"/>
          <w:color w:val="000000" w:themeColor="text1"/>
          <w:sz w:val="28"/>
          <w:szCs w:val="28"/>
          <w:lang w:eastAsia="ru-RU"/>
        </w:rPr>
      </w:pPr>
      <w:r>
        <w:rPr>
          <w:rFonts w:ascii="Times New Roman" w:eastAsia="Arial Unicode MS" w:hAnsi="Times New Roman"/>
          <w:color w:val="000000" w:themeColor="text1"/>
          <w:kern w:val="24"/>
          <w:sz w:val="28"/>
          <w:szCs w:val="28"/>
          <w:lang w:eastAsia="ru-RU"/>
        </w:rPr>
        <w:t>Таблица 19</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8"/>
        <w:gridCol w:w="1700"/>
        <w:gridCol w:w="2126"/>
      </w:tblGrid>
      <w:tr>
        <w:trPr>
          <w:trHeight w:val="630"/>
          <w:tblHeader/>
        </w:trPr>
        <w:tc>
          <w:tcPr>
            <w:tcW w:w="5388"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pPr>
              <w:spacing w:after="0" w:line="240" w:lineRule="auto"/>
              <w:jc w:val="center"/>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Показатель</w:t>
            </w:r>
          </w:p>
        </w:tc>
        <w:tc>
          <w:tcPr>
            <w:tcW w:w="170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pPr>
              <w:spacing w:after="0" w:line="240" w:lineRule="auto"/>
              <w:ind w:firstLine="250"/>
              <w:jc w:val="center"/>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lang w:val="en-US"/>
              </w:rPr>
              <w:t xml:space="preserve">2015 </w:t>
            </w:r>
            <w:r>
              <w:rPr>
                <w:rFonts w:ascii="Times New Roman" w:eastAsia="Times New Roman" w:hAnsi="Times New Roman"/>
                <w:b/>
                <w:color w:val="000000" w:themeColor="text1"/>
                <w:sz w:val="24"/>
                <w:szCs w:val="24"/>
              </w:rPr>
              <w:t>год</w:t>
            </w:r>
          </w:p>
        </w:tc>
        <w:tc>
          <w:tcPr>
            <w:tcW w:w="21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pPr>
              <w:spacing w:after="0" w:line="240" w:lineRule="auto"/>
              <w:ind w:firstLine="250"/>
              <w:jc w:val="center"/>
              <w:rPr>
                <w:rFonts w:ascii="Times New Roman" w:eastAsia="Times New Roman" w:hAnsi="Times New Roman"/>
                <w:b/>
                <w:color w:val="000000" w:themeColor="text1"/>
                <w:sz w:val="24"/>
                <w:szCs w:val="24"/>
                <w:lang w:val="en-US"/>
              </w:rPr>
            </w:pPr>
            <w:r>
              <w:rPr>
                <w:rFonts w:ascii="Times New Roman" w:eastAsia="Times New Roman" w:hAnsi="Times New Roman"/>
                <w:b/>
                <w:color w:val="000000" w:themeColor="text1"/>
                <w:sz w:val="24"/>
                <w:szCs w:val="24"/>
                <w:lang w:val="en-US"/>
              </w:rPr>
              <w:t>201</w:t>
            </w:r>
            <w:r>
              <w:rPr>
                <w:rFonts w:ascii="Times New Roman" w:eastAsia="Times New Roman" w:hAnsi="Times New Roman"/>
                <w:b/>
                <w:color w:val="000000" w:themeColor="text1"/>
                <w:sz w:val="24"/>
                <w:szCs w:val="24"/>
              </w:rPr>
              <w:t>6</w:t>
            </w:r>
            <w:r>
              <w:rPr>
                <w:rFonts w:ascii="Times New Roman" w:eastAsia="Times New Roman" w:hAnsi="Times New Roman"/>
                <w:b/>
                <w:color w:val="000000" w:themeColor="text1"/>
                <w:sz w:val="24"/>
                <w:szCs w:val="24"/>
                <w:lang w:val="en-US"/>
              </w:rPr>
              <w:t xml:space="preserve"> </w:t>
            </w:r>
            <w:r>
              <w:rPr>
                <w:rFonts w:ascii="Times New Roman" w:eastAsia="Times New Roman" w:hAnsi="Times New Roman"/>
                <w:b/>
                <w:color w:val="000000" w:themeColor="text1"/>
                <w:sz w:val="24"/>
                <w:szCs w:val="24"/>
              </w:rPr>
              <w:t>год</w:t>
            </w:r>
          </w:p>
        </w:tc>
      </w:tr>
      <w:tr>
        <w:trPr>
          <w:trHeight w:val="828"/>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b/>
                <w:color w:val="000000" w:themeColor="text1"/>
                <w:spacing w:val="1"/>
                <w:sz w:val="24"/>
                <w:szCs w:val="24"/>
                <w:lang w:eastAsia="ru-RU"/>
              </w:rPr>
            </w:pPr>
            <w:r>
              <w:rPr>
                <w:rFonts w:ascii="Times New Roman" w:eastAsia="Times New Roman" w:hAnsi="Times New Roman"/>
                <w:b/>
                <w:color w:val="000000" w:themeColor="text1"/>
                <w:spacing w:val="1"/>
                <w:sz w:val="24"/>
                <w:szCs w:val="24"/>
                <w:lang w:eastAsia="ru-RU"/>
              </w:rPr>
              <w:t>Количество обязательных для рассмотрения представлений, направленных объектам контроля, единиц</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5 487 (74,5 %)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2 418 (77,3 %)</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направленных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80 (1,5 %)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42 (1,7 %)</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Сумма нарушений по представлениям, направленным объектам контроля, млрд рублей </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1 306,1 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pacing w:val="1"/>
                <w:sz w:val="24"/>
                <w:szCs w:val="24"/>
                <w:lang w:eastAsia="ru-RU"/>
              </w:rPr>
              <w:t>432,6</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выявленных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600,1 (45,9 %)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208,4 (48,2 %)</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Количество рассмотренных представлений объектами контроля, единиц</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5 324</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2 582</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направленных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63 (1,2 %)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22 (0,9 %)</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Сумма нарушений по представлениям, рассмотренным объектами контроля, млрд рублей </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875,7 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288,5</w:t>
            </w:r>
          </w:p>
        </w:tc>
      </w:tr>
      <w:tr>
        <w:trPr>
          <w:trHeight w:val="405"/>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выявленных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467,7 (53,4 %)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75,4 (26,1 %)</w:t>
            </w:r>
          </w:p>
        </w:tc>
      </w:tr>
      <w:tr>
        <w:trPr>
          <w:trHeight w:val="989"/>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b/>
                <w:color w:val="000000" w:themeColor="text1"/>
                <w:spacing w:val="1"/>
                <w:sz w:val="24"/>
                <w:szCs w:val="24"/>
                <w:lang w:eastAsia="ru-RU"/>
              </w:rPr>
            </w:pPr>
            <w:r>
              <w:rPr>
                <w:rFonts w:ascii="Times New Roman" w:eastAsia="Times New Roman" w:hAnsi="Times New Roman"/>
                <w:b/>
                <w:color w:val="000000" w:themeColor="text1"/>
                <w:spacing w:val="1"/>
                <w:sz w:val="24"/>
                <w:szCs w:val="24"/>
                <w:lang w:eastAsia="ru-RU"/>
              </w:rPr>
              <w:t>Количество обязательных для исполнения предписаний, направленных объектам контроля, единиц</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1 624 (22,1 %)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655 (20,9 %)</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направленных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75 (4,6 %)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27 (4,1 %)</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lastRenderedPageBreak/>
              <w:t xml:space="preserve">Сумма нарушений по предписаниям, направленным объектам контроля, млрд рублей </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267,8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35,7</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выявленных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224,4 (83,8 %)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15,6 (43,7 %)</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pacing w:val="1"/>
                <w:sz w:val="24"/>
                <w:szCs w:val="24"/>
                <w:lang w:eastAsia="ru-RU"/>
              </w:rPr>
            </w:pPr>
            <w:r>
              <w:rPr>
                <w:rFonts w:ascii="Times New Roman" w:eastAsia="Times New Roman" w:hAnsi="Times New Roman"/>
                <w:color w:val="000000" w:themeColor="text1"/>
                <w:spacing w:val="1"/>
                <w:sz w:val="24"/>
                <w:szCs w:val="24"/>
                <w:lang w:eastAsia="ru-RU"/>
              </w:rPr>
              <w:t>Количество исполненных предписаний объектами контроля, единиц</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1 315</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732</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направленных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58 (4,4 %)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5 (0,7 %)</w:t>
            </w:r>
          </w:p>
        </w:tc>
      </w:tr>
      <w:tr>
        <w:trPr>
          <w:trHeight w:val="401"/>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Сумма нарушений по исполненным предписаниям объектами контроля, млрд рублей </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391,4 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26,4</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в том числе: выявленных центральным аппаратом </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215,4 (55 %)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pPr>
              <w:spacing w:after="0" w:line="240" w:lineRule="auto"/>
              <w:jc w:val="right"/>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0,2 (0,8 %)</w:t>
            </w:r>
          </w:p>
        </w:tc>
      </w:tr>
      <w:tr>
        <w:trPr>
          <w:trHeight w:val="360"/>
        </w:trPr>
        <w:tc>
          <w:tcPr>
            <w:tcW w:w="5388"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rPr>
                <w:rFonts w:ascii="Times New Roman" w:eastAsia="Times New Roman" w:hAnsi="Times New Roman"/>
                <w:b/>
                <w:color w:val="000000" w:themeColor="text1"/>
                <w:spacing w:val="1"/>
                <w:sz w:val="24"/>
                <w:szCs w:val="24"/>
                <w:lang w:eastAsia="ru-RU"/>
              </w:rPr>
            </w:pPr>
            <w:r>
              <w:rPr>
                <w:rFonts w:ascii="Times New Roman" w:eastAsia="Times New Roman" w:hAnsi="Times New Roman"/>
                <w:b/>
                <w:color w:val="000000" w:themeColor="text1"/>
                <w:spacing w:val="1"/>
                <w:sz w:val="24"/>
                <w:szCs w:val="24"/>
                <w:lang w:eastAsia="ru-RU"/>
              </w:rPr>
              <w:t xml:space="preserve">Количество уведомлений о применении бюджетных мер принуждения, направленных в Министерство финансов </w:t>
            </w:r>
            <w:r>
              <w:rPr>
                <w:rFonts w:ascii="Times New Roman" w:eastAsia="Times New Roman" w:hAnsi="Times New Roman"/>
                <w:b/>
                <w:color w:val="000000" w:themeColor="text1"/>
                <w:spacing w:val="1"/>
                <w:sz w:val="24"/>
                <w:szCs w:val="24"/>
                <w:lang w:eastAsia="ru-RU"/>
              </w:rPr>
              <w:br/>
              <w:t>Российской Федерации</w:t>
            </w:r>
          </w:p>
        </w:tc>
        <w:tc>
          <w:tcPr>
            <w:tcW w:w="170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249 (3,4 %)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pPr>
              <w:spacing w:after="0" w:line="240" w:lineRule="auto"/>
              <w:jc w:val="right"/>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56 (1,8 %)</w:t>
            </w:r>
          </w:p>
        </w:tc>
      </w:tr>
    </w:tbl>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можно сделать вывод, что структура направленных </w:t>
      </w:r>
      <w:r>
        <w:rPr>
          <w:rFonts w:ascii="Times New Roman" w:eastAsia="Times New Roman" w:hAnsi="Times New Roman"/>
          <w:color w:val="000000" w:themeColor="text1"/>
          <w:sz w:val="28"/>
          <w:szCs w:val="28"/>
          <w:lang w:eastAsia="ru-RU"/>
        </w:rPr>
        <w:br/>
        <w:t xml:space="preserve">в 2016 году процессуальных документов, в целом, изменилась по сравнению с 2015 годом незначительно. Количество представлений от общего количества направленных процессуальных документов за 2015 и 2016 годы составило 74,5 % и 77,3 %, соответственно, в части направленных предписаний – 22,1 % и 20,9 %, соответственно, объем направленных уведомлений о применении бюджетных мер принуждения составил 3,4 % </w:t>
      </w:r>
      <w:r>
        <w:rPr>
          <w:rFonts w:ascii="Times New Roman" w:eastAsia="Times New Roman" w:hAnsi="Times New Roman"/>
          <w:color w:val="000000" w:themeColor="text1"/>
          <w:sz w:val="28"/>
          <w:szCs w:val="28"/>
          <w:lang w:eastAsia="ru-RU"/>
        </w:rPr>
        <w:br/>
        <w:t>и 1,8 %, соответственно.</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w:t>
      </w:r>
      <w:proofErr w:type="spellStart"/>
      <w:r>
        <w:rPr>
          <w:rFonts w:ascii="Times New Roman" w:eastAsia="Times New Roman" w:hAnsi="Times New Roman"/>
          <w:color w:val="000000" w:themeColor="text1"/>
          <w:sz w:val="28"/>
          <w:szCs w:val="28"/>
          <w:lang w:eastAsia="ru-RU"/>
        </w:rPr>
        <w:t>подследственности</w:t>
      </w:r>
      <w:proofErr w:type="spellEnd"/>
      <w:r>
        <w:rPr>
          <w:rFonts w:ascii="Times New Roman" w:eastAsia="Times New Roman" w:hAnsi="Times New Roman"/>
          <w:color w:val="000000" w:themeColor="text1"/>
          <w:sz w:val="28"/>
          <w:szCs w:val="28"/>
          <w:lang w:eastAsia="ru-RU"/>
        </w:rPr>
        <w:t xml:space="preserve"> в правоохранительные органы и органы прокуратуры Российской Федерации направлены 1 392 материала </w:t>
      </w:r>
      <w:r>
        <w:rPr>
          <w:rFonts w:ascii="Times New Roman" w:eastAsia="Times New Roman" w:hAnsi="Times New Roman"/>
          <w:color w:val="000000" w:themeColor="text1"/>
          <w:sz w:val="28"/>
          <w:szCs w:val="28"/>
          <w:lang w:eastAsia="ru-RU"/>
        </w:rPr>
        <w:br/>
        <w:t xml:space="preserve">по результатам проверок и ревизий, по которым возбуждены 49 уголовных дел по нарушениям </w:t>
      </w:r>
      <w:r>
        <w:rPr>
          <w:rFonts w:ascii="Times New Roman" w:hAnsi="Times New Roman"/>
          <w:color w:val="000000" w:themeColor="text1"/>
          <w:sz w:val="28"/>
          <w:szCs w:val="28"/>
        </w:rPr>
        <w:t xml:space="preserve">бюджетного законодательства Российской Федерации </w:t>
      </w:r>
      <w:r>
        <w:rPr>
          <w:rFonts w:ascii="Times New Roman" w:hAnsi="Times New Roman"/>
          <w:color w:val="000000" w:themeColor="text1"/>
          <w:sz w:val="28"/>
          <w:szCs w:val="28"/>
        </w:rPr>
        <w:br/>
        <w:t>и иных НПА, регулирующих бюджетные правоотношения</w:t>
      </w:r>
      <w:r>
        <w:rPr>
          <w:rFonts w:ascii="Times New Roman" w:eastAsia="Times New Roman" w:hAnsi="Times New Roman"/>
          <w:color w:val="000000" w:themeColor="text1"/>
          <w:sz w:val="28"/>
          <w:szCs w:val="28"/>
          <w:lang w:eastAsia="ru-RU"/>
        </w:rPr>
        <w:t xml:space="preserve">.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совершение нарушений законодательства Российской Федерации, по которым предусмотрены уголовные меры наказания, осуждены 7 человек.</w:t>
      </w:r>
    </w:p>
    <w:p>
      <w:pPr>
        <w:spacing w:after="120" w:line="240" w:lineRule="auto"/>
        <w:ind w:firstLine="709"/>
        <w:jc w:val="both"/>
        <w:rPr>
          <w:rFonts w:ascii="Times New Roman" w:hAnsi="Times New Roman"/>
          <w:b/>
          <w:color w:val="000000" w:themeColor="text1"/>
          <w:sz w:val="28"/>
          <w:szCs w:val="28"/>
        </w:rPr>
      </w:pPr>
      <w:r>
        <w:rPr>
          <w:rFonts w:ascii="Times New Roman" w:eastAsia="Times New Roman" w:hAnsi="Times New Roman"/>
          <w:color w:val="000000" w:themeColor="text1"/>
          <w:sz w:val="28"/>
          <w:szCs w:val="28"/>
          <w:lang w:eastAsia="ru-RU"/>
        </w:rPr>
        <w:t xml:space="preserve">К дисциплинарной ответственности за совершенные правонарушения привлечены 407 должностных лиц, из них 21 человек освобожден </w:t>
      </w:r>
      <w:r>
        <w:rPr>
          <w:rFonts w:ascii="Times New Roman" w:eastAsia="Times New Roman" w:hAnsi="Times New Roman"/>
          <w:color w:val="000000" w:themeColor="text1"/>
          <w:sz w:val="28"/>
          <w:szCs w:val="28"/>
          <w:lang w:eastAsia="ru-RU"/>
        </w:rPr>
        <w:br/>
        <w:t xml:space="preserve">от занимаемой должности. К материальной ответственности привлечены </w:t>
      </w:r>
      <w:r>
        <w:rPr>
          <w:rFonts w:ascii="Times New Roman" w:eastAsia="Times New Roman" w:hAnsi="Times New Roman"/>
          <w:color w:val="000000" w:themeColor="text1"/>
          <w:sz w:val="28"/>
          <w:szCs w:val="28"/>
          <w:lang w:eastAsia="ru-RU"/>
        </w:rPr>
        <w:br/>
        <w:t>25 человек.</w:t>
      </w:r>
    </w:p>
    <w:p>
      <w:pPr>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3.1.8.6. Сведения о средствах, поступивших в федеральный бюджет по результатам устраненных нарушений</w:t>
      </w:r>
    </w:p>
    <w:p>
      <w:pPr>
        <w:spacing w:after="0" w:line="360" w:lineRule="atLeast"/>
        <w:ind w:firstLine="709"/>
        <w:jc w:val="both"/>
        <w:rPr>
          <w:rFonts w:ascii="Times New Roman" w:eastAsia="Times New Roman" w:hAnsi="Times New Roman"/>
          <w:color w:val="000000" w:themeColor="text1"/>
          <w:spacing w:val="1"/>
          <w:sz w:val="28"/>
          <w:szCs w:val="28"/>
          <w:lang w:eastAsia="ru-RU"/>
        </w:rPr>
      </w:pPr>
      <w:r>
        <w:rPr>
          <w:rFonts w:ascii="Times New Roman" w:eastAsia="Times New Roman" w:hAnsi="Times New Roman"/>
          <w:color w:val="000000" w:themeColor="text1"/>
          <w:spacing w:val="1"/>
          <w:sz w:val="28"/>
          <w:szCs w:val="28"/>
          <w:lang w:eastAsia="ru-RU"/>
        </w:rPr>
        <w:t xml:space="preserve">В рамках устранения нарушений, выявленных в ходе контрольных мероприятий в 2016 году Федеральным казначейством, в федеральный бюджет были восстановлены средства, использованные с нарушениями </w:t>
      </w:r>
      <w:r>
        <w:rPr>
          <w:rFonts w:ascii="Times New Roman" w:eastAsia="Times New Roman" w:hAnsi="Times New Roman"/>
          <w:color w:val="000000" w:themeColor="text1"/>
          <w:spacing w:val="1"/>
          <w:sz w:val="28"/>
          <w:szCs w:val="28"/>
          <w:lang w:eastAsia="ru-RU"/>
        </w:rPr>
        <w:br/>
        <w:t>и взысканные в последующем с объектов контроля.</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Сведения о средствах, поступивших в федеральный бюджет за 2016 год по результатам устранения нарушений, представлены в таблице 20.</w:t>
      </w:r>
    </w:p>
    <w:p>
      <w:pPr>
        <w:spacing w:before="120" w:after="120" w:line="240" w:lineRule="auto"/>
        <w:ind w:left="981" w:hanging="981"/>
        <w:jc w:val="right"/>
        <w:rPr>
          <w:rFonts w:ascii="Times New Roman" w:eastAsia="Arial Unicode MS" w:hAnsi="Times New Roman"/>
          <w:color w:val="000000" w:themeColor="text1"/>
          <w:kern w:val="24"/>
          <w:sz w:val="28"/>
          <w:szCs w:val="28"/>
          <w:lang w:eastAsia="ru-RU"/>
        </w:rPr>
      </w:pPr>
      <w:r>
        <w:rPr>
          <w:rFonts w:ascii="Times New Roman" w:eastAsia="Arial Unicode MS" w:hAnsi="Times New Roman"/>
          <w:color w:val="000000" w:themeColor="text1"/>
          <w:kern w:val="24"/>
          <w:sz w:val="28"/>
          <w:szCs w:val="28"/>
          <w:lang w:eastAsia="ru-RU"/>
        </w:rPr>
        <w:t>Таблица 20</w:t>
      </w:r>
    </w:p>
    <w:tbl>
      <w:tblPr>
        <w:tblW w:w="9356" w:type="dxa"/>
        <w:tblInd w:w="108" w:type="dxa"/>
        <w:tblLayout w:type="fixed"/>
        <w:tblLook w:val="04A0" w:firstRow="1" w:lastRow="0" w:firstColumn="1" w:lastColumn="0" w:noHBand="0" w:noVBand="1"/>
      </w:tblPr>
      <w:tblGrid>
        <w:gridCol w:w="3119"/>
        <w:gridCol w:w="1559"/>
        <w:gridCol w:w="1559"/>
        <w:gridCol w:w="1560"/>
        <w:gridCol w:w="1559"/>
      </w:tblGrid>
      <w:tr>
        <w:trPr>
          <w:trHeight w:val="315"/>
          <w:tblHeader/>
        </w:trPr>
        <w:tc>
          <w:tcPr>
            <w:tcW w:w="3119" w:type="dxa"/>
            <w:tcBorders>
              <w:top w:val="single" w:sz="8" w:space="0" w:color="auto"/>
              <w:left w:val="single" w:sz="8" w:space="0" w:color="auto"/>
              <w:bottom w:val="single" w:sz="4" w:space="0" w:color="auto"/>
              <w:right w:val="single" w:sz="4" w:space="0" w:color="auto"/>
            </w:tcBorders>
            <w:shd w:val="clear" w:color="auto" w:fill="A6A6A6" w:themeFill="background1" w:themeFillShade="A6"/>
            <w:noWrap/>
            <w:vAlign w:val="center"/>
            <w:hideMark/>
          </w:tcPr>
          <w:p>
            <w:pPr>
              <w:spacing w:after="0" w:line="240" w:lineRule="auto"/>
              <w:jc w:val="center"/>
              <w:rPr>
                <w:rFonts w:ascii="Times New Roman" w:eastAsia="Times New Roman" w:hAnsi="Times New Roman"/>
                <w:b/>
                <w:bCs/>
                <w:color w:val="000000" w:themeColor="text1"/>
                <w:sz w:val="24"/>
                <w:szCs w:val="24"/>
              </w:rPr>
            </w:pPr>
            <w:r>
              <w:rPr>
                <w:rFonts w:ascii="Times New Roman" w:eastAsia="Times New Roman" w:hAnsi="Times New Roman"/>
                <w:b/>
                <w:bCs/>
                <w:color w:val="000000" w:themeColor="text1"/>
                <w:sz w:val="24"/>
                <w:szCs w:val="24"/>
              </w:rPr>
              <w:t>Средства, перечисленные в федеральный бюджет</w:t>
            </w:r>
          </w:p>
        </w:tc>
        <w:tc>
          <w:tcPr>
            <w:tcW w:w="1559" w:type="dxa"/>
            <w:tcBorders>
              <w:top w:val="single" w:sz="8" w:space="0" w:color="auto"/>
              <w:left w:val="nil"/>
              <w:bottom w:val="single" w:sz="4" w:space="0" w:color="auto"/>
              <w:right w:val="single" w:sz="4" w:space="0" w:color="auto"/>
            </w:tcBorders>
            <w:shd w:val="clear" w:color="auto" w:fill="A6A6A6" w:themeFill="background1" w:themeFillShade="A6"/>
            <w:noWrap/>
            <w:vAlign w:val="center"/>
            <w:hideMark/>
          </w:tcPr>
          <w:p>
            <w:pPr>
              <w:spacing w:after="0" w:line="240" w:lineRule="auto"/>
              <w:jc w:val="center"/>
              <w:rPr>
                <w:rFonts w:ascii="Times New Roman" w:eastAsia="Times New Roman" w:hAnsi="Times New Roman"/>
                <w:b/>
                <w:bCs/>
                <w:color w:val="000000" w:themeColor="text1"/>
                <w:sz w:val="24"/>
                <w:szCs w:val="24"/>
              </w:rPr>
            </w:pPr>
            <w:r>
              <w:rPr>
                <w:rFonts w:ascii="Times New Roman" w:eastAsia="Times New Roman" w:hAnsi="Times New Roman"/>
                <w:b/>
                <w:bCs/>
                <w:color w:val="000000" w:themeColor="text1"/>
                <w:sz w:val="24"/>
                <w:szCs w:val="24"/>
              </w:rPr>
              <w:t>Период</w:t>
            </w:r>
          </w:p>
        </w:tc>
        <w:tc>
          <w:tcPr>
            <w:tcW w:w="1559" w:type="dxa"/>
            <w:tcBorders>
              <w:top w:val="single" w:sz="8" w:space="0" w:color="auto"/>
              <w:left w:val="nil"/>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bCs/>
                <w:color w:val="000000" w:themeColor="text1"/>
                <w:sz w:val="24"/>
                <w:szCs w:val="24"/>
              </w:rPr>
            </w:pPr>
            <w:r>
              <w:rPr>
                <w:rFonts w:ascii="Times New Roman" w:eastAsia="Times New Roman" w:hAnsi="Times New Roman"/>
                <w:b/>
                <w:bCs/>
                <w:color w:val="000000" w:themeColor="text1"/>
                <w:sz w:val="24"/>
                <w:szCs w:val="24"/>
              </w:rPr>
              <w:t xml:space="preserve">ТОФК </w:t>
            </w:r>
            <w:r>
              <w:rPr>
                <w:rFonts w:ascii="Times New Roman" w:eastAsia="Arial Unicode MS" w:hAnsi="Times New Roman"/>
                <w:color w:val="000000" w:themeColor="text1"/>
                <w:kern w:val="24"/>
                <w:sz w:val="24"/>
                <w:szCs w:val="24"/>
                <w:lang w:eastAsia="ru-RU"/>
              </w:rPr>
              <w:t>(млн рублей)</w:t>
            </w:r>
          </w:p>
        </w:tc>
        <w:tc>
          <w:tcPr>
            <w:tcW w:w="1560" w:type="dxa"/>
            <w:tcBorders>
              <w:top w:val="single" w:sz="8" w:space="0" w:color="auto"/>
              <w:left w:val="nil"/>
              <w:bottom w:val="single" w:sz="4"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bCs/>
                <w:color w:val="000000" w:themeColor="text1"/>
                <w:sz w:val="24"/>
                <w:szCs w:val="24"/>
              </w:rPr>
            </w:pPr>
            <w:r>
              <w:rPr>
                <w:rFonts w:ascii="Times New Roman" w:eastAsia="Times New Roman" w:hAnsi="Times New Roman"/>
                <w:b/>
                <w:bCs/>
                <w:color w:val="000000" w:themeColor="text1"/>
                <w:sz w:val="24"/>
                <w:szCs w:val="24"/>
              </w:rPr>
              <w:t xml:space="preserve">ЦАФК </w:t>
            </w:r>
            <w:r>
              <w:rPr>
                <w:rFonts w:ascii="Times New Roman" w:eastAsia="Arial Unicode MS" w:hAnsi="Times New Roman"/>
                <w:color w:val="000000" w:themeColor="text1"/>
                <w:kern w:val="24"/>
                <w:sz w:val="24"/>
                <w:szCs w:val="24"/>
                <w:lang w:eastAsia="ru-RU"/>
              </w:rPr>
              <w:t>(млн рублей)</w:t>
            </w:r>
          </w:p>
        </w:tc>
        <w:tc>
          <w:tcPr>
            <w:tcW w:w="1559" w:type="dxa"/>
            <w:tcBorders>
              <w:top w:val="single" w:sz="8" w:space="0" w:color="auto"/>
              <w:left w:val="nil"/>
              <w:bottom w:val="single" w:sz="4" w:space="0" w:color="auto"/>
              <w:right w:val="single" w:sz="8"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bCs/>
                <w:color w:val="000000" w:themeColor="text1"/>
                <w:sz w:val="24"/>
                <w:szCs w:val="24"/>
              </w:rPr>
            </w:pPr>
            <w:r>
              <w:rPr>
                <w:rFonts w:ascii="Times New Roman" w:eastAsia="Times New Roman" w:hAnsi="Times New Roman"/>
                <w:b/>
                <w:bCs/>
                <w:color w:val="000000" w:themeColor="text1"/>
                <w:sz w:val="24"/>
                <w:szCs w:val="24"/>
              </w:rPr>
              <w:t xml:space="preserve">Итого </w:t>
            </w:r>
            <w:r>
              <w:rPr>
                <w:rFonts w:ascii="Times New Roman" w:eastAsia="Arial Unicode MS" w:hAnsi="Times New Roman"/>
                <w:color w:val="000000" w:themeColor="text1"/>
                <w:kern w:val="24"/>
                <w:sz w:val="24"/>
                <w:szCs w:val="24"/>
                <w:lang w:eastAsia="ru-RU"/>
              </w:rPr>
              <w:t>(млн рублей)</w:t>
            </w:r>
          </w:p>
        </w:tc>
      </w:tr>
      <w:tr>
        <w:trPr>
          <w:trHeight w:val="112"/>
        </w:trPr>
        <w:tc>
          <w:tcPr>
            <w:tcW w:w="3119" w:type="dxa"/>
            <w:vMerge w:val="restart"/>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color w:val="000000" w:themeColor="text1"/>
                <w:spacing w:val="1"/>
                <w:lang w:eastAsia="ru-RU"/>
              </w:rPr>
            </w:pPr>
            <w:r>
              <w:rPr>
                <w:rFonts w:ascii="Times New Roman" w:eastAsia="Times New Roman" w:hAnsi="Times New Roman"/>
                <w:color w:val="000000" w:themeColor="text1"/>
                <w:spacing w:val="1"/>
                <w:lang w:eastAsia="ru-RU"/>
              </w:rPr>
              <w:t>Средства, использованные с нарушениями, восстановленные по представлениям в досудебном порядке</w:t>
            </w:r>
          </w:p>
        </w:tc>
        <w:tc>
          <w:tcPr>
            <w:tcW w:w="1559" w:type="dxa"/>
            <w:tcBorders>
              <w:top w:val="nil"/>
              <w:left w:val="nil"/>
              <w:bottom w:val="single" w:sz="4" w:space="0" w:color="auto"/>
              <w:right w:val="single" w:sz="4" w:space="0" w:color="auto"/>
            </w:tcBorders>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83,6</w:t>
            </w:r>
          </w:p>
        </w:tc>
        <w:tc>
          <w:tcPr>
            <w:tcW w:w="1560"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83,6</w:t>
            </w:r>
          </w:p>
        </w:tc>
      </w:tr>
      <w:tr>
        <w:trPr>
          <w:trHeight w:val="258"/>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4,6</w:t>
            </w:r>
          </w:p>
        </w:tc>
      </w:tr>
      <w:tr>
        <w:trPr>
          <w:trHeight w:val="247"/>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4,4</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4,4</w:t>
            </w:r>
          </w:p>
        </w:tc>
      </w:tr>
      <w:tr>
        <w:trPr>
          <w:trHeight w:val="253"/>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17,2 </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8,5</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25,7</w:t>
            </w:r>
          </w:p>
        </w:tc>
      </w:tr>
      <w:tr>
        <w:trPr>
          <w:trHeight w:val="241"/>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 xml:space="preserve"> 109,8</w:t>
            </w:r>
          </w:p>
        </w:tc>
        <w:tc>
          <w:tcPr>
            <w:tcW w:w="1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 xml:space="preserve"> 8,5</w:t>
            </w:r>
          </w:p>
        </w:tc>
        <w:tc>
          <w:tcPr>
            <w:tcW w:w="1559" w:type="dxa"/>
            <w:tcBorders>
              <w:top w:val="single" w:sz="4" w:space="0" w:color="auto"/>
              <w:left w:val="nil"/>
              <w:bottom w:val="single" w:sz="4" w:space="0" w:color="auto"/>
              <w:right w:val="single" w:sz="8"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 xml:space="preserve"> 118,3</w:t>
            </w:r>
          </w:p>
        </w:tc>
      </w:tr>
      <w:tr>
        <w:trPr>
          <w:trHeight w:val="245"/>
        </w:trPr>
        <w:tc>
          <w:tcPr>
            <w:tcW w:w="3119" w:type="dxa"/>
            <w:vMerge w:val="restart"/>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color w:val="000000" w:themeColor="text1"/>
                <w:spacing w:val="1"/>
                <w:lang w:eastAsia="ru-RU"/>
              </w:rPr>
            </w:pPr>
            <w:r>
              <w:rPr>
                <w:rFonts w:ascii="Times New Roman" w:eastAsia="Times New Roman" w:hAnsi="Times New Roman"/>
                <w:color w:val="000000" w:themeColor="text1"/>
                <w:spacing w:val="1"/>
                <w:lang w:eastAsia="ru-RU"/>
              </w:rPr>
              <w:t>Средства, использованные с нарушениями, восстановленные по предписаниям в досудебном порядке</w:t>
            </w:r>
          </w:p>
        </w:tc>
        <w:tc>
          <w:tcPr>
            <w:tcW w:w="1559" w:type="dxa"/>
            <w:tcBorders>
              <w:top w:val="nil"/>
              <w:left w:val="nil"/>
              <w:bottom w:val="single" w:sz="4" w:space="0" w:color="auto"/>
              <w:right w:val="single" w:sz="4" w:space="0" w:color="auto"/>
            </w:tcBorders>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348,7</w:t>
            </w:r>
          </w:p>
        </w:tc>
        <w:tc>
          <w:tcPr>
            <w:tcW w:w="1560"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348,7</w:t>
            </w:r>
          </w:p>
        </w:tc>
      </w:tr>
      <w:tr>
        <w:trPr>
          <w:trHeight w:val="93"/>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10,9</w:t>
            </w:r>
          </w:p>
        </w:tc>
        <w:tc>
          <w:tcPr>
            <w:tcW w:w="1560"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10,9</w:t>
            </w:r>
          </w:p>
        </w:tc>
      </w:tr>
      <w:tr>
        <w:trPr>
          <w:trHeight w:val="239"/>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1,7</w:t>
            </w:r>
          </w:p>
        </w:tc>
        <w:tc>
          <w:tcPr>
            <w:tcW w:w="1560"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1,7</w:t>
            </w:r>
          </w:p>
        </w:tc>
      </w:tr>
      <w:tr>
        <w:trPr>
          <w:trHeight w:val="229"/>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17,8</w:t>
            </w:r>
          </w:p>
        </w:tc>
        <w:tc>
          <w:tcPr>
            <w:tcW w:w="1560" w:type="dxa"/>
            <w:tcBorders>
              <w:top w:val="nil"/>
              <w:left w:val="nil"/>
              <w:bottom w:val="single" w:sz="4" w:space="0" w:color="auto"/>
              <w:right w:val="single" w:sz="4"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1,8</w:t>
            </w:r>
          </w:p>
        </w:tc>
        <w:tc>
          <w:tcPr>
            <w:tcW w:w="1559" w:type="dxa"/>
            <w:tcBorders>
              <w:top w:val="nil"/>
              <w:left w:val="nil"/>
              <w:bottom w:val="single" w:sz="4" w:space="0" w:color="auto"/>
              <w:right w:val="single" w:sz="8" w:space="0" w:color="auto"/>
            </w:tcBorders>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19,6</w:t>
            </w:r>
          </w:p>
        </w:tc>
      </w:tr>
      <w:tr>
        <w:trPr>
          <w:trHeight w:val="233"/>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379,1</w:t>
            </w:r>
          </w:p>
        </w:tc>
        <w:tc>
          <w:tcPr>
            <w:tcW w:w="1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1,8</w:t>
            </w:r>
          </w:p>
        </w:tc>
        <w:tc>
          <w:tcPr>
            <w:tcW w:w="1559" w:type="dxa"/>
            <w:tcBorders>
              <w:top w:val="single" w:sz="4" w:space="0" w:color="auto"/>
              <w:left w:val="nil"/>
              <w:bottom w:val="single" w:sz="4" w:space="0" w:color="auto"/>
              <w:right w:val="single" w:sz="8"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 xml:space="preserve"> 380,9</w:t>
            </w:r>
          </w:p>
        </w:tc>
      </w:tr>
      <w:tr>
        <w:trPr>
          <w:trHeight w:val="223"/>
        </w:trPr>
        <w:tc>
          <w:tcPr>
            <w:tcW w:w="3119" w:type="dxa"/>
            <w:vMerge w:val="restart"/>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color w:val="000000" w:themeColor="text1"/>
                <w:spacing w:val="1"/>
                <w:lang w:eastAsia="ru-RU"/>
              </w:rPr>
            </w:pPr>
            <w:r>
              <w:rPr>
                <w:rFonts w:ascii="Times New Roman" w:eastAsia="Times New Roman" w:hAnsi="Times New Roman"/>
                <w:color w:val="000000" w:themeColor="text1"/>
                <w:spacing w:val="1"/>
                <w:lang w:eastAsia="ru-RU"/>
              </w:rPr>
              <w:t>Средства, использованные с нарушениями, восстановленные в добровольном порядке</w:t>
            </w: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1,0</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1,0</w:t>
            </w:r>
          </w:p>
        </w:tc>
      </w:tr>
      <w:tr>
        <w:trPr>
          <w:trHeight w:val="227"/>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1 281,5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35,6</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1 317,1</w:t>
            </w:r>
          </w:p>
        </w:tc>
      </w:tr>
      <w:tr>
        <w:trPr>
          <w:trHeight w:val="231"/>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6 303,9</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1 190,1</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7 494,0</w:t>
            </w:r>
          </w:p>
        </w:tc>
      </w:tr>
      <w:tr>
        <w:trPr>
          <w:trHeight w:val="221"/>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791,6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10,7</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 xml:space="preserve"> 802,3</w:t>
            </w:r>
          </w:p>
        </w:tc>
      </w:tr>
      <w:tr>
        <w:trPr>
          <w:trHeight w:val="211"/>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8 378,0</w:t>
            </w:r>
          </w:p>
        </w:tc>
        <w:tc>
          <w:tcPr>
            <w:tcW w:w="1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1 236,4</w:t>
            </w:r>
          </w:p>
        </w:tc>
        <w:tc>
          <w:tcPr>
            <w:tcW w:w="1559" w:type="dxa"/>
            <w:tcBorders>
              <w:top w:val="single" w:sz="4" w:space="0" w:color="auto"/>
              <w:left w:val="nil"/>
              <w:bottom w:val="single" w:sz="4" w:space="0" w:color="auto"/>
              <w:right w:val="single" w:sz="8"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9 614,4</w:t>
            </w:r>
          </w:p>
        </w:tc>
      </w:tr>
      <w:tr>
        <w:trPr>
          <w:trHeight w:val="215"/>
        </w:trPr>
        <w:tc>
          <w:tcPr>
            <w:tcW w:w="3119" w:type="dxa"/>
            <w:vMerge w:val="restart"/>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color w:val="000000" w:themeColor="text1"/>
                <w:spacing w:val="1"/>
                <w:lang w:eastAsia="ru-RU"/>
              </w:rPr>
            </w:pPr>
            <w:r>
              <w:rPr>
                <w:rFonts w:ascii="Times New Roman" w:eastAsia="Times New Roman" w:hAnsi="Times New Roman"/>
                <w:color w:val="000000" w:themeColor="text1"/>
                <w:spacing w:val="1"/>
                <w:lang w:eastAsia="ru-RU"/>
              </w:rPr>
              <w:t>Средства, взысканные с юридических и физических лиц по решениям судов</w:t>
            </w: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0,1</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0,1</w:t>
            </w:r>
          </w:p>
        </w:tc>
      </w:tr>
      <w:tr>
        <w:trPr>
          <w:trHeight w:val="205"/>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0,4</w:t>
            </w:r>
          </w:p>
        </w:tc>
      </w:tr>
      <w:tr>
        <w:trPr>
          <w:trHeight w:val="209"/>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r>
      <w:tr>
        <w:trPr>
          <w:trHeight w:val="213"/>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r>
      <w:tr>
        <w:trPr>
          <w:trHeight w:val="203"/>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bCs/>
                <w:color w:val="000000" w:themeColor="text1"/>
              </w:rPr>
            </w:pP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0,5</w:t>
            </w:r>
          </w:p>
        </w:tc>
        <w:tc>
          <w:tcPr>
            <w:tcW w:w="1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w:t>
            </w:r>
          </w:p>
        </w:tc>
        <w:tc>
          <w:tcPr>
            <w:tcW w:w="1559" w:type="dxa"/>
            <w:tcBorders>
              <w:top w:val="single" w:sz="4" w:space="0" w:color="auto"/>
              <w:left w:val="nil"/>
              <w:bottom w:val="single" w:sz="4" w:space="0" w:color="auto"/>
              <w:right w:val="single" w:sz="8"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0,5</w:t>
            </w:r>
          </w:p>
        </w:tc>
      </w:tr>
      <w:tr>
        <w:trPr>
          <w:trHeight w:val="207"/>
        </w:trPr>
        <w:tc>
          <w:tcPr>
            <w:tcW w:w="3119" w:type="dxa"/>
            <w:vMerge w:val="restart"/>
            <w:tcBorders>
              <w:top w:val="nil"/>
              <w:left w:val="single" w:sz="8" w:space="0" w:color="auto"/>
              <w:bottom w:val="single" w:sz="4" w:space="0" w:color="000000"/>
              <w:right w:val="single" w:sz="4" w:space="0" w:color="auto"/>
            </w:tcBorders>
            <w:vAlign w:val="center"/>
            <w:hideMark/>
          </w:tcPr>
          <w:p>
            <w:pPr>
              <w:spacing w:after="0" w:line="240" w:lineRule="auto"/>
              <w:ind w:left="-108"/>
              <w:rPr>
                <w:rFonts w:ascii="Times New Roman" w:eastAsia="Times New Roman" w:hAnsi="Times New Roman"/>
                <w:color w:val="000000" w:themeColor="text1"/>
                <w:spacing w:val="1"/>
                <w:lang w:eastAsia="ru-RU"/>
              </w:rPr>
            </w:pPr>
            <w:r>
              <w:rPr>
                <w:rFonts w:ascii="Times New Roman" w:eastAsia="Times New Roman" w:hAnsi="Times New Roman"/>
                <w:color w:val="000000" w:themeColor="text1"/>
                <w:spacing w:val="1"/>
                <w:lang w:eastAsia="ru-RU"/>
              </w:rPr>
              <w:t>Платежи, дополнительно поступившие в федеральный бюджет (плата за несвоевременный возврат предоставленных на возвратной и возмездной основе средств бюджета, в том числе бюджетных ссуд и бюджетных кредитов, а также несвоевременная плата за пользование этими средствами, начисленные пени)</w:t>
            </w: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0,2</w:t>
            </w:r>
          </w:p>
        </w:tc>
        <w:tc>
          <w:tcPr>
            <w:tcW w:w="1560" w:type="dxa"/>
            <w:tcBorders>
              <w:top w:val="nil"/>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0,2</w:t>
            </w:r>
          </w:p>
        </w:tc>
      </w:tr>
      <w:tr>
        <w:trPr>
          <w:trHeight w:val="269"/>
        </w:trPr>
        <w:tc>
          <w:tcPr>
            <w:tcW w:w="3119" w:type="dxa"/>
            <w:vMerge/>
            <w:tcBorders>
              <w:top w:val="nil"/>
              <w:left w:val="single" w:sz="8" w:space="0" w:color="auto"/>
              <w:bottom w:val="single" w:sz="4" w:space="0" w:color="000000"/>
              <w:right w:val="single" w:sz="4" w:space="0" w:color="auto"/>
            </w:tcBorders>
            <w:shd w:val="clear" w:color="auto" w:fill="D9D9D9" w:themeFill="background1" w:themeFillShade="D9"/>
            <w:vAlign w:val="center"/>
            <w:hideMark/>
          </w:tcPr>
          <w:p>
            <w:pPr>
              <w:spacing w:after="0" w:line="240" w:lineRule="auto"/>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nil"/>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0,1</w:t>
            </w:r>
          </w:p>
        </w:tc>
        <w:tc>
          <w:tcPr>
            <w:tcW w:w="1560" w:type="dxa"/>
            <w:tcBorders>
              <w:top w:val="nil"/>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0,1</w:t>
            </w:r>
          </w:p>
        </w:tc>
      </w:tr>
      <w:tr>
        <w:trPr>
          <w:trHeight w:val="275"/>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c>
          <w:tcPr>
            <w:tcW w:w="1560"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0,0</w:t>
            </w:r>
          </w:p>
        </w:tc>
      </w:tr>
      <w:tr>
        <w:trPr>
          <w:trHeight w:val="124"/>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0,2</w:t>
            </w:r>
          </w:p>
        </w:tc>
      </w:tr>
      <w:tr>
        <w:trPr>
          <w:trHeight w:val="381"/>
        </w:trPr>
        <w:tc>
          <w:tcPr>
            <w:tcW w:w="3119" w:type="dxa"/>
            <w:vMerge/>
            <w:tcBorders>
              <w:top w:val="nil"/>
              <w:left w:val="single" w:sz="8" w:space="0" w:color="auto"/>
              <w:bottom w:val="single" w:sz="4" w:space="0" w:color="000000"/>
              <w:right w:val="single" w:sz="4" w:space="0" w:color="auto"/>
            </w:tcBorders>
            <w:vAlign w:val="center"/>
            <w:hideMark/>
          </w:tcPr>
          <w:p>
            <w:pPr>
              <w:spacing w:after="0" w:line="240" w:lineRule="auto"/>
              <w:rPr>
                <w:rFonts w:ascii="Times New Roman" w:eastAsia="Times New Roman" w:hAnsi="Times New Roman"/>
                <w:bCs/>
                <w:color w:val="000000" w:themeColor="text1"/>
              </w:rPr>
            </w:pPr>
          </w:p>
        </w:tc>
        <w:tc>
          <w:tcPr>
            <w:tcW w:w="1559" w:type="dxa"/>
            <w:tcBorders>
              <w:top w:val="nil"/>
              <w:left w:val="nil"/>
              <w:bottom w:val="single" w:sz="4" w:space="0" w:color="auto"/>
              <w:right w:val="single" w:sz="4" w:space="0" w:color="auto"/>
            </w:tcBorders>
            <w:shd w:val="clear" w:color="auto" w:fill="BFBFBF" w:themeFill="background1" w:themeFillShade="BF"/>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0,5</w:t>
            </w:r>
          </w:p>
        </w:tc>
        <w:tc>
          <w:tcPr>
            <w:tcW w:w="1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w:t>
            </w:r>
          </w:p>
        </w:tc>
        <w:tc>
          <w:tcPr>
            <w:tcW w:w="1559" w:type="dxa"/>
            <w:tcBorders>
              <w:top w:val="nil"/>
              <w:left w:val="nil"/>
              <w:bottom w:val="single" w:sz="4" w:space="0" w:color="auto"/>
              <w:right w:val="single" w:sz="8" w:space="0" w:color="auto"/>
            </w:tcBorders>
            <w:shd w:val="clear" w:color="auto" w:fill="BFBFBF" w:themeFill="background1" w:themeFillShade="BF"/>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0,5</w:t>
            </w:r>
          </w:p>
        </w:tc>
      </w:tr>
      <w:tr>
        <w:trPr>
          <w:trHeight w:val="269"/>
        </w:trPr>
        <w:tc>
          <w:tcPr>
            <w:tcW w:w="3119" w:type="dxa"/>
            <w:vMerge w:val="restart"/>
            <w:tcBorders>
              <w:top w:val="single" w:sz="4" w:space="0" w:color="000000"/>
              <w:left w:val="single" w:sz="8" w:space="0" w:color="auto"/>
              <w:bottom w:val="single" w:sz="8" w:space="0" w:color="000000"/>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bCs/>
                <w:color w:val="000000" w:themeColor="text1"/>
              </w:rPr>
            </w:pPr>
            <w:r>
              <w:rPr>
                <w:rFonts w:ascii="Times New Roman" w:eastAsia="Times New Roman" w:hAnsi="Times New Roman"/>
                <w:b/>
                <w:bCs/>
                <w:color w:val="000000" w:themeColor="text1"/>
              </w:rPr>
              <w:t>Общий итог:</w:t>
            </w: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 квартал</w:t>
            </w:r>
          </w:p>
        </w:tc>
        <w:tc>
          <w:tcPr>
            <w:tcW w:w="1559"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433,6</w:t>
            </w:r>
          </w:p>
        </w:tc>
        <w:tc>
          <w:tcPr>
            <w:tcW w:w="1560"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433,6</w:t>
            </w:r>
          </w:p>
        </w:tc>
      </w:tr>
      <w:tr>
        <w:trPr>
          <w:trHeight w:val="263"/>
        </w:trPr>
        <w:tc>
          <w:tcPr>
            <w:tcW w:w="3119" w:type="dxa"/>
            <w:vMerge/>
            <w:tcBorders>
              <w:top w:val="single" w:sz="8" w:space="0" w:color="000000"/>
              <w:left w:val="single" w:sz="8" w:space="0" w:color="auto"/>
              <w:bottom w:val="single" w:sz="8" w:space="0" w:color="000000"/>
              <w:right w:val="single" w:sz="4" w:space="0" w:color="auto"/>
            </w:tcBorders>
            <w:shd w:val="clear" w:color="auto" w:fill="A6A6A6" w:themeFill="background1" w:themeFillShade="A6"/>
            <w:vAlign w:val="center"/>
            <w:hideMark/>
          </w:tcPr>
          <w:p>
            <w:pPr>
              <w:spacing w:after="0" w:line="240" w:lineRule="auto"/>
              <w:rPr>
                <w:rFonts w:ascii="Times New Roman" w:eastAsia="Times New Roman" w:hAnsi="Times New Roman"/>
                <w:b/>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1 297,5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35,6</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1 333,1</w:t>
            </w:r>
          </w:p>
        </w:tc>
      </w:tr>
      <w:tr>
        <w:trPr>
          <w:trHeight w:val="239"/>
        </w:trPr>
        <w:tc>
          <w:tcPr>
            <w:tcW w:w="3119" w:type="dxa"/>
            <w:vMerge/>
            <w:tcBorders>
              <w:top w:val="single" w:sz="8" w:space="0" w:color="000000"/>
              <w:left w:val="single" w:sz="8" w:space="0" w:color="auto"/>
              <w:bottom w:val="single" w:sz="8" w:space="0" w:color="000000"/>
              <w:right w:val="single" w:sz="4" w:space="0" w:color="auto"/>
            </w:tcBorders>
            <w:shd w:val="clear" w:color="auto" w:fill="A6A6A6" w:themeFill="background1" w:themeFillShade="A6"/>
            <w:vAlign w:val="center"/>
            <w:hideMark/>
          </w:tcPr>
          <w:p>
            <w:pPr>
              <w:spacing w:after="0" w:line="240" w:lineRule="auto"/>
              <w:rPr>
                <w:rFonts w:ascii="Times New Roman" w:eastAsia="Times New Roman" w:hAnsi="Times New Roman"/>
                <w:b/>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III квартал</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6 310,0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1 190,1</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7 500,1</w:t>
            </w:r>
          </w:p>
        </w:tc>
      </w:tr>
      <w:tr>
        <w:trPr>
          <w:trHeight w:val="243"/>
        </w:trPr>
        <w:tc>
          <w:tcPr>
            <w:tcW w:w="3119" w:type="dxa"/>
            <w:vMerge/>
            <w:tcBorders>
              <w:top w:val="single" w:sz="8" w:space="0" w:color="000000"/>
              <w:left w:val="single" w:sz="8" w:space="0" w:color="auto"/>
              <w:bottom w:val="single" w:sz="8" w:space="0" w:color="000000"/>
              <w:right w:val="single" w:sz="4" w:space="0" w:color="auto"/>
            </w:tcBorders>
            <w:shd w:val="clear" w:color="auto" w:fill="A6A6A6" w:themeFill="background1" w:themeFillShade="A6"/>
            <w:vAlign w:val="center"/>
            <w:hideMark/>
          </w:tcPr>
          <w:p>
            <w:pPr>
              <w:spacing w:after="0" w:line="240" w:lineRule="auto"/>
              <w:rPr>
                <w:rFonts w:ascii="Times New Roman" w:eastAsia="Times New Roman" w:hAnsi="Times New Roman"/>
                <w:b/>
                <w:bCs/>
                <w:color w:val="000000" w:themeColor="text1"/>
              </w:rPr>
            </w:pPr>
          </w:p>
        </w:tc>
        <w:tc>
          <w:tcPr>
            <w:tcW w:w="1559" w:type="dxa"/>
            <w:tcBorders>
              <w:top w:val="nil"/>
              <w:left w:val="nil"/>
              <w:bottom w:val="single" w:sz="4" w:space="0" w:color="auto"/>
              <w:right w:val="single" w:sz="4" w:space="0" w:color="auto"/>
            </w:tcBorders>
            <w:shd w:val="clear" w:color="auto" w:fill="auto"/>
            <w:vAlign w:val="center"/>
            <w:hideMark/>
          </w:tcPr>
          <w:p>
            <w:pPr>
              <w:spacing w:after="0" w:line="240" w:lineRule="auto"/>
              <w:jc w:val="center"/>
              <w:rPr>
                <w:rFonts w:ascii="Times New Roman" w:eastAsia="Times New Roman" w:hAnsi="Times New Roman"/>
                <w:color w:val="000000" w:themeColor="text1"/>
              </w:rPr>
            </w:pPr>
            <w:r>
              <w:rPr>
                <w:rFonts w:ascii="Times New Roman" w:eastAsia="Times New Roman" w:hAnsi="Times New Roman"/>
                <w:color w:val="000000" w:themeColor="text1"/>
              </w:rPr>
              <w:t>IV квартал</w:t>
            </w:r>
          </w:p>
        </w:tc>
        <w:tc>
          <w:tcPr>
            <w:tcW w:w="1559"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826,8</w:t>
            </w:r>
          </w:p>
        </w:tc>
        <w:tc>
          <w:tcPr>
            <w:tcW w:w="1560" w:type="dxa"/>
            <w:tcBorders>
              <w:top w:val="single" w:sz="4" w:space="0" w:color="auto"/>
              <w:left w:val="nil"/>
              <w:bottom w:val="nil"/>
              <w:right w:val="single" w:sz="4"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21,0</w:t>
            </w:r>
          </w:p>
        </w:tc>
        <w:tc>
          <w:tcPr>
            <w:tcW w:w="1559" w:type="dxa"/>
            <w:tcBorders>
              <w:top w:val="nil"/>
              <w:left w:val="nil"/>
              <w:bottom w:val="single" w:sz="4" w:space="0" w:color="auto"/>
              <w:right w:val="single" w:sz="8" w:space="0" w:color="auto"/>
            </w:tcBorders>
            <w:shd w:val="clear" w:color="auto" w:fill="auto"/>
            <w:noWrap/>
            <w:vAlign w:val="center"/>
            <w:hideMark/>
          </w:tcPr>
          <w:p>
            <w:pPr>
              <w:spacing w:after="0" w:line="240" w:lineRule="auto"/>
              <w:jc w:val="right"/>
              <w:rPr>
                <w:rFonts w:ascii="Times New Roman" w:eastAsia="Times New Roman" w:hAnsi="Times New Roman"/>
                <w:color w:val="000000" w:themeColor="text1"/>
              </w:rPr>
            </w:pPr>
            <w:r>
              <w:rPr>
                <w:rFonts w:ascii="Times New Roman" w:eastAsia="Times New Roman" w:hAnsi="Times New Roman"/>
                <w:color w:val="000000" w:themeColor="text1"/>
              </w:rPr>
              <w:t>847,8</w:t>
            </w:r>
          </w:p>
        </w:tc>
      </w:tr>
      <w:tr>
        <w:trPr>
          <w:trHeight w:val="329"/>
        </w:trPr>
        <w:tc>
          <w:tcPr>
            <w:tcW w:w="3119" w:type="dxa"/>
            <w:vMerge/>
            <w:tcBorders>
              <w:top w:val="single" w:sz="8" w:space="0" w:color="000000"/>
              <w:left w:val="single" w:sz="8" w:space="0" w:color="auto"/>
              <w:bottom w:val="single" w:sz="8" w:space="0" w:color="000000"/>
              <w:right w:val="single" w:sz="4" w:space="0" w:color="auto"/>
            </w:tcBorders>
            <w:shd w:val="clear" w:color="auto" w:fill="A6A6A6" w:themeFill="background1" w:themeFillShade="A6"/>
            <w:vAlign w:val="center"/>
            <w:hideMark/>
          </w:tcPr>
          <w:p>
            <w:pPr>
              <w:spacing w:after="0" w:line="240" w:lineRule="auto"/>
              <w:rPr>
                <w:rFonts w:ascii="Times New Roman" w:eastAsia="Times New Roman" w:hAnsi="Times New Roman"/>
                <w:b/>
                <w:bCs/>
                <w:color w:val="000000" w:themeColor="text1"/>
              </w:rPr>
            </w:pPr>
          </w:p>
        </w:tc>
        <w:tc>
          <w:tcPr>
            <w:tcW w:w="1559" w:type="dxa"/>
            <w:tcBorders>
              <w:top w:val="nil"/>
              <w:left w:val="nil"/>
              <w:bottom w:val="single" w:sz="8" w:space="0" w:color="auto"/>
              <w:right w:val="single" w:sz="4" w:space="0" w:color="auto"/>
            </w:tcBorders>
            <w:shd w:val="clear" w:color="auto" w:fill="A6A6A6" w:themeFill="background1" w:themeFillShade="A6"/>
            <w:vAlign w:val="center"/>
            <w:hideMark/>
          </w:tcPr>
          <w:p>
            <w:pPr>
              <w:spacing w:after="0" w:line="240" w:lineRule="auto"/>
              <w:jc w:val="center"/>
              <w:rPr>
                <w:rFonts w:ascii="Times New Roman" w:eastAsia="Times New Roman" w:hAnsi="Times New Roman"/>
                <w:b/>
                <w:bCs/>
                <w:iCs/>
                <w:color w:val="000000" w:themeColor="text1"/>
              </w:rPr>
            </w:pPr>
            <w:r>
              <w:rPr>
                <w:rFonts w:ascii="Times New Roman" w:eastAsia="Times New Roman" w:hAnsi="Times New Roman"/>
                <w:b/>
                <w:bCs/>
                <w:iCs/>
                <w:color w:val="000000" w:themeColor="text1"/>
              </w:rPr>
              <w:t>Всего за год</w:t>
            </w:r>
          </w:p>
        </w:tc>
        <w:tc>
          <w:tcPr>
            <w:tcW w:w="1559" w:type="dxa"/>
            <w:tcBorders>
              <w:top w:val="single" w:sz="4" w:space="0" w:color="auto"/>
              <w:left w:val="nil"/>
              <w:bottom w:val="single" w:sz="8" w:space="0" w:color="auto"/>
              <w:right w:val="single" w:sz="4" w:space="0" w:color="auto"/>
            </w:tcBorders>
            <w:shd w:val="clear" w:color="auto" w:fill="A6A6A6" w:themeFill="background1" w:themeFillShade="A6"/>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8 867,9</w:t>
            </w:r>
          </w:p>
        </w:tc>
        <w:tc>
          <w:tcPr>
            <w:tcW w:w="1560" w:type="dxa"/>
            <w:tcBorders>
              <w:top w:val="single" w:sz="4" w:space="0" w:color="auto"/>
              <w:left w:val="nil"/>
              <w:bottom w:val="single" w:sz="8" w:space="0" w:color="auto"/>
              <w:right w:val="single" w:sz="4" w:space="0" w:color="auto"/>
            </w:tcBorders>
            <w:shd w:val="clear" w:color="auto" w:fill="A6A6A6" w:themeFill="background1" w:themeFillShade="A6"/>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1 246,7</w:t>
            </w:r>
          </w:p>
        </w:tc>
        <w:tc>
          <w:tcPr>
            <w:tcW w:w="1559" w:type="dxa"/>
            <w:tcBorders>
              <w:top w:val="nil"/>
              <w:left w:val="nil"/>
              <w:bottom w:val="single" w:sz="8" w:space="0" w:color="auto"/>
              <w:right w:val="single" w:sz="8" w:space="0" w:color="auto"/>
            </w:tcBorders>
            <w:shd w:val="clear" w:color="auto" w:fill="A6A6A6" w:themeFill="background1" w:themeFillShade="A6"/>
            <w:noWrap/>
            <w:vAlign w:val="center"/>
            <w:hideMark/>
          </w:tcPr>
          <w:p>
            <w:pPr>
              <w:spacing w:after="0" w:line="240" w:lineRule="auto"/>
              <w:jc w:val="right"/>
              <w:rPr>
                <w:rFonts w:ascii="Times New Roman" w:eastAsia="Times New Roman" w:hAnsi="Times New Roman"/>
                <w:b/>
                <w:color w:val="000000" w:themeColor="text1"/>
              </w:rPr>
            </w:pPr>
            <w:r>
              <w:rPr>
                <w:rFonts w:ascii="Times New Roman" w:eastAsia="Times New Roman" w:hAnsi="Times New Roman"/>
                <w:b/>
                <w:color w:val="000000" w:themeColor="text1"/>
              </w:rPr>
              <w:t>10 114,6</w:t>
            </w:r>
          </w:p>
        </w:tc>
      </w:tr>
    </w:tbl>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течение 2016 года по бюджетным мерам принуждения восстановлено 10 065,4 млн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результатам устранения выявленных нарушений бюджетного законодательства Российской Федерации и иных НПА, регулирующих бюджетные правоотношения, в истекшем году на счета федерального бюджета всего было восстановлены 20 180 млн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При этом структура восстановленных на счета федерального бюджета средств в течение года показывает, что основной объем средств был восстановлен в 3 квартале 2016 года (диаграмма 48).</w:t>
      </w:r>
    </w:p>
    <w:p>
      <w:pPr>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Диаграмма 48</w:t>
      </w:r>
    </w:p>
    <w:p>
      <w:pPr>
        <w:spacing w:after="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Объем средств, поступивших в федеральный бюджет за 2016 год, </w:t>
      </w:r>
      <w:r>
        <w:rPr>
          <w:rFonts w:ascii="Times New Roman" w:eastAsia="Times New Roman" w:hAnsi="Times New Roman"/>
          <w:b/>
          <w:color w:val="000000" w:themeColor="text1"/>
          <w:sz w:val="28"/>
          <w:szCs w:val="28"/>
          <w:lang w:eastAsia="ru-RU"/>
        </w:rPr>
        <w:br/>
        <w:t>по результатам устраненных нарушений</w:t>
      </w:r>
    </w:p>
    <w:p>
      <w:pPr>
        <w:spacing w:after="0"/>
        <w:ind w:firstLine="709"/>
        <w:jc w:val="right"/>
        <w:rPr>
          <w:rFonts w:ascii="Times New Roman" w:eastAsia="Times New Roman" w:hAnsi="Times New Roman"/>
          <w:color w:val="000000" w:themeColor="text1"/>
          <w:sz w:val="28"/>
          <w:szCs w:val="28"/>
          <w:lang w:eastAsia="ru-RU"/>
        </w:rPr>
      </w:pPr>
    </w:p>
    <w:p>
      <w:pPr>
        <w:spacing w:after="0" w:line="360" w:lineRule="auto"/>
        <w:jc w:val="center"/>
        <w:rPr>
          <w:rFonts w:ascii="Times New Roman" w:hAnsi="Times New Roman"/>
          <w:color w:val="000000" w:themeColor="text1"/>
          <w:sz w:val="28"/>
          <w:szCs w:val="28"/>
          <w:u w:val="single"/>
          <w:lang w:eastAsia="ru-RU"/>
        </w:rPr>
      </w:pPr>
      <w:r>
        <w:rPr>
          <w:rFonts w:ascii="Times New Roman" w:eastAsia="Times New Roman" w:hAnsi="Times New Roman"/>
          <w:noProof/>
          <w:color w:val="000000" w:themeColor="text1"/>
          <w:sz w:val="24"/>
          <w:szCs w:val="24"/>
          <w:lang w:eastAsia="ru-RU"/>
        </w:rPr>
        <w:drawing>
          <wp:inline distT="0" distB="0" distL="0" distR="0">
            <wp:extent cx="5510254" cy="2775005"/>
            <wp:effectExtent l="0" t="0" r="0" b="6350"/>
            <wp:docPr id="1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3.1.9. Эффективность деятельности при осуществлении функции по контролю и надзору в финансово-бюджетной сфере</w:t>
      </w:r>
    </w:p>
    <w:p>
      <w:pPr>
        <w:spacing w:after="0" w:line="360" w:lineRule="atLeast"/>
        <w:ind w:firstLine="709"/>
        <w:jc w:val="both"/>
        <w:rPr>
          <w:rFonts w:ascii="Times New Roman" w:hAnsi="Times New Roman"/>
          <w:i/>
          <w:color w:val="000000" w:themeColor="text1"/>
          <w:sz w:val="20"/>
          <w:szCs w:val="20"/>
        </w:rPr>
      </w:pPr>
      <w:r>
        <w:rPr>
          <w:rFonts w:ascii="Times New Roman" w:hAnsi="Times New Roman"/>
          <w:bCs/>
          <w:color w:val="000000" w:themeColor="text1"/>
          <w:sz w:val="28"/>
          <w:szCs w:val="28"/>
        </w:rPr>
        <w:t xml:space="preserve">Эффективность деятельности с учетом усредненных показателей </w:t>
      </w:r>
      <w:r>
        <w:rPr>
          <w:rFonts w:ascii="Times New Roman" w:hAnsi="Times New Roman"/>
          <w:bCs/>
          <w:color w:val="000000" w:themeColor="text1"/>
          <w:sz w:val="28"/>
          <w:szCs w:val="28"/>
        </w:rPr>
        <w:br/>
        <w:t>в расчете на 1 ревизора представлена на диаграмме 49.</w:t>
      </w:r>
    </w:p>
    <w:p>
      <w:pPr>
        <w:pageBreakBefore/>
        <w:spacing w:after="120" w:line="240" w:lineRule="auto"/>
        <w:ind w:left="1276"/>
        <w:jc w:val="right"/>
        <w:rPr>
          <w:rFonts w:ascii="Times New Roman" w:hAnsi="Times New Roman"/>
          <w:bCs/>
          <w:color w:val="000000" w:themeColor="text1"/>
          <w:sz w:val="28"/>
          <w:szCs w:val="28"/>
        </w:rPr>
      </w:pPr>
      <w:r>
        <w:rPr>
          <w:rFonts w:ascii="Times New Roman" w:hAnsi="Times New Roman"/>
          <w:bCs/>
          <w:color w:val="000000" w:themeColor="text1"/>
          <w:sz w:val="28"/>
          <w:szCs w:val="28"/>
        </w:rPr>
        <w:lastRenderedPageBreak/>
        <w:t>Диаграмма 49</w:t>
      </w:r>
    </w:p>
    <w:p>
      <w:pPr>
        <w:spacing w:before="120" w:after="120" w:line="240" w:lineRule="auto"/>
        <w:ind w:firstLine="709"/>
        <w:jc w:val="center"/>
        <w:rPr>
          <w:rFonts w:ascii="Times New Roman" w:eastAsia="Arial Unicode MS" w:hAnsi="Times New Roman"/>
          <w:b/>
          <w:color w:val="000000" w:themeColor="text1"/>
          <w:kern w:val="24"/>
          <w:sz w:val="28"/>
          <w:szCs w:val="28"/>
          <w:lang w:eastAsia="ru-RU"/>
        </w:rPr>
      </w:pPr>
      <w:r>
        <w:rPr>
          <w:rFonts w:ascii="Times New Roman" w:eastAsia="Arial Unicode MS" w:hAnsi="Times New Roman"/>
          <w:b/>
          <w:color w:val="000000" w:themeColor="text1"/>
          <w:kern w:val="24"/>
          <w:sz w:val="28"/>
          <w:szCs w:val="28"/>
          <w:lang w:eastAsia="ru-RU"/>
        </w:rPr>
        <w:t xml:space="preserve">Среднее значение показателей из расчета на 1 ревизора </w:t>
      </w:r>
      <w:r>
        <w:rPr>
          <w:rFonts w:ascii="Times New Roman" w:eastAsia="Arial Unicode MS" w:hAnsi="Times New Roman"/>
          <w:b/>
          <w:color w:val="000000" w:themeColor="text1"/>
          <w:kern w:val="24"/>
          <w:sz w:val="28"/>
          <w:szCs w:val="28"/>
          <w:lang w:eastAsia="ru-RU"/>
        </w:rPr>
        <w:br/>
        <w:t>при осуществлении полномочий по контролю в финансово-бюджетной сфере</w:t>
      </w:r>
    </w:p>
    <w:p>
      <w:pPr>
        <w:spacing w:after="0" w:line="360" w:lineRule="atLeast"/>
        <w:jc w:val="center"/>
        <w:rPr>
          <w:rFonts w:ascii="Times New Roman" w:hAnsi="Times New Roman"/>
          <w:bCs/>
          <w:color w:val="000000" w:themeColor="text1"/>
          <w:sz w:val="28"/>
          <w:szCs w:val="28"/>
        </w:rPr>
      </w:pPr>
      <w:r>
        <w:rPr>
          <w:rFonts w:ascii="Times New Roman" w:hAnsi="Times New Roman"/>
          <w:bCs/>
          <w:noProof/>
          <w:color w:val="000000" w:themeColor="text1"/>
          <w:sz w:val="28"/>
          <w:szCs w:val="28"/>
          <w:lang w:eastAsia="ru-RU"/>
        </w:rPr>
        <w:drawing>
          <wp:anchor distT="0" distB="0" distL="114300" distR="114300" simplePos="0" relativeHeight="251677696" behindDoc="0" locked="0" layoutInCell="1" allowOverlap="1">
            <wp:simplePos x="0" y="0"/>
            <wp:positionH relativeFrom="column">
              <wp:posOffset>3872721</wp:posOffset>
            </wp:positionH>
            <wp:positionV relativeFrom="paragraph">
              <wp:posOffset>369666</wp:posOffset>
            </wp:positionV>
            <wp:extent cx="1171575" cy="285750"/>
            <wp:effectExtent l="0" t="0" r="9525" b="0"/>
            <wp:wrapNone/>
            <wp:docPr id="116" name="Рисунок 19"/>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71575" cy="28575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themeColor="text1"/>
          <w:sz w:val="24"/>
          <w:szCs w:val="24"/>
          <w:lang w:eastAsia="ru-RU"/>
        </w:rPr>
        <w:drawing>
          <wp:inline distT="0" distB="0" distL="0" distR="0">
            <wp:extent cx="5764696" cy="2862469"/>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pPr>
        <w:tabs>
          <w:tab w:val="left" w:pos="851"/>
        </w:tabs>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Количество проверок, по результатам которых выявлены нарушения, составило 3 042 единицы. Процент результативных проверок составил 60,7 % и сократился по сравнению с 2015 годом на 10 процентов.</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3.1.10. Межведомственное взаимодействие</w:t>
      </w:r>
    </w:p>
    <w:p>
      <w:pPr>
        <w:autoSpaceDE w:val="0"/>
        <w:autoSpaceDN w:val="0"/>
        <w:adjustRightInd w:val="0"/>
        <w:spacing w:after="0" w:line="360" w:lineRule="atLeast"/>
        <w:ind w:firstLine="709"/>
        <w:jc w:val="both"/>
        <w:rPr>
          <w:rFonts w:ascii="Times New Roman" w:eastAsiaTheme="minorHAnsi" w:hAnsi="Times New Roman"/>
          <w:iCs/>
          <w:color w:val="000000" w:themeColor="text1"/>
          <w:sz w:val="28"/>
          <w:szCs w:val="28"/>
        </w:rPr>
      </w:pPr>
      <w:r>
        <w:rPr>
          <w:rFonts w:ascii="Times New Roman" w:eastAsiaTheme="minorHAnsi" w:hAnsi="Times New Roman"/>
          <w:iCs/>
          <w:color w:val="000000" w:themeColor="text1"/>
          <w:sz w:val="28"/>
          <w:szCs w:val="28"/>
        </w:rPr>
        <w:t xml:space="preserve">В целях повышения эффективности межведомственного взаимодействия с органами государственной власти Российской Федерации в ходе реализации полномочий по контролю за соблюдением требований бюджетного законодательства Российской Федерации и иных НПА, регулирующих бюджетные правоотношения, при использовании средств федерального бюджета, обмена опытом работы по выявлению, предупреждению правонарушений, в том числе путем проведения совещаний, конференций, семинаров, издания аналитических материалов, применения риск-ориентированного подхода при планировании </w:t>
      </w:r>
      <w:r>
        <w:rPr>
          <w:rFonts w:ascii="Times New Roman" w:eastAsiaTheme="minorHAnsi" w:hAnsi="Times New Roman"/>
          <w:iCs/>
          <w:color w:val="000000" w:themeColor="text1"/>
          <w:sz w:val="28"/>
          <w:szCs w:val="28"/>
        </w:rPr>
        <w:br/>
        <w:t xml:space="preserve">и проведении контрольных мероприятий, а также обмена информации </w:t>
      </w:r>
      <w:r>
        <w:rPr>
          <w:rFonts w:ascii="Times New Roman" w:eastAsiaTheme="minorHAnsi" w:hAnsi="Times New Roman"/>
          <w:iCs/>
          <w:color w:val="000000" w:themeColor="text1"/>
          <w:sz w:val="28"/>
          <w:szCs w:val="28"/>
        </w:rPr>
        <w:br/>
        <w:t>по результатам их проведения в 2016 году заключены:</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соглашение о сотрудничестве и взаимодействии Федерального казначейства и Федеральной службы безопасности Российской Федерации </w:t>
      </w:r>
      <w:r>
        <w:rPr>
          <w:rFonts w:ascii="Times New Roman" w:eastAsia="Times New Roman" w:hAnsi="Times New Roman"/>
          <w:color w:val="000000" w:themeColor="text1"/>
          <w:sz w:val="28"/>
          <w:szCs w:val="24"/>
          <w:lang w:eastAsia="ru-RU"/>
        </w:rPr>
        <w:br/>
        <w:t>и их территориальных органов;</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соглашение о порядке взаимодействия Федерального казначейства </w:t>
      </w:r>
      <w:r>
        <w:rPr>
          <w:rFonts w:ascii="Times New Roman" w:eastAsia="Times New Roman" w:hAnsi="Times New Roman"/>
          <w:color w:val="000000" w:themeColor="text1"/>
          <w:sz w:val="28"/>
          <w:szCs w:val="24"/>
          <w:lang w:eastAsia="ru-RU"/>
        </w:rPr>
        <w:br/>
        <w:t>и Генеральной прокуратуры Российской Федерации.</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 xml:space="preserve">3.1.11. Результаты работы Федерального казначейства </w:t>
      </w:r>
      <w:r>
        <w:rPr>
          <w:rFonts w:ascii="Times New Roman" w:hAnsi="Times New Roman"/>
          <w:b/>
          <w:color w:val="000000" w:themeColor="text1"/>
          <w:sz w:val="28"/>
          <w:szCs w:val="28"/>
        </w:rPr>
        <w:br/>
        <w:t xml:space="preserve">в государственной информационной системе «Официальный сайт Российской Федерации в информационно-телекоммуникационной сети «Интернет» для размещения информации об осуществлении государственного (муниципального) финансового аудита (контроля) </w:t>
      </w:r>
      <w:r>
        <w:rPr>
          <w:rFonts w:ascii="Times New Roman" w:hAnsi="Times New Roman"/>
          <w:b/>
          <w:color w:val="000000" w:themeColor="text1"/>
          <w:sz w:val="28"/>
          <w:szCs w:val="28"/>
        </w:rPr>
        <w:br/>
        <w:t>в сфере бюджетных правоотношений»</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Государственная информационная система «Официальный сайт Российской Федерации в информационно-телекоммуникационной сети «Интернет» для размещения информации об осуществлении государственного (муниципального) финансового аудита (контроля) в сфере бюджетных правоотношений» (далее – ГИС ЕСГФК) предназначена </w:t>
      </w:r>
      <w:r>
        <w:rPr>
          <w:rFonts w:ascii="Times New Roman" w:eastAsia="Times New Roman" w:hAnsi="Times New Roman"/>
          <w:color w:val="000000" w:themeColor="text1"/>
          <w:sz w:val="28"/>
          <w:szCs w:val="28"/>
        </w:rPr>
        <w:br/>
        <w:t xml:space="preserve">для повышения эффективности внешнего и внутреннего государственного (муниципального) финансового контроля, а также внешнего государственного аудита (контроля), в части финансового аудита (контроля), аудита эффективности, аудита государственных программ Российской Федерации (федеральных целевых программ), аудита государственных и международных инвестиционных проектов, аудита </w:t>
      </w:r>
      <w:r>
        <w:rPr>
          <w:rFonts w:ascii="Times New Roman" w:eastAsia="Times New Roman" w:hAnsi="Times New Roman"/>
          <w:color w:val="000000" w:themeColor="text1"/>
          <w:sz w:val="28"/>
          <w:szCs w:val="28"/>
        </w:rPr>
        <w:br/>
        <w:t>в сфере закупок товаров, работ и услуг, осуществляемых объектами государственного (муниципального) финансового контроля, путем раскрытия информации о его осуществлении в Российской Федерации государственным (муниципальным) органам, объектам аудита (контроля), экспертному сообществу и институтам гражданского общества.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Положение о ГИС ЕСГФК утверждено совместным приказом </w:t>
      </w:r>
      <w:r>
        <w:rPr>
          <w:rFonts w:ascii="Times New Roman" w:eastAsia="Times New Roman" w:hAnsi="Times New Roman"/>
          <w:color w:val="000000" w:themeColor="text1"/>
          <w:sz w:val="28"/>
          <w:szCs w:val="28"/>
        </w:rPr>
        <w:br/>
        <w:t xml:space="preserve">Счетной палаты Российской Федерации и Министерства финансов Российской Федерации от 25 декабря 2015 г. № 128/214н. </w:t>
      </w:r>
      <w:r>
        <w:rPr>
          <w:rFonts w:ascii="Times New Roman" w:hAnsi="Times New Roman"/>
          <w:color w:val="000000" w:themeColor="text1"/>
          <w:sz w:val="28"/>
          <w:szCs w:val="28"/>
        </w:rPr>
        <w:t>Оператором ГИС ЕСГФК является Счетная палата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Для организации размещения Федеральным казначейством информации, документов в ГИС ЕСГФК изданы следующие приказы Федерального казначейства:</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от 26 июля 2016 г. № 281 «Об обеспечении регистрации </w:t>
      </w:r>
      <w:r>
        <w:rPr>
          <w:rFonts w:ascii="Times New Roman" w:eastAsia="Times New Roman" w:hAnsi="Times New Roman"/>
          <w:color w:val="000000" w:themeColor="text1"/>
          <w:sz w:val="28"/>
          <w:szCs w:val="24"/>
          <w:lang w:eastAsia="ru-RU"/>
        </w:rPr>
        <w:br/>
        <w:t xml:space="preserve">и организации работы в государственной информационной системе «Официальный сайт Российской Федерации в информационно-телекоммуникационной сети «Интернет» для размещения информации </w:t>
      </w:r>
      <w:r>
        <w:rPr>
          <w:rFonts w:ascii="Times New Roman" w:eastAsia="Times New Roman" w:hAnsi="Times New Roman"/>
          <w:color w:val="000000" w:themeColor="text1"/>
          <w:sz w:val="28"/>
          <w:szCs w:val="24"/>
          <w:lang w:eastAsia="ru-RU"/>
        </w:rPr>
        <w:br/>
        <w:t>об осуществлении государственного (муниципального) финансового аудита (контроля) в сфере бюджетных правоотношений»;</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от 13 октября 2016 г. № 372 «О наделении сотрудников Федерального казначейства правами администраторов участника, уполномоченных специалистов участника, специалистов участника, представителей участника с правами на просмотр и получение информации и электронных документов государственной информационной системы </w:t>
      </w:r>
      <w:r>
        <w:rPr>
          <w:rFonts w:ascii="Times New Roman" w:eastAsia="Times New Roman" w:hAnsi="Times New Roman"/>
          <w:color w:val="000000" w:themeColor="text1"/>
          <w:sz w:val="28"/>
          <w:szCs w:val="24"/>
          <w:lang w:eastAsia="ru-RU"/>
        </w:rPr>
        <w:lastRenderedPageBreak/>
        <w:t xml:space="preserve">«Официальный сайт Российской Федерации в информационно-телекоммуникационной сети «Интернет» для размещения информации </w:t>
      </w:r>
      <w:r>
        <w:rPr>
          <w:rFonts w:ascii="Times New Roman" w:eastAsia="Times New Roman" w:hAnsi="Times New Roman"/>
          <w:color w:val="000000" w:themeColor="text1"/>
          <w:sz w:val="28"/>
          <w:szCs w:val="24"/>
          <w:lang w:eastAsia="ru-RU"/>
        </w:rPr>
        <w:br/>
        <w:t>об осуществлении государственного (муниципального) финансового аудита (контроля) в сфере бюджетных правоотношений».</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вышеуказанными приказами Федерального казначейства уполномоченные структурные подразделения ЦАФК и </w:t>
      </w:r>
      <w:r>
        <w:rPr>
          <w:rFonts w:ascii="Times New Roman" w:hAnsi="Times New Roman"/>
          <w:color w:val="000000" w:themeColor="text1"/>
          <w:sz w:val="28"/>
          <w:szCs w:val="28"/>
        </w:rPr>
        <w:t xml:space="preserve">УФК </w:t>
      </w:r>
      <w:r>
        <w:rPr>
          <w:rFonts w:ascii="Times New Roman" w:eastAsia="Times New Roman" w:hAnsi="Times New Roman"/>
          <w:color w:val="000000" w:themeColor="text1"/>
          <w:sz w:val="28"/>
          <w:szCs w:val="28"/>
          <w:lang w:eastAsia="ru-RU"/>
        </w:rPr>
        <w:t>осуществляли формирование отдельных документов, информации о планах и результатах контрольных мероприятий, проводимых Федеральным казначейством в финансово-бюджетной сфере 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Координация работы УФК в ГИС ЕСГФК для обеспечения типизации размещаемой информации о планах и результатах контрольных мероприятий, а также подготовки к работе в ГИС ЕСГФК в полном объеме </w:t>
      </w:r>
      <w:r>
        <w:rPr>
          <w:rFonts w:ascii="Times New Roman" w:hAnsi="Times New Roman"/>
          <w:color w:val="000000" w:themeColor="text1"/>
          <w:sz w:val="28"/>
          <w:szCs w:val="28"/>
        </w:rPr>
        <w:br/>
        <w:t>и на постоянной основе с 1 января 2018 года приказом Федерального казначейства от 30 декабря 2016 года № 539 возложена на Управление планирования и отчетности контрольно-надзорной деятельности.</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3.1.12. Совершенствование контрольно-надзорной деятельности </w:t>
      </w:r>
      <w:r>
        <w:rPr>
          <w:rFonts w:ascii="Times New Roman" w:hAnsi="Times New Roman"/>
          <w:b/>
          <w:color w:val="000000" w:themeColor="text1"/>
          <w:sz w:val="28"/>
          <w:szCs w:val="28"/>
        </w:rPr>
        <w:br/>
        <w:t>в финансово-бюджетной сфере</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совершенствования деятельности по внутреннему государственному и муниципальному финансовому контролю в 2016 году подготовлены предложения в новую редакцию Бюджетного кодекса, предусматривающие ряд новаций, в том числе в части вопросов:</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уточнения полномочий Федерального казначейства </w:t>
      </w:r>
      <w:r>
        <w:rPr>
          <w:rFonts w:ascii="Times New Roman" w:hAnsi="Times New Roman"/>
          <w:color w:val="000000" w:themeColor="text1"/>
          <w:sz w:val="28"/>
          <w:szCs w:val="28"/>
        </w:rPr>
        <w:br/>
        <w:t>по осуществлению внутреннего государственного (муниципального) бюджетного контроля;</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расширения перечня объектов и методов осуществления внутреннего государственного (муниципального) бюджетного контроля;</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досудебного обжалования результатов государственного бюджетного контроля Федерального казначейства;</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признания результатов контроля органами внешнего внутреннего государственного и муниципального бюджетного контроля.</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организации дальнейшего совершенствования контрольно-надзорной деятельности в финансово-бюджетной сфере Федеральным казначейством сформирован и в установленном порядке 31 мая 2016 года утвержден План нормотворческой деятельности Федерального казначейства </w:t>
      </w:r>
      <w:r>
        <w:rPr>
          <w:rFonts w:ascii="Times New Roman" w:hAnsi="Times New Roman"/>
          <w:color w:val="000000" w:themeColor="text1"/>
          <w:sz w:val="28"/>
          <w:szCs w:val="28"/>
        </w:rPr>
        <w:br/>
        <w:t xml:space="preserve">на 2016-2017 годы. В рамках реализации указанного Плана были подготовлены предложения по внесению изменений, обусловленных упразднением Федеральной службы финансово-бюджетного надзора </w:t>
      </w:r>
      <w:r>
        <w:rPr>
          <w:rFonts w:ascii="Times New Roman" w:hAnsi="Times New Roman"/>
          <w:color w:val="000000" w:themeColor="text1"/>
          <w:sz w:val="28"/>
          <w:szCs w:val="28"/>
        </w:rPr>
        <w:br/>
        <w:t>и передачей функций по осуществление государственного финансового контроля Федеральному казначейству, в следующие НПА:</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Указ Президента Российской Федерации от 2 июля 2005 г. № 773 «Вопросы взаимодействия и координации деятельности органов исполнительной власти субъектов Российской Федерации </w:t>
      </w:r>
      <w:r>
        <w:rPr>
          <w:rFonts w:ascii="Times New Roman" w:hAnsi="Times New Roman"/>
          <w:color w:val="000000" w:themeColor="text1"/>
          <w:sz w:val="28"/>
          <w:szCs w:val="28"/>
        </w:rPr>
        <w:br/>
        <w:t>и территориальных органов федеральных органов исполнительной власти» (Указ Президента Российской Федерации от 22 ноября 2016 г. № 613);</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постановление Правительства Российской Федерации от 11 мая 2006 г. № 281 «Об утверждении положения о предоставлении </w:t>
      </w:r>
      <w:r>
        <w:rPr>
          <w:rFonts w:ascii="Times New Roman" w:hAnsi="Times New Roman"/>
          <w:color w:val="000000" w:themeColor="text1"/>
          <w:sz w:val="28"/>
          <w:szCs w:val="28"/>
        </w:rPr>
        <w:br/>
        <w:t>в Правительство Российской Федерации ежеквартальной и годовой отчетности об исполнении федерального бюджета»;</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постановление Правительства Российской Федерации от 28 ноября 2013 г. № 1092 «О порядке осуществления Федеральным казначейством полномочий по контролю в финансово-бюджетной сфере» (постановление Правительства Российской Федерации от 27 августа 2016 г. № 851 </w:t>
      </w:r>
      <w:r>
        <w:rPr>
          <w:rFonts w:ascii="Times New Roman" w:hAnsi="Times New Roman"/>
          <w:color w:val="000000" w:themeColor="text1"/>
          <w:sz w:val="28"/>
          <w:szCs w:val="28"/>
        </w:rPr>
        <w:br/>
        <w:t>«О внесении изменений в Правила осуществления Федеральным казначейством полномочий по контролю в финансово-бюджетной сфере»;</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 Министерства финансов Российской Федерации от 20 марта 2014 г. № 18н «Об утверждении административного регламента исполнения Федеральной службой финансово-бюджетного надзора государственной функции по контролю в финансово-бюджетной сфере»;</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 xml:space="preserve">приказ Министерства финансов Российской Федерации от 17 июля 2015 г. № 112н «Об утверждении формы и порядка представления отчета </w:t>
      </w:r>
      <w:r>
        <w:rPr>
          <w:rFonts w:ascii="Times New Roman" w:hAnsi="Times New Roman"/>
          <w:bCs/>
          <w:color w:val="000000" w:themeColor="text1"/>
          <w:sz w:val="28"/>
          <w:szCs w:val="28"/>
        </w:rPr>
        <w:br/>
        <w:t>о результатах проведения Федеральной службой финансово-бюджетного надзора контрольных мероприятий в финансово-бюджетной сфере» (</w:t>
      </w:r>
      <w:r>
        <w:rPr>
          <w:rFonts w:ascii="Times New Roman" w:hAnsi="Times New Roman"/>
          <w:color w:val="000000" w:themeColor="text1"/>
          <w:sz w:val="28"/>
          <w:szCs w:val="28"/>
        </w:rPr>
        <w:t>приказ Минфина России от 18 мая 2016 г. № 67н);</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 Министерства финансов Российской Федерации от 12 октября 2006 г. № 129н «О порядке утверждения ежегодных планов деятельности федеральных служб, находящихся в ведении Министерства финансов Российской Федерации, и отчетов о результатах их выполнения».</w:t>
      </w:r>
    </w:p>
    <w:p>
      <w:pPr>
        <w:tabs>
          <w:tab w:val="left" w:pos="2385"/>
          <w:tab w:val="center" w:pos="467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совершенствования деятельности Федерального казначейства </w:t>
      </w:r>
      <w:r>
        <w:rPr>
          <w:rFonts w:ascii="Times New Roman" w:hAnsi="Times New Roman"/>
          <w:color w:val="000000" w:themeColor="text1"/>
          <w:sz w:val="28"/>
          <w:szCs w:val="28"/>
        </w:rPr>
        <w:br/>
        <w:t>в рамках осуществления административного производства подготовлены предложения по внесению изменений в</w:t>
      </w:r>
      <w:r>
        <w:rPr>
          <w:rFonts w:ascii="Times New Roman" w:eastAsia="Times New Roman" w:hAnsi="Times New Roman"/>
          <w:color w:val="000000" w:themeColor="text1"/>
          <w:spacing w:val="1"/>
          <w:sz w:val="28"/>
          <w:szCs w:val="28"/>
          <w:lang w:eastAsia="ru-RU"/>
        </w:rPr>
        <w:t xml:space="preserve"> КоАП</w:t>
      </w:r>
      <w:r>
        <w:rPr>
          <w:rFonts w:ascii="Times New Roman" w:hAnsi="Times New Roman"/>
          <w:color w:val="000000" w:themeColor="text1"/>
          <w:sz w:val="28"/>
          <w:szCs w:val="28"/>
        </w:rPr>
        <w:t xml:space="preserve">, направленные </w:t>
      </w:r>
      <w:r>
        <w:rPr>
          <w:rFonts w:ascii="Times New Roman" w:hAnsi="Times New Roman"/>
          <w:color w:val="000000" w:themeColor="text1"/>
          <w:sz w:val="28"/>
          <w:szCs w:val="28"/>
        </w:rPr>
        <w:br/>
        <w:t xml:space="preserve">на закрепление возможности составления в автоматическом режиме постановлений по делам об административных правонарушениях </w:t>
      </w:r>
      <w:r>
        <w:rPr>
          <w:rFonts w:ascii="Times New Roman" w:hAnsi="Times New Roman"/>
          <w:color w:val="000000" w:themeColor="text1"/>
          <w:sz w:val="28"/>
          <w:szCs w:val="28"/>
        </w:rPr>
        <w:br/>
        <w:t xml:space="preserve">в бюджетной сфере и в сфере закупок для государственных </w:t>
      </w:r>
      <w:r>
        <w:rPr>
          <w:rFonts w:ascii="Times New Roman" w:hAnsi="Times New Roman"/>
          <w:color w:val="000000" w:themeColor="text1"/>
          <w:sz w:val="28"/>
          <w:szCs w:val="28"/>
        </w:rPr>
        <w:br/>
        <w:t xml:space="preserve">и муниципальных нужд. Кроме того, в рамках указанного законопроекта были разработаны предложения по дифференциации санкций </w:t>
      </w:r>
      <w:r>
        <w:rPr>
          <w:rFonts w:ascii="Times New Roman" w:hAnsi="Times New Roman"/>
          <w:color w:val="000000" w:themeColor="text1"/>
          <w:sz w:val="28"/>
          <w:szCs w:val="28"/>
        </w:rPr>
        <w:br/>
        <w:t xml:space="preserve">по административным правонарушениям в перечисленных сферах в случае совершения указанных административных правонарушений впервые. Также подготовлены предложения по дополнению КоАП новыми составами административных правонарушений в бюджетной сфере исходя из перечня </w:t>
      </w:r>
      <w:r>
        <w:rPr>
          <w:rFonts w:ascii="Times New Roman" w:hAnsi="Times New Roman"/>
          <w:color w:val="000000" w:themeColor="text1"/>
          <w:sz w:val="28"/>
          <w:szCs w:val="28"/>
        </w:rPr>
        <w:lastRenderedPageBreak/>
        <w:t>нарушений, выявляемых контрольно-ревизионными подразделениями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 учетом модели Международной организации высших органов внутреннего государственного финансового контроля ИНТОСАИ подзаконное правовое регулирование контроля в финансово-бюджетной сфере реализуется путем принятия стандартов по осуществлению контрольно-надзорной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регламентации внутренних процедур организации </w:t>
      </w:r>
      <w:r>
        <w:rPr>
          <w:rFonts w:ascii="Times New Roman" w:hAnsi="Times New Roman"/>
          <w:color w:val="000000" w:themeColor="text1"/>
          <w:sz w:val="28"/>
          <w:szCs w:val="28"/>
        </w:rPr>
        <w:br/>
        <w:t xml:space="preserve">и осуществления контрольной деятельности Федеральным казначейством </w:t>
      </w:r>
      <w:r>
        <w:rPr>
          <w:rFonts w:ascii="Times New Roman" w:hAnsi="Times New Roman"/>
          <w:color w:val="000000" w:themeColor="text1"/>
          <w:sz w:val="28"/>
          <w:szCs w:val="28"/>
        </w:rPr>
        <w:br/>
        <w:t xml:space="preserve">в 2016 году разработаны проекты приказов Федерального казначейства </w:t>
      </w:r>
      <w:r>
        <w:rPr>
          <w:rFonts w:ascii="Times New Roman" w:hAnsi="Times New Roman"/>
          <w:color w:val="000000" w:themeColor="text1"/>
          <w:sz w:val="28"/>
          <w:szCs w:val="28"/>
        </w:rPr>
        <w:br/>
        <w:t xml:space="preserve">об утверждении стандарта организации деятельности «Общие требования </w:t>
      </w:r>
      <w:r>
        <w:rPr>
          <w:rFonts w:ascii="Times New Roman" w:hAnsi="Times New Roman"/>
          <w:color w:val="000000" w:themeColor="text1"/>
          <w:sz w:val="28"/>
          <w:szCs w:val="28"/>
        </w:rPr>
        <w:br/>
        <w:t>к организации контрольной деятельности» и стандарта осуществления внутреннего государственного финансового контроля в сфере бюджетных правоотношений.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с учетом пункта 3 статьи 269.2 Бюджетного кодекса, </w:t>
      </w:r>
      <w:r>
        <w:rPr>
          <w:rFonts w:ascii="Times New Roman" w:hAnsi="Times New Roman"/>
          <w:color w:val="000000" w:themeColor="text1"/>
          <w:sz w:val="28"/>
          <w:szCs w:val="28"/>
        </w:rPr>
        <w:br/>
        <w:t xml:space="preserve">в соответствии с которым порядок осуществления полномочий органами внутреннего государственного (муниципального) финансового контроля </w:t>
      </w:r>
      <w:r>
        <w:rPr>
          <w:rFonts w:ascii="Times New Roman" w:hAnsi="Times New Roman"/>
          <w:color w:val="000000" w:themeColor="text1"/>
          <w:sz w:val="28"/>
          <w:szCs w:val="28"/>
        </w:rPr>
        <w:br/>
        <w:t>по внутреннему государственному (муниципальному) финансовому контролю определяется, в том числе, стандартами осуществления внутреннего государственного (муниципального) финансового контроля, утвержденными Министерством финансов Российской Федерации, Федеральным казначейством подготовлены предложения в следующие стандарты, разрабатываемые Министерством финансов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стандарт «Принципы осуществления внутреннего государственного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стандарт «Концептуальные основы осуществления Федеральным казначейством полномочий по внутреннему государственному финансовому контролю»;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стандарт «Планирование контрольной деятельности органа внутреннего государственного финансового контроля (с учетом применения риск-ориентированного подхода к планированию, оценки рисков совершения нарушений объектами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стандарт «Общие требования к стандартам осуществления внутреннего государственного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для обеспечения единства подходов к описанию </w:t>
      </w:r>
      <w:r>
        <w:rPr>
          <w:rFonts w:ascii="Times New Roman" w:hAnsi="Times New Roman"/>
          <w:color w:val="000000" w:themeColor="text1"/>
          <w:sz w:val="28"/>
          <w:szCs w:val="28"/>
        </w:rPr>
        <w:br/>
        <w:t xml:space="preserve">и систематизации нарушений, выявляемых контрольно-ревизионными подразделениями Федерального казначейства, разработана структура классификатора нарушений, выявляемых Федеральным казначейством </w:t>
      </w:r>
      <w:r>
        <w:rPr>
          <w:rFonts w:ascii="Times New Roman" w:hAnsi="Times New Roman"/>
          <w:color w:val="000000" w:themeColor="text1"/>
          <w:sz w:val="28"/>
          <w:szCs w:val="28"/>
        </w:rPr>
        <w:br/>
        <w:t>в ходе осуществления контроля 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 целях исполнения требований, изложенных в пункте 24 Правил осуществления Федеральным казначейством полномочий по контролю</w:t>
      </w:r>
      <w:r>
        <w:rPr>
          <w:rFonts w:ascii="Times New Roman" w:hAnsi="Times New Roman"/>
          <w:color w:val="000000" w:themeColor="text1"/>
          <w:sz w:val="28"/>
          <w:szCs w:val="28"/>
        </w:rPr>
        <w:br/>
        <w:t>в финансово-бюджетной сфере, утвержденных постановлением Правительства Российской Федерации от 28 ноября 2013 г. № 1092, Федеральным казначейством разработана и утверждена Методика отбора контрольных мероприятий при формировании Плана контрольных мероприятий Федерального казначейства 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Для обеспечения доступа объектам контроля к информации </w:t>
      </w:r>
      <w:r>
        <w:rPr>
          <w:rFonts w:ascii="Times New Roman" w:hAnsi="Times New Roman"/>
          <w:color w:val="000000" w:themeColor="text1"/>
          <w:sz w:val="28"/>
          <w:szCs w:val="28"/>
        </w:rPr>
        <w:br/>
        <w:t>об обязательных требованиях, исполнение которых проверяется в ходе контроля в финансово-бюджетной сфере, в соответствии с пунктами 30, 31 Плана мероприятий («дорожной карты») по совершенствованию контрольно-надзорной деятельности в Российской Федерации на 2016–2017 годы, утвержденного распоряжением Правительства Российской Федерации от 1 апреля 2016 г. № 559-р, обеспечено составление перечня правовых актов, содержащих обязательные требования, и его размещение, а также размещение текстов правовых актов, содержащих обязательные требования на официальном сайте Федерального казначейства в информационно-телекоммуникационной сети «Интернет».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резолюцией Международной научно-практической конференции «Государственный финансовый контроль как основа повышения качества и эффективности управления общественными финансами», прошедшей в г. Санкт-Петербурге 11 июня 2016 года, </w:t>
      </w:r>
      <w:r>
        <w:rPr>
          <w:rFonts w:ascii="Times New Roman" w:hAnsi="Times New Roman"/>
          <w:color w:val="000000" w:themeColor="text1"/>
          <w:sz w:val="28"/>
          <w:szCs w:val="28"/>
        </w:rPr>
        <w:br/>
        <w:t>при Федеральном казначействе создан коллегиальный и совещательный орган – Совет по вопросам внутреннего государственного финансового контроля. Приказом Федерального казначейства от 10 октября 2016 г. № 368 утверждено положение о Совете по вопросам внутреннего государственного финансового контроля, в соответствии с которым к его функциям отнесены: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подготовка предложений по совершенствованию внутреннего государственного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рассмотрение проектов НПА по вопросам внутреннего государственного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выработка предложений по автоматизации деятельности органов внутреннего государственного финансового контроля по внутреннему государственному финансовому контролю;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выработка предложений по совершенствованию межведомственного взаимодействия при осуществлении внутреннего государственного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Приказом Федерального казначейства от 9 ноября 2016 г. № 41 утвержден состав указанного Совета.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Первое заседание Совета, в котором приняли участие представители Министерства финансов Российской Федерации, ЦАФК, ТОФК и органов внутреннего государственного финансового контроля субъектов Российской Федерации, прошло в г. Москве 27 октября 2016 года.</w:t>
      </w:r>
    </w:p>
    <w:p>
      <w:pPr>
        <w:pStyle w:val="afe"/>
        <w:ind w:firstLine="709"/>
        <w:jc w:val="both"/>
        <w:rPr>
          <w:color w:val="000000" w:themeColor="text1"/>
          <w:sz w:val="28"/>
          <w:szCs w:val="28"/>
        </w:rPr>
      </w:pPr>
      <w:r>
        <w:rPr>
          <w:color w:val="000000" w:themeColor="text1"/>
          <w:sz w:val="28"/>
          <w:szCs w:val="28"/>
        </w:rPr>
        <w:t xml:space="preserve">Федеральное казначейство также приняло участие в организации </w:t>
      </w:r>
      <w:r>
        <w:rPr>
          <w:color w:val="000000" w:themeColor="text1"/>
          <w:sz w:val="28"/>
          <w:szCs w:val="28"/>
        </w:rPr>
        <w:br/>
        <w:t>и проведении сессии «Государственный финансовый контроль: что должно измениться?» в рамках Московского финансового форума.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3.1.13. Организация и проведение анализа осуществления главными администраторами средств федерального бюджета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В 2016 году проведена работа по передаче Федеральному казначейству полномочий Росфиннадзора по проведению анализа осуществления главными администраторами средств федерального бюджета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целях реализации бюджетных полномочий Федерального казначейства, установленных п. 4 ст. 157 Бюджетного кодекса утвержден План деятельности Федерального казначейства по осуществлению анализа проведения главными администраторами средств федерального бюджета внутреннего финансового контроля и внутреннего финансового аудита </w:t>
      </w:r>
      <w:r>
        <w:rPr>
          <w:rFonts w:ascii="Times New Roman" w:eastAsia="Times New Roman" w:hAnsi="Times New Roman"/>
          <w:color w:val="000000" w:themeColor="text1"/>
          <w:sz w:val="28"/>
          <w:szCs w:val="28"/>
          <w:lang w:eastAsia="ar-SA"/>
        </w:rPr>
        <w:br/>
        <w:t>на 2016 год.</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рамках проведения аналитических мероприятий Федеральным казначейством направлен запрос главным администраторам средств федерального бюджета о представлении информации в целях проведения анализа осуществления ими внутреннего финансового контроля </w:t>
      </w:r>
      <w:r>
        <w:rPr>
          <w:rFonts w:ascii="Times New Roman" w:eastAsia="Times New Roman" w:hAnsi="Times New Roman"/>
          <w:color w:val="000000" w:themeColor="text1"/>
          <w:sz w:val="28"/>
          <w:szCs w:val="28"/>
          <w:lang w:eastAsia="ar-SA"/>
        </w:rPr>
        <w:br/>
        <w:t>и внутреннего финансового аудита в 2016 году (98 % от общего количества главных администраторов средств федерального бюджета).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Также в 2016 году проведена работа по стандартизации аналитической деятельности. Подготовлен проект приказа Федерального казначейства «Об утверждении Стандарта проведения анализа осуществления главными администраторами средств федерального бюджета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Указанный проект прошел процедуры общественного обсуждения, антикоррупционной экспертизы и направлен на согласование в Минфин России.</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целях формирования общих подходов к осуществлению главными администраторами средств федерального бюджета внутреннего финансового контроля и внутреннего финансового аудита 29 ноября </w:t>
      </w:r>
      <w:r>
        <w:rPr>
          <w:rFonts w:ascii="Times New Roman" w:eastAsia="Times New Roman" w:hAnsi="Times New Roman"/>
          <w:color w:val="000000" w:themeColor="text1"/>
          <w:sz w:val="28"/>
          <w:szCs w:val="28"/>
          <w:lang w:eastAsia="ar-SA"/>
        </w:rPr>
        <w:lastRenderedPageBreak/>
        <w:t xml:space="preserve">2016 года Федеральным казначейством совместно с Министерством финансов Российской Федерации на базе Финансового университета </w:t>
      </w:r>
      <w:r>
        <w:rPr>
          <w:rFonts w:ascii="Times New Roman" w:eastAsia="Times New Roman" w:hAnsi="Times New Roman"/>
          <w:color w:val="000000" w:themeColor="text1"/>
          <w:sz w:val="28"/>
          <w:szCs w:val="28"/>
          <w:lang w:eastAsia="ar-SA"/>
        </w:rPr>
        <w:br/>
        <w:t>при Правительстве Российской Федерации проведена научно-практическая конференция на тему: «Перспективы развития внутреннего финансового контроля и внутреннего финансового аудита в государственном секторе».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3.1.14. Организация и проведение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В 2016 году проведена работа по передаче Федеральному казначейству полномочий Росфиннадзора по проведению анализа исполнения бюджетных полномочий органов внутреннего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 (далее – органов внутреннего государственного (муниципального) финансового контроля).</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В целях реализации бюджетных полномочий Федерального казначейства, установленных п. 3 ст. 157 Бюджетного кодекса утвержден План осуществления территориальными органами Федерального казначейства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 на 2016 год.</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целом по итогам 2016 года проведено 813 аналитических мероприятий (с учетом аналитических мероприятий, проведенных </w:t>
      </w:r>
      <w:proofErr w:type="spellStart"/>
      <w:r>
        <w:rPr>
          <w:rFonts w:ascii="Times New Roman" w:eastAsia="Times New Roman" w:hAnsi="Times New Roman"/>
          <w:color w:val="000000" w:themeColor="text1"/>
          <w:sz w:val="28"/>
          <w:szCs w:val="28"/>
          <w:lang w:eastAsia="ar-SA"/>
        </w:rPr>
        <w:t>Росфиннадзором</w:t>
      </w:r>
      <w:proofErr w:type="spellEnd"/>
      <w:r>
        <w:rPr>
          <w:rFonts w:ascii="Times New Roman" w:eastAsia="Times New Roman" w:hAnsi="Times New Roman"/>
          <w:color w:val="000000" w:themeColor="text1"/>
          <w:sz w:val="28"/>
          <w:szCs w:val="28"/>
          <w:lang w:eastAsia="ar-SA"/>
        </w:rPr>
        <w:t xml:space="preserve"> в 1 полугодии 2016 года). При этом доля органов государственного (муниципального) финансового контроля, в отношении которых проведен Анализ исполнения бюджетных полномочий, от общего количества органов государственного (муниципального) финансового контроля составила 23,8 %, при установленном на 2016 год целевом значении показателя 4.4. подпрограммы 4 «Организация и осуществление контроля и надзора в финансово-бюджетной сфере» Госпрограммы № 40 </w:t>
      </w:r>
      <w:r>
        <w:rPr>
          <w:rFonts w:ascii="Times New Roman" w:eastAsia="Times New Roman" w:hAnsi="Times New Roman"/>
          <w:color w:val="000000" w:themeColor="text1"/>
          <w:sz w:val="28"/>
          <w:szCs w:val="28"/>
          <w:lang w:eastAsia="ar-SA"/>
        </w:rPr>
        <w:br/>
        <w:t>в размере 22 процента.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Также в 2016 году проведена работа по стандартизации аналитической деятельности. Подготовлен проект приказа Федерального казначейства «Об утверждении Стандарта проведения анализа исполнения бюджетных полномочий органов государственного (муниципального) финансового контроля, являющихся органами (должностными лицами) </w:t>
      </w:r>
      <w:r>
        <w:rPr>
          <w:rFonts w:ascii="Times New Roman" w:eastAsia="Times New Roman" w:hAnsi="Times New Roman"/>
          <w:color w:val="000000" w:themeColor="text1"/>
          <w:sz w:val="28"/>
          <w:szCs w:val="28"/>
          <w:lang w:eastAsia="ar-SA"/>
        </w:rPr>
        <w:lastRenderedPageBreak/>
        <w:t xml:space="preserve">исполнительной власти субъектов Российской Федерации (местных администраций)». Указанный проект прошел процедуры общественного обсуждения, антикоррупционной экспертизы и направлен на согласование </w:t>
      </w:r>
      <w:r>
        <w:rPr>
          <w:rFonts w:ascii="Times New Roman" w:eastAsia="Times New Roman" w:hAnsi="Times New Roman"/>
          <w:color w:val="000000" w:themeColor="text1"/>
          <w:sz w:val="28"/>
          <w:szCs w:val="28"/>
          <w:lang w:eastAsia="ar-SA"/>
        </w:rPr>
        <w:br/>
        <w:t>в Минфин России.</w:t>
      </w:r>
    </w:p>
    <w:p>
      <w:pPr>
        <w:tabs>
          <w:tab w:val="left" w:pos="840"/>
        </w:tabs>
        <w:spacing w:before="120" w:after="120" w:line="360" w:lineRule="atLeast"/>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3.1.15. Осуществление согласования и направления уведомлений о применении бюджетных мер принуждения, подготавливаемых территориальными органами Федерального казначейства, </w:t>
      </w:r>
      <w:r>
        <w:rPr>
          <w:rFonts w:ascii="Times New Roman" w:eastAsia="Times New Roman" w:hAnsi="Times New Roman"/>
          <w:b/>
          <w:color w:val="000000" w:themeColor="text1"/>
          <w:sz w:val="28"/>
          <w:szCs w:val="28"/>
          <w:lang w:eastAsia="ru-RU"/>
        </w:rPr>
        <w:br/>
        <w:t>в Министерство финансов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Федеральным казначейством в 2016 году согласованы и направлены </w:t>
      </w:r>
      <w:r>
        <w:rPr>
          <w:rFonts w:ascii="Times New Roman" w:eastAsia="Times New Roman" w:hAnsi="Times New Roman"/>
          <w:color w:val="000000" w:themeColor="text1"/>
          <w:sz w:val="28"/>
          <w:szCs w:val="28"/>
          <w:lang w:eastAsia="ru-RU"/>
        </w:rPr>
        <w:br/>
        <w:t xml:space="preserve">в Министерство финансов Российской Федерации 52 уведомления </w:t>
      </w:r>
      <w:r>
        <w:rPr>
          <w:rFonts w:ascii="Times New Roman" w:eastAsia="Times New Roman" w:hAnsi="Times New Roman"/>
          <w:color w:val="000000" w:themeColor="text1"/>
          <w:sz w:val="28"/>
          <w:szCs w:val="28"/>
          <w:lang w:eastAsia="ru-RU"/>
        </w:rPr>
        <w:br/>
        <w:t xml:space="preserve">о применении бюджетных мер принуждения, подготовленные </w:t>
      </w:r>
      <w:r>
        <w:rPr>
          <w:rFonts w:ascii="Times New Roman" w:eastAsia="Times New Roman" w:hAnsi="Times New Roman"/>
          <w:color w:val="000000" w:themeColor="text1"/>
          <w:sz w:val="28"/>
          <w:szCs w:val="28"/>
          <w:lang w:eastAsia="ru-RU"/>
        </w:rPr>
        <w:br/>
        <w:t>по результатам контрольных мероприятий, проведенных ТОФК, на общую сумму бюджетных нарушений 22 421 312 070 рублей</w:t>
      </w:r>
      <w:r>
        <w:rPr>
          <w:rFonts w:ascii="Times New Roman" w:eastAsia="Times New Roman" w:hAnsi="Times New Roman"/>
          <w:color w:val="000000" w:themeColor="text1"/>
          <w:sz w:val="28"/>
          <w:szCs w:val="28"/>
          <w:vertAlign w:val="superscript"/>
          <w:lang w:eastAsia="ru-RU"/>
        </w:rPr>
        <w:footnoteReference w:id="5"/>
      </w:r>
      <w:r>
        <w:rPr>
          <w:rFonts w:ascii="Times New Roman" w:eastAsia="Times New Roman" w:hAnsi="Times New Roman"/>
          <w:color w:val="000000" w:themeColor="text1"/>
          <w:sz w:val="28"/>
          <w:szCs w:val="28"/>
          <w:lang w:eastAsia="ru-RU"/>
        </w:rPr>
        <w:t xml:space="preserve"> (двадцать </w:t>
      </w:r>
      <w:r>
        <w:rPr>
          <w:rFonts w:ascii="Times New Roman" w:eastAsia="Times New Roman" w:hAnsi="Times New Roman"/>
          <w:color w:val="000000" w:themeColor="text1"/>
          <w:sz w:val="28"/>
          <w:szCs w:val="28"/>
          <w:lang w:eastAsia="ru-RU"/>
        </w:rPr>
        <w:br/>
        <w:t>два миллиарда четыреста двадцать один миллион триста двенадцать тысяч семьдесят рублей), из них: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12 (двенадцать) уведомлений о применении бюджетных мер принуждения подготовлены и направлены по фактам совершения бюджетных нарушений, предусмотренных статьей 306.4 Бюджетного кодекса и выразившихся в нецелевом использовании средств федерального бюджета на сумму 284 272 010 (двести восемьдесят четыре миллиона двести семьдесят две тысячи десять) рублей;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1 (одно) уведомление о применении бюджетных мер принуждения подготовлено и направлено по фактам совершения бюджетного нарушения, предусмотренного статьей 306.6 Бюджетного кодекса и выразившегося </w:t>
      </w:r>
      <w:r>
        <w:rPr>
          <w:rFonts w:ascii="Times New Roman" w:eastAsia="Times New Roman" w:hAnsi="Times New Roman"/>
          <w:color w:val="000000" w:themeColor="text1"/>
          <w:sz w:val="28"/>
          <w:szCs w:val="28"/>
          <w:lang w:eastAsia="ru-RU"/>
        </w:rPr>
        <w:br/>
        <w:t xml:space="preserve">в </w:t>
      </w:r>
      <w:r>
        <w:rPr>
          <w:rFonts w:ascii="Times New Roman" w:hAnsi="Times New Roman"/>
          <w:color w:val="000000" w:themeColor="text1"/>
          <w:sz w:val="28"/>
          <w:szCs w:val="28"/>
        </w:rPr>
        <w:t>несвоевременном перечислении платы за пользование бюджетным кредитом на сумму 5 372 060 (пять миллионов триста семьдесят две тысячи шестьдесят) рублей;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4 (четыре) уведомления о применении бюджетных мер принуждения подготовлены и направлены по фактам совершения бюджетных нарушений, предусмотренных статьей 306.7 Бюджетного кодекса и выразившихся </w:t>
      </w:r>
      <w:r>
        <w:rPr>
          <w:rFonts w:ascii="Times New Roman" w:eastAsia="Times New Roman" w:hAnsi="Times New Roman"/>
          <w:color w:val="000000" w:themeColor="text1"/>
          <w:sz w:val="28"/>
          <w:szCs w:val="28"/>
          <w:lang w:eastAsia="ru-RU"/>
        </w:rPr>
        <w:br/>
        <w:t>в нарушении условий предоставления бюджетного кредита</w:t>
      </w:r>
      <w:r>
        <w:rPr>
          <w:rFonts w:ascii="Times New Roman" w:hAnsi="Times New Roman"/>
          <w:color w:val="000000" w:themeColor="text1"/>
          <w:sz w:val="28"/>
          <w:szCs w:val="28"/>
        </w:rPr>
        <w:t xml:space="preserve"> на сумму 17 948 451 000 (семнадцать миллиардов девятьсот сорок восемь миллионов четыреста пятьдесят одна тысяча) рублей;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35 (тридцать пять) уведомлений </w:t>
      </w:r>
      <w:r>
        <w:rPr>
          <w:rFonts w:ascii="Times New Roman" w:eastAsia="Times New Roman" w:hAnsi="Times New Roman"/>
          <w:color w:val="000000" w:themeColor="text1"/>
          <w:sz w:val="28"/>
          <w:szCs w:val="28"/>
          <w:lang w:eastAsia="ru-RU"/>
        </w:rPr>
        <w:t xml:space="preserve">о применении бюджетных мер принуждения подготовлены и направлены по фактам совершения </w:t>
      </w:r>
      <w:r>
        <w:rPr>
          <w:rFonts w:ascii="Times New Roman" w:eastAsia="Times New Roman" w:hAnsi="Times New Roman"/>
          <w:color w:val="000000" w:themeColor="text1"/>
          <w:sz w:val="28"/>
          <w:szCs w:val="28"/>
          <w:lang w:eastAsia="ru-RU"/>
        </w:rPr>
        <w:lastRenderedPageBreak/>
        <w:t>бюджетных нарушений, предусмотренных статьей 306.8 Бюджетного кодекса и выразившихся в нарушении условий предоставления (расходования) межбюджетных трансфертов</w:t>
      </w:r>
      <w:r>
        <w:rPr>
          <w:rFonts w:ascii="Times New Roman" w:hAnsi="Times New Roman"/>
          <w:color w:val="000000" w:themeColor="text1"/>
          <w:sz w:val="28"/>
          <w:szCs w:val="28"/>
        </w:rPr>
        <w:t>, на сумму 4 183 217 000 (четыре миллиарда сто восемьдесят три миллиона двести семнадцать тысяч) рублей.</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ru-RU"/>
        </w:rPr>
        <w:t xml:space="preserve">Кроме того, Федеральным казначейством в целях оптимизации работы по согласованию и направлению уведомлений о применении бюджетных мер принуждения в Министерство финансов Российской Федерации и недопущения случаев их направления с нарушением сроков, установленных Бюджетным кодексом, издан приказ Федерального казначейства от 25 ноября 2016 г. № 433 «Об организации работы </w:t>
      </w:r>
      <w:r>
        <w:rPr>
          <w:rFonts w:ascii="Times New Roman" w:eastAsia="Times New Roman" w:hAnsi="Times New Roman"/>
          <w:color w:val="000000" w:themeColor="text1"/>
          <w:sz w:val="28"/>
          <w:szCs w:val="28"/>
          <w:lang w:eastAsia="ru-RU"/>
        </w:rPr>
        <w:br/>
        <w:t>по согласованию и направлению уведомлений о применении бюджетных мер принуждения в Федеральном казначействе».</w:t>
      </w:r>
    </w:p>
    <w:p>
      <w:pPr>
        <w:autoSpaceDE w:val="0"/>
        <w:autoSpaceDN w:val="0"/>
        <w:adjustRightInd w:val="0"/>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3.1.16. Производство по делам об административных правонарушениях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упразднением Федеральной службы финансово-бюджетного надзора Федеральному казначейству переданы функции по контролю </w:t>
      </w:r>
      <w:r>
        <w:rPr>
          <w:rFonts w:ascii="Times New Roman" w:eastAsia="Times New Roman" w:hAnsi="Times New Roman"/>
          <w:color w:val="000000" w:themeColor="text1"/>
          <w:sz w:val="28"/>
          <w:szCs w:val="28"/>
          <w:lang w:eastAsia="ru-RU"/>
        </w:rPr>
        <w:br/>
        <w:t>в финансово-бюджетной сфере, в том числе полномочия по осуществлению в рамках своей компетенции производства по делам об административных правонарушениях.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частью 1 статьи 23.7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на Федеральное казначейство и его территориальные органы возложены полномочия </w:t>
      </w:r>
      <w:r>
        <w:rPr>
          <w:rFonts w:ascii="Times New Roman" w:eastAsia="Times New Roman" w:hAnsi="Times New Roman"/>
          <w:color w:val="000000" w:themeColor="text1"/>
          <w:sz w:val="28"/>
          <w:szCs w:val="28"/>
          <w:lang w:eastAsia="ru-RU"/>
        </w:rPr>
        <w:br/>
        <w:t xml:space="preserve">по рассмотрению дел об административных правонарушениях, предусмотренных </w:t>
      </w:r>
      <w:hyperlink r:id="rId127" w:history="1">
        <w:r>
          <w:rPr>
            <w:rFonts w:ascii="Times New Roman" w:eastAsia="Times New Roman" w:hAnsi="Times New Roman"/>
            <w:color w:val="000000" w:themeColor="text1"/>
            <w:sz w:val="28"/>
            <w:szCs w:val="28"/>
            <w:lang w:eastAsia="ru-RU"/>
          </w:rPr>
          <w:t>статьей 7.29.3</w:t>
        </w:r>
      </w:hyperlink>
      <w:r>
        <w:rPr>
          <w:rFonts w:ascii="Times New Roman" w:eastAsia="Times New Roman" w:hAnsi="Times New Roman"/>
          <w:color w:val="000000" w:themeColor="text1"/>
          <w:sz w:val="28"/>
          <w:szCs w:val="28"/>
          <w:lang w:eastAsia="ru-RU"/>
        </w:rPr>
        <w:t xml:space="preserve">, </w:t>
      </w:r>
      <w:hyperlink r:id="rId128" w:history="1">
        <w:r>
          <w:rPr>
            <w:rFonts w:ascii="Times New Roman" w:eastAsia="Times New Roman" w:hAnsi="Times New Roman"/>
            <w:color w:val="000000" w:themeColor="text1"/>
            <w:sz w:val="28"/>
            <w:szCs w:val="28"/>
            <w:lang w:eastAsia="ru-RU"/>
          </w:rPr>
          <w:t>частями 8</w:t>
        </w:r>
      </w:hyperlink>
      <w:r>
        <w:rPr>
          <w:rFonts w:ascii="Times New Roman" w:eastAsia="Times New Roman" w:hAnsi="Times New Roman"/>
          <w:color w:val="000000" w:themeColor="text1"/>
          <w:sz w:val="28"/>
          <w:szCs w:val="28"/>
          <w:lang w:eastAsia="ru-RU"/>
        </w:rPr>
        <w:t>-</w:t>
      </w:r>
      <w:hyperlink r:id="rId129" w:history="1">
        <w:r>
          <w:rPr>
            <w:rFonts w:ascii="Times New Roman" w:eastAsia="Times New Roman" w:hAnsi="Times New Roman"/>
            <w:color w:val="000000" w:themeColor="text1"/>
            <w:sz w:val="28"/>
            <w:szCs w:val="28"/>
            <w:lang w:eastAsia="ru-RU"/>
          </w:rPr>
          <w:t>10 статьи 7.32</w:t>
        </w:r>
      </w:hyperlink>
      <w:r>
        <w:rPr>
          <w:rFonts w:ascii="Times New Roman" w:eastAsia="Times New Roman" w:hAnsi="Times New Roman"/>
          <w:color w:val="000000" w:themeColor="text1"/>
          <w:sz w:val="28"/>
          <w:szCs w:val="28"/>
          <w:lang w:eastAsia="ru-RU"/>
        </w:rPr>
        <w:t xml:space="preserve">, </w:t>
      </w:r>
      <w:hyperlink r:id="rId130" w:history="1">
        <w:r>
          <w:rPr>
            <w:rFonts w:ascii="Times New Roman" w:eastAsia="Times New Roman" w:hAnsi="Times New Roman"/>
            <w:color w:val="000000" w:themeColor="text1"/>
            <w:sz w:val="28"/>
            <w:szCs w:val="28"/>
            <w:lang w:eastAsia="ru-RU"/>
          </w:rPr>
          <w:t>статьями 15.1</w:t>
        </w:r>
      </w:hyperlink>
      <w:r>
        <w:rPr>
          <w:rFonts w:ascii="Times New Roman" w:eastAsia="Times New Roman" w:hAnsi="Times New Roman"/>
          <w:color w:val="000000" w:themeColor="text1"/>
          <w:sz w:val="28"/>
          <w:szCs w:val="28"/>
          <w:lang w:eastAsia="ru-RU"/>
        </w:rPr>
        <w:t xml:space="preserve">, </w:t>
      </w:r>
      <w:hyperlink r:id="rId131" w:history="1">
        <w:r>
          <w:rPr>
            <w:rFonts w:ascii="Times New Roman" w:eastAsia="Times New Roman" w:hAnsi="Times New Roman"/>
            <w:color w:val="000000" w:themeColor="text1"/>
            <w:sz w:val="28"/>
            <w:szCs w:val="28"/>
            <w:lang w:eastAsia="ru-RU"/>
          </w:rPr>
          <w:t>15.14</w:t>
        </w:r>
      </w:hyperlink>
      <w:r>
        <w:rPr>
          <w:rFonts w:ascii="Times New Roman" w:eastAsia="Times New Roman" w:hAnsi="Times New Roman"/>
          <w:color w:val="000000" w:themeColor="text1"/>
          <w:sz w:val="28"/>
          <w:szCs w:val="28"/>
          <w:lang w:eastAsia="ru-RU"/>
        </w:rPr>
        <w:t>-</w:t>
      </w:r>
      <w:hyperlink r:id="rId132" w:history="1">
        <w:r>
          <w:rPr>
            <w:rFonts w:ascii="Times New Roman" w:eastAsia="Times New Roman" w:hAnsi="Times New Roman"/>
            <w:color w:val="000000" w:themeColor="text1"/>
            <w:sz w:val="28"/>
            <w:szCs w:val="28"/>
            <w:lang w:eastAsia="ru-RU"/>
          </w:rPr>
          <w:t>15.15.16</w:t>
        </w:r>
      </w:hyperlink>
      <w:r>
        <w:rPr>
          <w:rFonts w:ascii="Times New Roman" w:eastAsia="Times New Roman" w:hAnsi="Times New Roman"/>
          <w:color w:val="000000" w:themeColor="text1"/>
          <w:sz w:val="28"/>
          <w:szCs w:val="28"/>
          <w:lang w:eastAsia="ru-RU"/>
        </w:rPr>
        <w:t xml:space="preserve">, </w:t>
      </w:r>
      <w:hyperlink r:id="rId133" w:history="1">
        <w:r>
          <w:rPr>
            <w:rFonts w:ascii="Times New Roman" w:eastAsia="Times New Roman" w:hAnsi="Times New Roman"/>
            <w:color w:val="000000" w:themeColor="text1"/>
            <w:sz w:val="28"/>
            <w:szCs w:val="28"/>
            <w:lang w:eastAsia="ru-RU"/>
          </w:rPr>
          <w:t>частью 20 статьи 19.5</w:t>
        </w:r>
      </w:hyperlink>
      <w:r>
        <w:rPr>
          <w:rFonts w:ascii="Times New Roman" w:eastAsia="Times New Roman" w:hAnsi="Times New Roman"/>
          <w:color w:val="000000" w:themeColor="text1"/>
          <w:sz w:val="28"/>
          <w:szCs w:val="28"/>
          <w:lang w:eastAsia="ru-RU"/>
        </w:rPr>
        <w:t xml:space="preserve"> и </w:t>
      </w:r>
      <w:hyperlink r:id="rId134" w:history="1">
        <w:r>
          <w:rPr>
            <w:rFonts w:ascii="Times New Roman" w:eastAsia="Times New Roman" w:hAnsi="Times New Roman"/>
            <w:color w:val="000000" w:themeColor="text1"/>
            <w:sz w:val="28"/>
            <w:szCs w:val="28"/>
            <w:lang w:eastAsia="ru-RU"/>
          </w:rPr>
          <w:t>частью 1 статьи 19.7.2</w:t>
        </w:r>
      </w:hyperlink>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br/>
        <w:t>(в пределах своих полномочий).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Частью 2 статьи 23.7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установлено, что в Федеральном казначействе и его территориальных органах рассматривать дела </w:t>
      </w:r>
      <w:r>
        <w:rPr>
          <w:rFonts w:ascii="Times New Roman" w:eastAsia="Times New Roman" w:hAnsi="Times New Roman"/>
          <w:color w:val="000000" w:themeColor="text1"/>
          <w:sz w:val="28"/>
          <w:szCs w:val="28"/>
          <w:lang w:eastAsia="ru-RU"/>
        </w:rPr>
        <w:br/>
        <w:t xml:space="preserve">об административных правонарушениях вправе руководитель Федерального казначейства, его заместители, руководители структурных подразделений Федерального казначейства, их заместители, руководители ТОФК </w:t>
      </w:r>
      <w:r>
        <w:rPr>
          <w:rFonts w:ascii="Times New Roman" w:eastAsia="Times New Roman" w:hAnsi="Times New Roman"/>
          <w:color w:val="000000" w:themeColor="text1"/>
          <w:sz w:val="28"/>
          <w:szCs w:val="28"/>
          <w:lang w:eastAsia="ru-RU"/>
        </w:rPr>
        <w:br/>
        <w:t>и их заместители.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этой связи в целях реализации вышеуказанных положений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Федеральным казначейством разработан Порядок осуществления производства по делам об административных правонарушениях </w:t>
      </w:r>
      <w:r>
        <w:rPr>
          <w:rFonts w:ascii="Times New Roman" w:eastAsia="Times New Roman" w:hAnsi="Times New Roman"/>
          <w:color w:val="000000" w:themeColor="text1"/>
          <w:sz w:val="28"/>
          <w:szCs w:val="28"/>
          <w:lang w:eastAsia="ru-RU"/>
        </w:rPr>
        <w:br/>
        <w:t xml:space="preserve">в ЦАФК, утвержденный приказом Федерального казначейства от 30 ноября 2016 г. № 437, а также изданы приказы от 17 мая 2016 г. № 151 </w:t>
      </w:r>
      <w:r>
        <w:rPr>
          <w:rFonts w:ascii="Times New Roman" w:eastAsia="Times New Roman" w:hAnsi="Times New Roman"/>
          <w:color w:val="000000" w:themeColor="text1"/>
          <w:sz w:val="28"/>
          <w:szCs w:val="28"/>
          <w:lang w:eastAsia="ru-RU"/>
        </w:rPr>
        <w:br/>
        <w:t xml:space="preserve">«О должностных лицах Федерального казначейства, уполномоченных рассматривать дела об административных правонарушениях» и от 30 мая </w:t>
      </w:r>
      <w:r>
        <w:rPr>
          <w:rFonts w:ascii="Times New Roman" w:eastAsia="Times New Roman" w:hAnsi="Times New Roman"/>
          <w:color w:val="000000" w:themeColor="text1"/>
          <w:sz w:val="28"/>
          <w:szCs w:val="28"/>
          <w:lang w:eastAsia="ru-RU"/>
        </w:rPr>
        <w:lastRenderedPageBreak/>
        <w:t xml:space="preserve">2016 г. № 178 «О должностных лицах Федерального казначейства, уполномоченных рассматривать жалобы на постановления по делам </w:t>
      </w:r>
      <w:r>
        <w:rPr>
          <w:rFonts w:ascii="Times New Roman" w:eastAsia="Times New Roman" w:hAnsi="Times New Roman"/>
          <w:color w:val="000000" w:themeColor="text1"/>
          <w:sz w:val="28"/>
          <w:szCs w:val="28"/>
          <w:lang w:eastAsia="ru-RU"/>
        </w:rPr>
        <w:br/>
        <w:t xml:space="preserve">об административных правонарушениях», персонифицирующие соответственно перечень должностных лиц, рассматривающих дела </w:t>
      </w:r>
      <w:r>
        <w:rPr>
          <w:rFonts w:ascii="Times New Roman" w:eastAsia="Times New Roman" w:hAnsi="Times New Roman"/>
          <w:color w:val="000000" w:themeColor="text1"/>
          <w:sz w:val="28"/>
          <w:szCs w:val="28"/>
          <w:lang w:eastAsia="ru-RU"/>
        </w:rPr>
        <w:br/>
        <w:t xml:space="preserve">об административных правонарушениях в Федеральном казначействе, </w:t>
      </w:r>
      <w:r>
        <w:rPr>
          <w:rFonts w:ascii="Times New Roman" w:eastAsia="Times New Roman" w:hAnsi="Times New Roman"/>
          <w:color w:val="000000" w:themeColor="text1"/>
          <w:sz w:val="28"/>
          <w:szCs w:val="28"/>
          <w:lang w:eastAsia="ru-RU"/>
        </w:rPr>
        <w:br/>
        <w:t xml:space="preserve">а также рассматривающих жалобы на постановления по делам </w:t>
      </w:r>
      <w:r>
        <w:rPr>
          <w:rFonts w:ascii="Times New Roman" w:eastAsia="Times New Roman" w:hAnsi="Times New Roman"/>
          <w:color w:val="000000" w:themeColor="text1"/>
          <w:sz w:val="28"/>
          <w:szCs w:val="28"/>
          <w:lang w:eastAsia="ru-RU"/>
        </w:rPr>
        <w:br/>
        <w:t>об административных правонарушениях, вынесенных ТОФК.</w:t>
      </w:r>
    </w:p>
    <w:p>
      <w:pPr>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ru-RU"/>
        </w:rPr>
        <w:t>Следует отметить, что за прошедший 2016 год в Федеральном казначействе рассмотрено 25 дел об административных правонарушениях, из них по 8 делам вынесены постановления о наложении административного штрафа на общую сумму 130 000,00 рублей. При этом сумма взысканных (уплаченных) штрафов по состоянию на 1 января 2017 года составила 50 000,00 рублей, по остальным срок для добровольной оплаты еще не наступил.</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50</w:t>
      </w:r>
    </w:p>
    <w:p>
      <w:pPr>
        <w:spacing w:line="360" w:lineRule="atLeast"/>
        <w:ind w:firstLine="709"/>
        <w:jc w:val="center"/>
        <w:rPr>
          <w:rFonts w:ascii="Times New Roman" w:hAnsi="Times New Roman"/>
          <w:color w:val="000000" w:themeColor="text1"/>
          <w:sz w:val="28"/>
          <w:szCs w:val="28"/>
        </w:rPr>
      </w:pPr>
      <w:r>
        <w:rPr>
          <w:rFonts w:ascii="Times New Roman" w:eastAsia="Times New Roman" w:hAnsi="Times New Roman"/>
          <w:noProof/>
          <w:color w:val="000000" w:themeColor="text1"/>
          <w:sz w:val="28"/>
          <w:szCs w:val="28"/>
          <w:lang w:eastAsia="ru-RU"/>
        </w:rPr>
        <w:drawing>
          <wp:inline distT="0" distB="0" distL="0" distR="0">
            <wp:extent cx="3760967" cy="2751152"/>
            <wp:effectExtent l="0" t="0" r="30480" b="0"/>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Касаясь статистики рассмотрения дел об административных правонарушениях, интересно обратить внимание на следующие статьи, </w:t>
      </w:r>
      <w:r>
        <w:rPr>
          <w:rFonts w:ascii="Times New Roman" w:eastAsia="Times New Roman" w:hAnsi="Times New Roman"/>
          <w:color w:val="000000" w:themeColor="text1"/>
          <w:sz w:val="28"/>
          <w:szCs w:val="28"/>
          <w:lang w:eastAsia="ru-RU"/>
        </w:rPr>
        <w:br/>
        <w:t>по которым в 2016 году составлялись протоколы об административных правонарушениях: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статье 15.15.3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рассмотрено 2 протокола, из них </w:t>
      </w:r>
      <w:r>
        <w:rPr>
          <w:rFonts w:ascii="Times New Roman" w:eastAsia="Times New Roman" w:hAnsi="Times New Roman"/>
          <w:color w:val="000000" w:themeColor="text1"/>
          <w:sz w:val="28"/>
          <w:szCs w:val="28"/>
          <w:lang w:eastAsia="ru-RU"/>
        </w:rPr>
        <w:br/>
        <w:t>по 2 назначено административное наказание в виде штрафа;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статье 15.15.6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рассмотрено 2 протоколов, из них </w:t>
      </w:r>
      <w:r>
        <w:rPr>
          <w:rFonts w:ascii="Times New Roman" w:eastAsia="Times New Roman" w:hAnsi="Times New Roman"/>
          <w:color w:val="000000" w:themeColor="text1"/>
          <w:sz w:val="28"/>
          <w:szCs w:val="28"/>
          <w:lang w:eastAsia="ru-RU"/>
        </w:rPr>
        <w:br/>
        <w:t>по 2 производство по делу прекращено;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статье 15.15.7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рассмотрены 6 протоколов, из них </w:t>
      </w:r>
      <w:r>
        <w:rPr>
          <w:rFonts w:ascii="Times New Roman" w:eastAsia="Times New Roman" w:hAnsi="Times New Roman"/>
          <w:color w:val="000000" w:themeColor="text1"/>
          <w:sz w:val="28"/>
          <w:szCs w:val="28"/>
          <w:lang w:eastAsia="ru-RU"/>
        </w:rPr>
        <w:br/>
        <w:t>по 6 производство по делу прекращено;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по статье 15.15.10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рассмотрены 11 протоколов, </w:t>
      </w:r>
      <w:r>
        <w:rPr>
          <w:rFonts w:ascii="Times New Roman" w:eastAsia="Times New Roman" w:hAnsi="Times New Roman"/>
          <w:color w:val="000000" w:themeColor="text1"/>
          <w:sz w:val="28"/>
          <w:szCs w:val="28"/>
          <w:lang w:eastAsia="ru-RU"/>
        </w:rPr>
        <w:br/>
        <w:t>из них по 3 протоколам назначено административное наказание в виде штрафа, по 8 – производство по делу прекращено;</w:t>
      </w:r>
    </w:p>
    <w:p>
      <w:pPr>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ru-RU"/>
        </w:rPr>
        <w:t xml:space="preserve">– по статье 15.15.11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рассмотрен 1 протокол, назначено административное наказание в виде штрафа.</w:t>
      </w:r>
    </w:p>
    <w:p>
      <w:pPr>
        <w:spacing w:line="360" w:lineRule="atLeast"/>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51</w:t>
      </w:r>
    </w:p>
    <w:p>
      <w:pPr>
        <w:spacing w:line="360" w:lineRule="atLeast"/>
        <w:ind w:firstLine="709"/>
        <w:jc w:val="center"/>
        <w:rPr>
          <w:rFonts w:ascii="Times New Roman" w:hAnsi="Times New Roman"/>
          <w:color w:val="000000" w:themeColor="text1"/>
          <w:sz w:val="28"/>
          <w:szCs w:val="28"/>
        </w:rPr>
      </w:pPr>
      <w:r>
        <w:rPr>
          <w:rFonts w:ascii="Times New Roman" w:eastAsia="Times New Roman" w:hAnsi="Times New Roman"/>
          <w:noProof/>
          <w:color w:val="000000" w:themeColor="text1"/>
          <w:sz w:val="28"/>
          <w:szCs w:val="28"/>
          <w:lang w:eastAsia="ru-RU"/>
        </w:rPr>
        <w:drawing>
          <wp:inline distT="0" distB="0" distL="0" distR="0">
            <wp:extent cx="4826441" cy="2838616"/>
            <wp:effectExtent l="0" t="0" r="0" b="0"/>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Наряду с этим в 2016 году в Федеральное казначейство поступили </w:t>
      </w:r>
      <w:r>
        <w:rPr>
          <w:rFonts w:ascii="Times New Roman" w:eastAsia="Times New Roman" w:hAnsi="Times New Roman"/>
          <w:color w:val="000000" w:themeColor="text1"/>
          <w:sz w:val="28"/>
          <w:szCs w:val="28"/>
          <w:lang w:eastAsia="ru-RU"/>
        </w:rPr>
        <w:br/>
        <w:t xml:space="preserve">и рассмотрены 29 жалоб на постановления о привлечении </w:t>
      </w:r>
      <w:r>
        <w:rPr>
          <w:rFonts w:ascii="Times New Roman" w:eastAsia="Times New Roman" w:hAnsi="Times New Roman"/>
          <w:color w:val="000000" w:themeColor="text1"/>
          <w:sz w:val="28"/>
          <w:szCs w:val="28"/>
          <w:lang w:eastAsia="ru-RU"/>
        </w:rPr>
        <w:br/>
        <w:t xml:space="preserve">к административной ответственности, вынесенные ТОФК </w:t>
      </w:r>
      <w:r>
        <w:rPr>
          <w:rFonts w:ascii="Times New Roman" w:eastAsia="Times New Roman" w:hAnsi="Times New Roman"/>
          <w:color w:val="000000" w:themeColor="text1"/>
          <w:sz w:val="28"/>
          <w:szCs w:val="28"/>
          <w:lang w:eastAsia="ru-RU"/>
        </w:rPr>
        <w:br/>
        <w:t>и территориальными органами упраздненной Федеральной службы финансово-бюджетного надзора, из них: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оставлено в силе 4 постановления, вынесенных по статьям 15.15.3, 15.15.6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изменено 6 постановлений в части квалификации со статьей 15.15.6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на статью 15.15.7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возвращено на новое рассмотрение 2 постановления по статье 15.15.10 КоАП ввиду допущенных процессуальных нарушений, носящих устранимый характер (не установлена вина лица, привлекаемого </w:t>
      </w:r>
      <w:r>
        <w:rPr>
          <w:rFonts w:ascii="Times New Roman" w:eastAsia="Times New Roman" w:hAnsi="Times New Roman"/>
          <w:color w:val="000000" w:themeColor="text1"/>
          <w:sz w:val="28"/>
          <w:szCs w:val="28"/>
          <w:lang w:eastAsia="ru-RU"/>
        </w:rPr>
        <w:br/>
        <w:t>к административной ответственности);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отменено 16 постановлений по части 2 статьи 15.15.5 КоАП ввиду отсутствия события вмененных правонарушений;</w:t>
      </w:r>
    </w:p>
    <w:p>
      <w:pPr>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ru-RU"/>
        </w:rPr>
        <w:t xml:space="preserve">– прекращено производство по 1 жалобе на постановление по статье 15.14 КоАП в силу части 2 статьи 30.1 </w:t>
      </w:r>
      <w:r>
        <w:rPr>
          <w:rFonts w:ascii="Times New Roman" w:eastAsia="Times New Roman" w:hAnsi="Times New Roman"/>
          <w:color w:val="000000" w:themeColor="text1"/>
          <w:spacing w:val="1"/>
          <w:sz w:val="28"/>
          <w:szCs w:val="28"/>
          <w:lang w:eastAsia="ru-RU"/>
        </w:rPr>
        <w:t>КоАП</w:t>
      </w:r>
      <w:r>
        <w:rPr>
          <w:rFonts w:ascii="Times New Roman" w:eastAsia="Times New Roman" w:hAnsi="Times New Roman"/>
          <w:color w:val="000000" w:themeColor="text1"/>
          <w:sz w:val="28"/>
          <w:szCs w:val="28"/>
          <w:lang w:eastAsia="ru-RU"/>
        </w:rPr>
        <w:t xml:space="preserve"> в связи с обжалованием постановления в суде.</w:t>
      </w:r>
    </w:p>
    <w:p>
      <w:pPr>
        <w:pageBreakBefore/>
        <w:tabs>
          <w:tab w:val="left" w:pos="840"/>
        </w:tabs>
        <w:spacing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lastRenderedPageBreak/>
        <w:t>3.1.17. Рассмотрение жалоб на решения территориальных органов Федерального казначейства, принимаемые по результатам контрольных мероприятий в финансово-бюджетной сфере, и действия (бездействие) должностных лиц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Отдельным направлением деятельности Федерального казначейства </w:t>
      </w:r>
      <w:r>
        <w:rPr>
          <w:rFonts w:ascii="Times New Roman" w:eastAsia="Times New Roman" w:hAnsi="Times New Roman"/>
          <w:color w:val="000000" w:themeColor="text1"/>
          <w:sz w:val="28"/>
          <w:szCs w:val="28"/>
          <w:lang w:eastAsia="ru-RU"/>
        </w:rPr>
        <w:br/>
        <w:t xml:space="preserve">в 2016 году стало рассмотрение жалоб на решения ТОФК, принимаемые </w:t>
      </w:r>
      <w:r>
        <w:rPr>
          <w:rFonts w:ascii="Times New Roman" w:eastAsia="Times New Roman" w:hAnsi="Times New Roman"/>
          <w:color w:val="000000" w:themeColor="text1"/>
          <w:sz w:val="28"/>
          <w:szCs w:val="28"/>
          <w:lang w:eastAsia="ru-RU"/>
        </w:rPr>
        <w:br/>
        <w:t xml:space="preserve">по результатам контрольных мероприятий в финансово-бюджетной сфере, </w:t>
      </w:r>
      <w:r>
        <w:rPr>
          <w:rFonts w:ascii="Times New Roman" w:eastAsia="Times New Roman" w:hAnsi="Times New Roman"/>
          <w:color w:val="000000" w:themeColor="text1"/>
          <w:sz w:val="28"/>
          <w:szCs w:val="28"/>
          <w:lang w:eastAsia="ru-RU"/>
        </w:rPr>
        <w:br/>
        <w:t>и действия (бездействие) должностных лиц Федерального казначейства. Порядок рассмотрения указанных жалоб установлен приказом Федерального казначейства от 26 декабря 2016 г. № 459 «Об утверждении Порядка досудебного рассмотрения жалоб на решения территориальных органов Федерального казначейства, принимаемые по результатам контрольных мероприятий в финансово-бюджетной сфере, и действия (бездействие) должностных лиц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в Федеральное казначейство поступило 13 жалоб </w:t>
      </w:r>
      <w:r>
        <w:rPr>
          <w:rFonts w:ascii="Times New Roman" w:eastAsia="Times New Roman" w:hAnsi="Times New Roman"/>
          <w:color w:val="000000" w:themeColor="text1"/>
          <w:sz w:val="28"/>
          <w:szCs w:val="28"/>
          <w:lang w:eastAsia="ru-RU"/>
        </w:rPr>
        <w:br/>
        <w:t xml:space="preserve">на представления и предписания, вынесенные ТОФК и территориальными органами Федеральной службы финансово-бюджетного надзора, и действия (бездействие) должностных лиц Федерального казначейства (обжаловано </w:t>
      </w:r>
      <w:r>
        <w:rPr>
          <w:rFonts w:ascii="Times New Roman" w:eastAsia="Times New Roman" w:hAnsi="Times New Roman"/>
          <w:color w:val="000000" w:themeColor="text1"/>
          <w:sz w:val="28"/>
          <w:szCs w:val="28"/>
          <w:lang w:eastAsia="ru-RU"/>
        </w:rPr>
        <w:br/>
        <w:t>9 представлений, 4 предписания, 2 действия (бездействие) должностных лиц Федерального казначейства), из них: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 жалоба удовлетворена в полном объеме;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2 жалобы частично удовлетворены;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7 жалобам отказано в удовлетворении требований;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1 жалоба на представление возвращена, поскольку подписана неуполномоченным лицом;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рассмотрение 2 жалоб перенесено на 2017 год.</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3.2. Осуществление и совершенствование функций по внешнему контролю качества работы аудиторских организаций</w:t>
      </w:r>
    </w:p>
    <w:p>
      <w:pPr>
        <w:pStyle w:val="3"/>
        <w:keepNext w:val="0"/>
        <w:keepLines w:val="0"/>
        <w:spacing w:before="120" w:after="120" w:line="240" w:lineRule="auto"/>
        <w:ind w:firstLine="709"/>
        <w:jc w:val="both"/>
        <w:rPr>
          <w:rFonts w:ascii="Times New Roman" w:hAnsi="Times New Roman" w:cs="Times New Roman"/>
          <w:i/>
          <w:color w:val="000000" w:themeColor="text1"/>
          <w:sz w:val="28"/>
          <w:szCs w:val="28"/>
        </w:rPr>
      </w:pPr>
      <w:r>
        <w:rPr>
          <w:rFonts w:ascii="Times New Roman" w:eastAsia="Calibri" w:hAnsi="Times New Roman" w:cs="Times New Roman"/>
          <w:bCs w:val="0"/>
          <w:color w:val="000000" w:themeColor="text1"/>
          <w:sz w:val="28"/>
          <w:szCs w:val="28"/>
        </w:rPr>
        <w:t xml:space="preserve">3.2.1. Осуществление </w:t>
      </w:r>
      <w:r>
        <w:rPr>
          <w:rFonts w:ascii="Times New Roman" w:hAnsi="Times New Roman" w:cs="Times New Roman"/>
          <w:color w:val="000000" w:themeColor="text1"/>
          <w:sz w:val="28"/>
          <w:szCs w:val="28"/>
        </w:rPr>
        <w:t>функции по внешнему контролю качества работы аудиторских организаций</w:t>
      </w:r>
    </w:p>
    <w:p>
      <w:pPr>
        <w:autoSpaceDE w:val="0"/>
        <w:autoSpaceDN w:val="0"/>
        <w:adjustRightInd w:val="0"/>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В соответствии с требованиями статьи 10 </w:t>
      </w:r>
      <w:hyperlink r:id="rId137" w:history="1">
        <w:r>
          <w:rPr>
            <w:rFonts w:ascii="Times New Roman" w:hAnsi="Times New Roman"/>
            <w:color w:val="000000" w:themeColor="text1"/>
            <w:sz w:val="28"/>
          </w:rPr>
          <w:t xml:space="preserve">Федерального закона </w:t>
        </w:r>
        <w:r>
          <w:rPr>
            <w:rFonts w:ascii="Times New Roman" w:hAnsi="Times New Roman"/>
            <w:color w:val="000000" w:themeColor="text1"/>
            <w:sz w:val="28"/>
          </w:rPr>
          <w:br/>
          <w:t>от 30 декабря 2008 г. № 307-ФЗ «Об аудиторской деятельности»</w:t>
        </w:r>
      </w:hyperlink>
      <w:r>
        <w:rPr>
          <w:rFonts w:ascii="Times New Roman" w:hAnsi="Times New Roman"/>
          <w:color w:val="000000" w:themeColor="text1"/>
          <w:sz w:val="28"/>
        </w:rPr>
        <w:t xml:space="preserve"> (далее – Федеральный закон № 307-ФЗ) аудиторские организации обязаны проходить ВККР АО со стороны саморегулируемых организаций аудиторов </w:t>
      </w:r>
      <w:r>
        <w:rPr>
          <w:rFonts w:ascii="Times New Roman" w:hAnsi="Times New Roman"/>
          <w:color w:val="000000" w:themeColor="text1"/>
          <w:sz w:val="28"/>
        </w:rPr>
        <w:br/>
        <w:t xml:space="preserve">в отношении своих членов и уполномоченного органа по контролю </w:t>
      </w:r>
      <w:r>
        <w:rPr>
          <w:rFonts w:ascii="Times New Roman" w:hAnsi="Times New Roman"/>
          <w:color w:val="000000" w:themeColor="text1"/>
          <w:sz w:val="28"/>
        </w:rPr>
        <w:br/>
        <w:t xml:space="preserve">и надзору в отношении аудиторских организаций, оказывающих услуги </w:t>
      </w:r>
      <w:r>
        <w:rPr>
          <w:rFonts w:ascii="Times New Roman" w:hAnsi="Times New Roman"/>
          <w:color w:val="000000" w:themeColor="text1"/>
          <w:sz w:val="28"/>
        </w:rPr>
        <w:br/>
        <w:t xml:space="preserve">по обязательному аудиту организациям, указанным в части 3 статьи 5 Федерального закона № 307-ФЗ. </w:t>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lastRenderedPageBreak/>
        <w:t>Предметом ВККР АО является соблюдение аудиторской организацией требований Федерального закона № 307-ФЗ, стандартов аудиторской деятельности, правил независимости аудиторов и аудиторских организаций, кодекса профессиональной этики аудиторов.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Важно отметить, что количество аудиторских организаций, осуществляющих аудит организаций, указанных в части 3 статьи 5 </w:t>
      </w:r>
      <w:r>
        <w:rPr>
          <w:rFonts w:ascii="Times New Roman" w:hAnsi="Times New Roman"/>
          <w:color w:val="000000" w:themeColor="text1"/>
          <w:sz w:val="28"/>
        </w:rPr>
        <w:t>Федерального закона № 307-ФЗ</w:t>
      </w:r>
      <w:r>
        <w:rPr>
          <w:rFonts w:ascii="Times New Roman" w:hAnsi="Times New Roman"/>
          <w:color w:val="000000" w:themeColor="text1"/>
          <w:sz w:val="28"/>
          <w:szCs w:val="28"/>
        </w:rPr>
        <w:t xml:space="preserve"> из года в год уменьшается: если в 2014 году общее количество таких организаций в России составляло 924, то к началу 2016 года их число снизилось до 743 (на 19,6 процентов). Соответственно, снижается и количество организаций, включаемых в План Федеральной службы финансово-бюджетного надзора по осуществлению внешнего контроля качества работы аудиторских организаций, проводящих обязательный аудит бухгалтерской (финансовой) отчетности организаций, указанных в части 3 статьи 5 Федерального закона от30 декабря 2008 г. № 307-ФЗ «Об аудиторской деятельности» (далее – План Росфиннадзора), вместе с тем, процентное соотношение запланированных проверок </w:t>
      </w:r>
      <w:r>
        <w:rPr>
          <w:rFonts w:ascii="Times New Roman" w:hAnsi="Times New Roman"/>
          <w:color w:val="000000" w:themeColor="text1"/>
          <w:sz w:val="28"/>
          <w:szCs w:val="28"/>
        </w:rPr>
        <w:br/>
        <w:t xml:space="preserve">от общего числа аудиторских организаций, осуществляющих деятельность </w:t>
      </w:r>
      <w:r>
        <w:rPr>
          <w:rFonts w:ascii="Times New Roman" w:hAnsi="Times New Roman"/>
          <w:color w:val="000000" w:themeColor="text1"/>
          <w:sz w:val="28"/>
          <w:szCs w:val="28"/>
        </w:rPr>
        <w:br/>
        <w:t>в отношении общественно значимых организаций, ежегодно остается примерно на равном уровне 32–34 процентов (таблица 21).</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Динамика исполнения государственной функции за 2012–2016 годы показывает, что количество проведенных плановых проверок по отношению к запланированным из года в год снижается, что связано с ростом количества проверок, исключенных из Плана Росфиннадзора в связи </w:t>
      </w:r>
      <w:r>
        <w:rPr>
          <w:rFonts w:ascii="Times New Roman" w:hAnsi="Times New Roman"/>
          <w:color w:val="000000" w:themeColor="text1"/>
          <w:sz w:val="28"/>
          <w:szCs w:val="28"/>
        </w:rPr>
        <w:br/>
        <w:t>с выходом аудиторских организаций из членов саморегулируемых организаций аудиторов.</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21</w:t>
      </w:r>
    </w:p>
    <w:tbl>
      <w:tblPr>
        <w:tblW w:w="5000" w:type="pct"/>
        <w:jc w:val="center"/>
        <w:tblCellMar>
          <w:left w:w="0" w:type="dxa"/>
          <w:right w:w="0" w:type="dxa"/>
        </w:tblCellMar>
        <w:tblLook w:val="0600" w:firstRow="0" w:lastRow="0" w:firstColumn="0" w:lastColumn="0" w:noHBand="1" w:noVBand="1"/>
      </w:tblPr>
      <w:tblGrid>
        <w:gridCol w:w="632"/>
        <w:gridCol w:w="5029"/>
        <w:gridCol w:w="768"/>
        <w:gridCol w:w="768"/>
        <w:gridCol w:w="768"/>
        <w:gridCol w:w="768"/>
        <w:gridCol w:w="768"/>
      </w:tblGrid>
      <w:tr>
        <w:trPr>
          <w:trHeight w:val="336"/>
          <w:jc w:val="center"/>
        </w:trPr>
        <w:tc>
          <w:tcPr>
            <w:tcW w:w="333"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 п/п</w:t>
            </w:r>
          </w:p>
        </w:tc>
        <w:tc>
          <w:tcPr>
            <w:tcW w:w="2647"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Наименование показателя</w:t>
            </w:r>
          </w:p>
        </w:tc>
        <w:tc>
          <w:tcPr>
            <w:tcW w:w="404"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2012</w:t>
            </w:r>
          </w:p>
        </w:tc>
        <w:tc>
          <w:tcPr>
            <w:tcW w:w="404"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2013</w:t>
            </w:r>
          </w:p>
        </w:tc>
        <w:tc>
          <w:tcPr>
            <w:tcW w:w="404"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2014</w:t>
            </w:r>
          </w:p>
        </w:tc>
        <w:tc>
          <w:tcPr>
            <w:tcW w:w="404"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2015</w:t>
            </w:r>
          </w:p>
        </w:tc>
        <w:tc>
          <w:tcPr>
            <w:tcW w:w="404" w:type="pct"/>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tLeast"/>
              <w:jc w:val="center"/>
              <w:textAlignment w:val="baseline"/>
              <w:rPr>
                <w:rFonts w:ascii="Times New Roman" w:hAnsi="Times New Roman"/>
                <w:b/>
                <w:color w:val="000000" w:themeColor="text1"/>
                <w:sz w:val="24"/>
                <w:szCs w:val="24"/>
              </w:rPr>
            </w:pPr>
            <w:r>
              <w:rPr>
                <w:rFonts w:ascii="Times New Roman" w:hAnsi="Times New Roman"/>
                <w:b/>
                <w:bCs/>
                <w:color w:val="000000" w:themeColor="text1"/>
                <w:kern w:val="24"/>
                <w:sz w:val="24"/>
                <w:szCs w:val="24"/>
              </w:rPr>
              <w:t>2016</w:t>
            </w:r>
          </w:p>
        </w:tc>
      </w:tr>
      <w:tr>
        <w:trPr>
          <w:trHeight w:val="293"/>
          <w:jc w:val="center"/>
        </w:trPr>
        <w:tc>
          <w:tcPr>
            <w:tcW w:w="333"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w:t>
            </w:r>
          </w:p>
        </w:tc>
        <w:tc>
          <w:tcPr>
            <w:tcW w:w="2647"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 xml:space="preserve">Количество запланированных проверок на очередной год </w:t>
            </w:r>
          </w:p>
        </w:tc>
        <w:tc>
          <w:tcPr>
            <w:tcW w:w="404"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123</w:t>
            </w:r>
          </w:p>
        </w:tc>
        <w:tc>
          <w:tcPr>
            <w:tcW w:w="404"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305</w:t>
            </w:r>
          </w:p>
        </w:tc>
        <w:tc>
          <w:tcPr>
            <w:tcW w:w="404"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320</w:t>
            </w:r>
          </w:p>
        </w:tc>
        <w:tc>
          <w:tcPr>
            <w:tcW w:w="404"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258</w:t>
            </w:r>
          </w:p>
        </w:tc>
        <w:tc>
          <w:tcPr>
            <w:tcW w:w="404" w:type="pct"/>
            <w:tcBorders>
              <w:top w:val="single" w:sz="24" w:space="0" w:color="FFFFFF"/>
              <w:left w:val="single" w:sz="8" w:space="0" w:color="FFFFFF"/>
              <w:bottom w:val="single" w:sz="24" w:space="0" w:color="FFFFFF"/>
              <w:right w:val="single" w:sz="8" w:space="0" w:color="FFFFFF"/>
            </w:tcBorders>
            <w:shd w:val="clear" w:color="auto" w:fill="51ADCC"/>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260</w:t>
            </w:r>
          </w:p>
        </w:tc>
      </w:tr>
      <w:tr>
        <w:trPr>
          <w:trHeight w:val="254"/>
          <w:jc w:val="center"/>
        </w:trPr>
        <w:tc>
          <w:tcPr>
            <w:tcW w:w="333"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w:t>
            </w:r>
          </w:p>
        </w:tc>
        <w:tc>
          <w:tcPr>
            <w:tcW w:w="2647"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Количество проведенных внешних проверок, в том числе:</w:t>
            </w:r>
          </w:p>
        </w:tc>
        <w:tc>
          <w:tcPr>
            <w:tcW w:w="404"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115</w:t>
            </w:r>
          </w:p>
        </w:tc>
        <w:tc>
          <w:tcPr>
            <w:tcW w:w="404"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300</w:t>
            </w:r>
          </w:p>
        </w:tc>
        <w:tc>
          <w:tcPr>
            <w:tcW w:w="404"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293</w:t>
            </w:r>
          </w:p>
        </w:tc>
        <w:tc>
          <w:tcPr>
            <w:tcW w:w="404" w:type="pct"/>
            <w:tcBorders>
              <w:top w:val="single" w:sz="24"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237</w:t>
            </w:r>
          </w:p>
        </w:tc>
        <w:tc>
          <w:tcPr>
            <w:tcW w:w="404" w:type="pct"/>
            <w:tcBorders>
              <w:top w:val="single" w:sz="24" w:space="0" w:color="FFFFFF"/>
              <w:left w:val="single" w:sz="8" w:space="0" w:color="FFFFFF"/>
              <w:bottom w:val="single" w:sz="8" w:space="0" w:color="FFFFFF"/>
              <w:right w:val="single" w:sz="8" w:space="0" w:color="FFFFFF"/>
            </w:tcBorders>
            <w:shd w:val="clear" w:color="auto" w:fill="51ADCC"/>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239</w:t>
            </w:r>
          </w:p>
        </w:tc>
      </w:tr>
      <w:tr>
        <w:trPr>
          <w:trHeight w:val="166"/>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2.1.</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плановых</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113</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296</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287</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227</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217</w:t>
            </w:r>
          </w:p>
        </w:tc>
      </w:tr>
      <w:tr>
        <w:trPr>
          <w:trHeight w:val="134"/>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2.2.</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внеплановых</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4</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6</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10</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22</w:t>
            </w:r>
          </w:p>
        </w:tc>
      </w:tr>
      <w:tr>
        <w:trPr>
          <w:trHeight w:val="220"/>
          <w:jc w:val="center"/>
        </w:trPr>
        <w:tc>
          <w:tcPr>
            <w:tcW w:w="333"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bCs/>
                <w:color w:val="000000" w:themeColor="text1"/>
                <w:kern w:val="24"/>
                <w:sz w:val="20"/>
                <w:szCs w:val="20"/>
              </w:rPr>
              <w:t>3.</w:t>
            </w:r>
          </w:p>
        </w:tc>
        <w:tc>
          <w:tcPr>
            <w:tcW w:w="2647"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Количество аудиторских организаций, в отношении которых применены меры воздействия</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97</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240</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247</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191</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188</w:t>
            </w:r>
          </w:p>
        </w:tc>
      </w:tr>
      <w:tr>
        <w:trPr>
          <w:trHeight w:val="334"/>
          <w:jc w:val="center"/>
        </w:trPr>
        <w:tc>
          <w:tcPr>
            <w:tcW w:w="333"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bCs/>
                <w:color w:val="000000" w:themeColor="text1"/>
                <w:kern w:val="24"/>
                <w:sz w:val="20"/>
                <w:szCs w:val="20"/>
              </w:rPr>
              <w:t>4.</w:t>
            </w:r>
          </w:p>
        </w:tc>
        <w:tc>
          <w:tcPr>
            <w:tcW w:w="2647"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Количество принятых решений о применении мер воздействия, в том числе:</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103</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262</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247</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191</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b/>
                <w:bCs/>
                <w:color w:val="000000" w:themeColor="text1"/>
                <w:kern w:val="24"/>
                <w:sz w:val="20"/>
                <w:szCs w:val="20"/>
              </w:rPr>
            </w:pPr>
            <w:r>
              <w:rPr>
                <w:rFonts w:ascii="Times New Roman" w:hAnsi="Times New Roman"/>
                <w:b/>
                <w:bCs/>
                <w:color w:val="000000" w:themeColor="text1"/>
                <w:kern w:val="24"/>
                <w:sz w:val="20"/>
                <w:szCs w:val="20"/>
              </w:rPr>
              <w:t>188*</w:t>
            </w:r>
          </w:p>
        </w:tc>
      </w:tr>
      <w:tr>
        <w:trPr>
          <w:trHeight w:val="455"/>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4.1</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предупреждение о недопустимости нарушения требований Федерального закона № 307-ФЗ, стандартов аудиторской деятельности, правил независимости аудиторов и аудиторских организаций, кодекса профессиональной этики аудиторов</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87</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181</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209</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149</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120</w:t>
            </w:r>
          </w:p>
        </w:tc>
      </w:tr>
      <w:tr>
        <w:trPr>
          <w:trHeight w:val="266"/>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4.2</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предписаний, обязывающих аудиторские организации устранить выявленные по результатам внешних проверок нарушения</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9</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37</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28</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34</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44</w:t>
            </w:r>
          </w:p>
        </w:tc>
      </w:tr>
      <w:tr>
        <w:trPr>
          <w:trHeight w:val="400"/>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4.3</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предписаний в саморегулируемые организации аудиторов о приостановлении членства аудиторской организации</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5</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32</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5</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5</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13</w:t>
            </w:r>
          </w:p>
        </w:tc>
      </w:tr>
      <w:tr>
        <w:trPr>
          <w:trHeight w:val="322"/>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4.4.</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предписаний в саморегулируемые организации аудиторов об исключении сведений аудиторской организации из саморегулируемой организации аудиторов</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12</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5</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11</w:t>
            </w:r>
          </w:p>
        </w:tc>
      </w:tr>
      <w:tr>
        <w:trPr>
          <w:trHeight w:val="380"/>
          <w:jc w:val="center"/>
        </w:trPr>
        <w:tc>
          <w:tcPr>
            <w:tcW w:w="333"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bCs/>
                <w:color w:val="000000" w:themeColor="text1"/>
                <w:kern w:val="24"/>
                <w:sz w:val="20"/>
                <w:szCs w:val="20"/>
              </w:rPr>
              <w:t>5.</w:t>
            </w:r>
          </w:p>
        </w:tc>
        <w:tc>
          <w:tcPr>
            <w:tcW w:w="2647"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 xml:space="preserve">Количество составленных протоколов об административных правонарушениях, в том числе: </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9</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11</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16</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24</w:t>
            </w:r>
          </w:p>
        </w:tc>
        <w:tc>
          <w:tcPr>
            <w:tcW w:w="404" w:type="pct"/>
            <w:tcBorders>
              <w:top w:val="single" w:sz="8" w:space="0" w:color="FFFFFF"/>
              <w:left w:val="single" w:sz="8" w:space="0" w:color="FFFFFF"/>
              <w:bottom w:val="single" w:sz="8" w:space="0" w:color="FFFFFF"/>
              <w:right w:val="single" w:sz="8" w:space="0" w:color="FFFFFF"/>
            </w:tcBorders>
            <w:shd w:val="clear" w:color="auto" w:fill="51ADCC"/>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29</w:t>
            </w:r>
          </w:p>
        </w:tc>
      </w:tr>
      <w:tr>
        <w:trPr>
          <w:trHeight w:val="427"/>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57"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sz w:val="20"/>
                <w:szCs w:val="20"/>
              </w:rPr>
              <w:t>5.1.</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57"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ответственность за которые предусмотрена ст. 19.4.1 КоАП (по признакам уклонения аудиторских организаций от проведения внешних проверок)</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8</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8</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10</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7</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8</w:t>
            </w:r>
          </w:p>
        </w:tc>
      </w:tr>
      <w:tr>
        <w:trPr>
          <w:trHeight w:val="475"/>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sz w:val="20"/>
                <w:szCs w:val="20"/>
              </w:rPr>
              <w:t>5.2.</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ответственность за которые предусмотрена ст. 19.5 КоАП (за невыполнение в законный срок предписания, обязывающего аудиторскую организацию устранить выявленные по результатам внешней проверки нарушения правил аудиторской деятельности)</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0</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lang w:val="en-US"/>
              </w:rPr>
              <w:t>0</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0</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0</w:t>
            </w:r>
          </w:p>
        </w:tc>
      </w:tr>
      <w:tr>
        <w:trPr>
          <w:trHeight w:val="426"/>
          <w:jc w:val="center"/>
        </w:trPr>
        <w:tc>
          <w:tcPr>
            <w:tcW w:w="333" w:type="pct"/>
            <w:tcBorders>
              <w:top w:val="single" w:sz="8" w:space="0" w:color="FFFFFF"/>
              <w:left w:val="single" w:sz="8" w:space="0" w:color="FFFFFF"/>
              <w:bottom w:val="single" w:sz="8" w:space="0" w:color="FFFFFF"/>
              <w:right w:val="single" w:sz="8" w:space="0" w:color="FFFFFF"/>
            </w:tcBorders>
            <w:shd w:val="clear" w:color="auto" w:fill="A8D6E6"/>
            <w:tcMar>
              <w:top w:w="15" w:type="dxa"/>
              <w:left w:w="92" w:type="dxa"/>
              <w:bottom w:w="0" w:type="dxa"/>
              <w:right w:w="92" w:type="dxa"/>
            </w:tcMar>
            <w:vAlign w:val="center"/>
            <w:hideMark/>
          </w:tcPr>
          <w:p>
            <w:pPr>
              <w:spacing w:after="0" w:line="240" w:lineRule="atLeast"/>
              <w:jc w:val="center"/>
              <w:textAlignment w:val="baseline"/>
              <w:rPr>
                <w:rFonts w:ascii="Times New Roman" w:hAnsi="Times New Roman"/>
                <w:color w:val="000000" w:themeColor="text1"/>
                <w:sz w:val="20"/>
                <w:szCs w:val="20"/>
              </w:rPr>
            </w:pPr>
            <w:r>
              <w:rPr>
                <w:rFonts w:ascii="Times New Roman" w:hAnsi="Times New Roman"/>
                <w:color w:val="000000" w:themeColor="text1"/>
                <w:sz w:val="20"/>
                <w:szCs w:val="20"/>
              </w:rPr>
              <w:t>5.3</w:t>
            </w:r>
          </w:p>
        </w:tc>
        <w:tc>
          <w:tcPr>
            <w:tcW w:w="2647"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ответственность за которые предусмотрена ст. 19.7 КоАП (за предоставление сведений (информации) в неполном объеме или искаженном виде)</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0</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3</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6</w:t>
            </w:r>
          </w:p>
        </w:tc>
        <w:tc>
          <w:tcPr>
            <w:tcW w:w="404" w:type="pct"/>
            <w:tcBorders>
              <w:top w:val="single" w:sz="8" w:space="0" w:color="FFFFFF"/>
              <w:left w:val="single" w:sz="8" w:space="0" w:color="FFFFFF"/>
              <w:bottom w:val="single" w:sz="8" w:space="0" w:color="FFFFFF"/>
              <w:right w:val="single" w:sz="8" w:space="0" w:color="FFFFFF"/>
            </w:tcBorders>
            <w:shd w:val="clear" w:color="auto" w:fill="E6E6E6"/>
            <w:tcMar>
              <w:top w:w="15" w:type="dxa"/>
              <w:left w:w="92" w:type="dxa"/>
              <w:bottom w:w="0" w:type="dxa"/>
              <w:right w:w="92"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color w:val="000000" w:themeColor="text1"/>
                <w:kern w:val="24"/>
                <w:sz w:val="20"/>
                <w:szCs w:val="20"/>
              </w:rPr>
              <w:t>17</w:t>
            </w:r>
          </w:p>
        </w:tc>
        <w:tc>
          <w:tcPr>
            <w:tcW w:w="404" w:type="pct"/>
            <w:tcBorders>
              <w:top w:val="single" w:sz="8" w:space="0" w:color="FFFFFF"/>
              <w:left w:val="single" w:sz="8" w:space="0" w:color="FFFFFF"/>
              <w:bottom w:val="single" w:sz="8" w:space="0" w:color="FFFFFF"/>
              <w:right w:val="single" w:sz="8" w:space="0" w:color="FFFFFF"/>
            </w:tcBorders>
            <w:shd w:val="clear" w:color="auto" w:fill="A8D6E6"/>
            <w:tcMar>
              <w:top w:w="15" w:type="dxa"/>
              <w:left w:w="108" w:type="dxa"/>
              <w:bottom w:w="0" w:type="dxa"/>
              <w:right w:w="108" w:type="dxa"/>
            </w:tcMar>
            <w:vAlign w:val="center"/>
            <w:hideMark/>
          </w:tcPr>
          <w:p>
            <w:pPr>
              <w:spacing w:after="0" w:line="240" w:lineRule="atLeast"/>
              <w:jc w:val="right"/>
              <w:textAlignment w:val="baseline"/>
              <w:rPr>
                <w:rFonts w:ascii="Times New Roman" w:hAnsi="Times New Roman"/>
                <w:color w:val="000000" w:themeColor="text1"/>
                <w:sz w:val="20"/>
                <w:szCs w:val="20"/>
              </w:rPr>
            </w:pPr>
            <w:r>
              <w:rPr>
                <w:rFonts w:ascii="Times New Roman" w:hAnsi="Times New Roman"/>
                <w:b/>
                <w:bCs/>
                <w:color w:val="000000" w:themeColor="text1"/>
                <w:kern w:val="24"/>
                <w:sz w:val="20"/>
                <w:szCs w:val="20"/>
              </w:rPr>
              <w:t>21</w:t>
            </w:r>
          </w:p>
        </w:tc>
      </w:tr>
    </w:tbl>
    <w:p>
      <w:pPr>
        <w:pStyle w:val="a5"/>
        <w:spacing w:before="60"/>
        <w:ind w:left="0"/>
        <w:rPr>
          <w:rFonts w:ascii="Times New Roman" w:hAnsi="Times New Roman"/>
          <w:color w:val="000000" w:themeColor="text1"/>
          <w:sz w:val="18"/>
          <w:szCs w:val="18"/>
        </w:rPr>
      </w:pPr>
      <w:r>
        <w:rPr>
          <w:rFonts w:ascii="Times New Roman" w:hAnsi="Times New Roman"/>
          <w:color w:val="000000" w:themeColor="text1"/>
          <w:sz w:val="18"/>
          <w:szCs w:val="18"/>
        </w:rPr>
        <w:t>*Из которых 22 меры воздействия по итогам проверок, проведенных в 2015 году</w:t>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В связи с прекращением профессиональной деятельности и по иным основаниям, предусмотренным Правилами подготовки органами государственного контроля (надзора) и органами муниципального контроля ежегодных планов проведения плановых проверок юридических лиц </w:t>
      </w:r>
      <w:r>
        <w:rPr>
          <w:rFonts w:ascii="Times New Roman" w:hAnsi="Times New Roman"/>
          <w:color w:val="000000" w:themeColor="text1"/>
          <w:sz w:val="28"/>
        </w:rPr>
        <w:br/>
        <w:t xml:space="preserve">и индивидуальных предпринимателей, утвержденными постановлением Правительства Российской Федерации от 30 июля 2010 г. № 489, из </w:t>
      </w:r>
      <w:r>
        <w:rPr>
          <w:rFonts w:ascii="Times New Roman" w:hAnsi="Times New Roman"/>
          <w:color w:val="000000" w:themeColor="text1"/>
          <w:sz w:val="28"/>
          <w:szCs w:val="28"/>
        </w:rPr>
        <w:t>Плана Росфиннадзора</w:t>
      </w:r>
      <w:r>
        <w:rPr>
          <w:rFonts w:ascii="Times New Roman" w:hAnsi="Times New Roman"/>
          <w:color w:val="000000" w:themeColor="text1"/>
          <w:sz w:val="28"/>
        </w:rPr>
        <w:t xml:space="preserve"> были исключены 37 аудиторских организаций (14,2 % </w:t>
      </w:r>
      <w:r>
        <w:rPr>
          <w:rFonts w:ascii="Times New Roman" w:hAnsi="Times New Roman"/>
          <w:color w:val="000000" w:themeColor="text1"/>
          <w:sz w:val="28"/>
        </w:rPr>
        <w:br/>
        <w:t xml:space="preserve">от общего числа проверок запланированных на 2016 год) (диаграмма 52). </w:t>
      </w:r>
    </w:p>
    <w:p>
      <w:pPr>
        <w:pageBreakBefore/>
        <w:spacing w:after="120" w:line="240" w:lineRule="auto"/>
        <w:ind w:firstLine="709"/>
        <w:jc w:val="right"/>
        <w:rPr>
          <w:rFonts w:ascii="Times New Roman" w:hAnsi="Times New Roman"/>
          <w:color w:val="000000" w:themeColor="text1"/>
          <w:sz w:val="28"/>
        </w:rPr>
      </w:pPr>
      <w:r>
        <w:rPr>
          <w:rFonts w:ascii="Times New Roman" w:hAnsi="Times New Roman"/>
          <w:noProof/>
          <w:color w:val="000000" w:themeColor="text1"/>
          <w:lang w:eastAsia="ru-RU"/>
        </w:rPr>
        <w:lastRenderedPageBreak/>
        <w:drawing>
          <wp:anchor distT="0" distB="0" distL="114300" distR="114300" simplePos="0" relativeHeight="251669504" behindDoc="0" locked="0" layoutInCell="1" allowOverlap="1">
            <wp:simplePos x="0" y="0"/>
            <wp:positionH relativeFrom="column">
              <wp:posOffset>117475</wp:posOffset>
            </wp:positionH>
            <wp:positionV relativeFrom="paragraph">
              <wp:posOffset>466725</wp:posOffset>
            </wp:positionV>
            <wp:extent cx="5852160" cy="1828800"/>
            <wp:effectExtent l="0" t="0" r="0" b="0"/>
            <wp:wrapSquare wrapText="bothSides"/>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rPr>
        <w:t>Диаграмма 52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осуществлении государственной функции по ВККР АО </w:t>
      </w:r>
      <w:r>
        <w:rPr>
          <w:rFonts w:ascii="Times New Roman" w:hAnsi="Times New Roman"/>
          <w:color w:val="000000" w:themeColor="text1"/>
          <w:sz w:val="28"/>
          <w:szCs w:val="28"/>
        </w:rPr>
        <w:br/>
        <w:t>в 2016 году было проведено 239 выездных внешних проверок качества работы аудиторских организаций,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217 внешних проверок, предусмотренных Планом Росфиннадзора проведения проверок на 2016 год (97,3 % за вычетом исключенных </w:t>
      </w:r>
      <w:r>
        <w:rPr>
          <w:rFonts w:ascii="Times New Roman" w:hAnsi="Times New Roman"/>
          <w:color w:val="000000" w:themeColor="text1"/>
          <w:sz w:val="28"/>
          <w:szCs w:val="28"/>
        </w:rPr>
        <w:br/>
        <w:t>из Плана Росфиннадзора);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22 внеплановых проверки аудиторских организаций в связи </w:t>
      </w:r>
      <w:r>
        <w:rPr>
          <w:rFonts w:ascii="Times New Roman" w:hAnsi="Times New Roman"/>
          <w:color w:val="000000" w:themeColor="text1"/>
          <w:sz w:val="28"/>
          <w:szCs w:val="28"/>
        </w:rPr>
        <w:br/>
        <w:t xml:space="preserve">с поступлением жалоб на действия (бездействия) аудиторских организаций, а также в целях обеспечения контроля за надлежащим исполнением ранее выданных предписаний, обязывающих устранить выявленные </w:t>
      </w:r>
      <w:r>
        <w:rPr>
          <w:rFonts w:ascii="Times New Roman" w:hAnsi="Times New Roman"/>
          <w:color w:val="000000" w:themeColor="text1"/>
          <w:sz w:val="28"/>
          <w:szCs w:val="28"/>
        </w:rPr>
        <w:br/>
        <w:t>по результатам проверок нарушения.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mc:AlternateContent>
          <mc:Choice Requires="wpg">
            <w:drawing>
              <wp:anchor distT="0" distB="0" distL="114300" distR="114300" simplePos="0" relativeHeight="251667456" behindDoc="0" locked="0" layoutInCell="1" allowOverlap="1">
                <wp:simplePos x="0" y="0"/>
                <wp:positionH relativeFrom="column">
                  <wp:posOffset>8480425</wp:posOffset>
                </wp:positionH>
                <wp:positionV relativeFrom="paragraph">
                  <wp:posOffset>1520825</wp:posOffset>
                </wp:positionV>
                <wp:extent cx="2249884" cy="1961708"/>
                <wp:effectExtent l="76200" t="0" r="0" b="0"/>
                <wp:wrapNone/>
                <wp:docPr id="2068" name="Группа 54"/>
                <wp:cNvGraphicFramePr/>
                <a:graphic xmlns:a="http://schemas.openxmlformats.org/drawingml/2006/main">
                  <a:graphicData uri="http://schemas.microsoft.com/office/word/2010/wordprocessingGroup">
                    <wpg:wgp>
                      <wpg:cNvGrpSpPr/>
                      <wpg:grpSpPr>
                        <a:xfrm>
                          <a:off x="0" y="0"/>
                          <a:ext cx="2249884" cy="1961708"/>
                          <a:chOff x="9313600" y="1315450"/>
                          <a:chExt cx="2250000" cy="1962299"/>
                        </a:xfrm>
                      </wpg:grpSpPr>
                      <wps:wsp>
                        <wps:cNvPr id="2069" name="Прямоугольник 2069"/>
                        <wps:cNvSpPr/>
                        <wps:spPr>
                          <a:xfrm>
                            <a:off x="9313600" y="2288978"/>
                            <a:ext cx="297988" cy="180000"/>
                          </a:xfrm>
                          <a:prstGeom prst="rect">
                            <a:avLst/>
                          </a:prstGeom>
                          <a:blipFill dpi="0" rotWithShape="1">
                            <a:blip r:embed="rId139" cstate="print"/>
                            <a:srcRect/>
                            <a:stretch>
                              <a:fillRect/>
                            </a:stretch>
                          </a:blipFill>
                          <a:ln>
                            <a:solidFill>
                              <a:srgbClr val="4E9FBA"/>
                            </a:solidFill>
                          </a:ln>
                          <a:effectLst>
                            <a:outerShdw blurRad="50800" dist="50800" dir="5400000" algn="ctr" rotWithShape="0">
                              <a:schemeClr val="bg2">
                                <a:lumMod val="90000"/>
                              </a:schemeClr>
                            </a:outerShdw>
                          </a:effectLst>
                        </wps:spPr>
                        <wps:style>
                          <a:lnRef idx="0">
                            <a:schemeClr val="accent3"/>
                          </a:lnRef>
                          <a:fillRef idx="3">
                            <a:schemeClr val="accent3"/>
                          </a:fillRef>
                          <a:effectRef idx="3">
                            <a:schemeClr val="accent3"/>
                          </a:effectRef>
                          <a:fontRef idx="minor">
                            <a:schemeClr val="lt1"/>
                          </a:fontRef>
                        </wps:style>
                        <wps:txbx>
                          <w:txbxContent>
                            <w:p/>
                          </w:txbxContent>
                        </wps:txbx>
                        <wps:bodyPr lIns="77713" tIns="38856" rIns="77713" bIns="38856" anchor="ctr"/>
                      </wps:wsp>
                      <wps:wsp>
                        <wps:cNvPr id="2070" name="Прямоугольник 2070"/>
                        <wps:cNvSpPr/>
                        <wps:spPr>
                          <a:xfrm>
                            <a:off x="9313600" y="1431456"/>
                            <a:ext cx="297988" cy="180769"/>
                          </a:xfrm>
                          <a:prstGeom prst="rect">
                            <a:avLst/>
                          </a:prstGeom>
                          <a:solidFill>
                            <a:srgbClr val="DB9731"/>
                          </a:solidFill>
                          <a:ln>
                            <a:noFill/>
                          </a:ln>
                          <a:effectLst>
                            <a:outerShdw blurRad="50800" dist="50800" dir="5400000" algn="ctr" rotWithShape="0">
                              <a:schemeClr val="bg2">
                                <a:lumMod val="90000"/>
                              </a:schemeClr>
                            </a:outerShdw>
                          </a:effectLst>
                        </wps:spPr>
                        <wps:style>
                          <a:lnRef idx="0">
                            <a:schemeClr val="accent3"/>
                          </a:lnRef>
                          <a:fillRef idx="3">
                            <a:schemeClr val="accent3"/>
                          </a:fillRef>
                          <a:effectRef idx="3">
                            <a:schemeClr val="accent3"/>
                          </a:effectRef>
                          <a:fontRef idx="minor">
                            <a:schemeClr val="lt1"/>
                          </a:fontRef>
                        </wps:style>
                        <wps:txbx>
                          <w:txbxContent>
                            <w:p/>
                          </w:txbxContent>
                        </wps:txbx>
                        <wps:bodyPr lIns="77713" tIns="38856" rIns="77713" bIns="38856" anchor="ctr"/>
                      </wps:wsp>
                      <wps:wsp>
                        <wps:cNvPr id="2071" name="TextBox 57"/>
                        <wps:cNvSpPr txBox="1"/>
                        <wps:spPr>
                          <a:xfrm>
                            <a:off x="9694024" y="1315450"/>
                            <a:ext cx="1673311" cy="1114126"/>
                          </a:xfrm>
                          <a:prstGeom prst="rect">
                            <a:avLst/>
                          </a:prstGeom>
                          <a:noFill/>
                        </wps:spPr>
                        <wps:txbx>
                          <w:txbxContent>
                            <w:p>
                              <w:pPr>
                                <w:pStyle w:val="aff"/>
                                <w:spacing w:before="0" w:beforeAutospacing="0" w:after="0"/>
                                <w:textAlignment w:val="baseline"/>
                              </w:pPr>
                              <w:r>
                                <w:rPr>
                                  <w:rFonts w:ascii="Open Sans Condensed Light" w:eastAsia="Open Sans Condensed Light" w:hAnsi="Open Sans Condensed Light" w:cs="Open Sans Condensed Light"/>
                                  <w:b/>
                                  <w:bCs/>
                                  <w:color w:val="808080" w:themeColor="background1" w:themeShade="80"/>
                                  <w:kern w:val="24"/>
                                  <w:sz w:val="28"/>
                                  <w:szCs w:val="28"/>
                                </w:rPr>
                                <w:t>Кол-во аудиторских организаций, исключенных из плана</w:t>
                              </w:r>
                            </w:p>
                          </w:txbxContent>
                        </wps:txbx>
                        <wps:bodyPr wrap="square" rtlCol="0">
                          <a:spAutoFit/>
                        </wps:bodyPr>
                      </wps:wsp>
                      <wps:wsp>
                        <wps:cNvPr id="2072" name="TextBox 58"/>
                        <wps:cNvSpPr txBox="1"/>
                        <wps:spPr>
                          <a:xfrm>
                            <a:off x="9709939" y="2163623"/>
                            <a:ext cx="1853661" cy="1114126"/>
                          </a:xfrm>
                          <a:prstGeom prst="rect">
                            <a:avLst/>
                          </a:prstGeom>
                          <a:noFill/>
                        </wps:spPr>
                        <wps:txbx>
                          <w:txbxContent>
                            <w:p>
                              <w:pPr>
                                <w:pStyle w:val="aff"/>
                                <w:spacing w:before="0" w:beforeAutospacing="0" w:after="0"/>
                                <w:textAlignment w:val="baseline"/>
                              </w:pPr>
                              <w:r>
                                <w:rPr>
                                  <w:rFonts w:ascii="Open Sans Condensed Light" w:eastAsia="Open Sans Condensed Light" w:hAnsi="Open Sans Condensed Light" w:cs="Open Sans Condensed Light"/>
                                  <w:b/>
                                  <w:bCs/>
                                  <w:color w:val="808080" w:themeColor="background1" w:themeShade="80"/>
                                  <w:kern w:val="24"/>
                                  <w:sz w:val="28"/>
                                  <w:szCs w:val="28"/>
                                </w:rPr>
                                <w:t>Кол-во запланированных проверок аудиторских организаций</w:t>
                              </w:r>
                            </w:p>
                          </w:txbxContent>
                        </wps:txbx>
                        <wps:bodyPr wrap="square" rtlCol="0">
                          <a:spAutoFit/>
                        </wps:bodyPr>
                      </wps:wsp>
                    </wpg:wgp>
                  </a:graphicData>
                </a:graphic>
              </wp:anchor>
            </w:drawing>
          </mc:Choice>
          <mc:Fallback>
            <w:pict>
              <v:group id="Группа 54" o:spid="_x0000_s1030" style="position:absolute;left:0;text-align:left;margin-left:667.75pt;margin-top:119.75pt;width:177.15pt;height:154.45pt;z-index:251667456" coordorigin="93136,13154" coordsize="22500,19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5g4OSwQAACMOAAAOAAAAZHJzL2Uyb0RvYy54bWzsV8tu3DYU3RfoPwja&#10;1yPqLcHjII5jI0AfgZ0iaw5FPQBKVEmOZ7wr0G2BLvoB/YUC3RRtkv6C/Ee5pDgaZeIUiQOkaFEb&#10;0Ijk5eXlufccUscPti1zrqmQDe+WLjryXId2hBdNVy3db5+df5G6jlS4KzDjHV26N1S6D04+/+x4&#10;0+fU5zVnBRUOOOlkvumXbq1Uny8WktS0xfKI97SDwZKLFitoimpRCLwB7y1b+J4XLzZcFL3ghEoJ&#10;vWfjoHti/JclJeqbspRUOWzpQmzKPIV5rvRzcXKM80rgvm6IDQPfI4oWNx0sOrk6wwo7a9G85apt&#10;iOCSl+qI8HbBy7Ih1OwBdoO8g91cCL7uzV6qfFP1E0wA7QFO93ZLvr5+KpymWLq+F0OuOtxCloaf&#10;b7+//WH4C/5/daJQo7TpqxyML0R/1T8VtqMaW3rj21K0+he25GwNvjcTvnSrHAKdvh9maRq6DoEx&#10;lMUo8dIxA6SGNOl5WYCC2INMaYsARWFkc0Tqx5OXyIO/yYvvZ5n2stgFsdCxTqFteqgsuQdPfhx4&#10;VzXuqcmJ1Hjswcsm8H4B8H4aXgyvAMLfhlfDn7c/Di+H34c/HMDYhKpjgskTkjKXAOodMM7h8P00&#10;zRIL2ARplgCkFovU4DKHAue9kOqC8tbRL0tXACNMoeLrL6UaTXcmev0Va/rzhjGn6KF4AWTB1fNG&#10;1WbbkBIzVxvZYgQqHZTiHZQdy/yMk3VLOzXyVlCGFYiGrJtewjI5bVcUylA8KRBsBzRDQSH2ounU&#10;WCJSkEsIHkLGuVSCKlLr1xKCtf1QANMAvO+2oq1YZ6Zx1hR6d6YhqtUjJpxrDNIQPs7OTx/aKpJ7&#10;M3AzTqVGSwAyPZWvFRVXdbFxVmwtLjGEHXkAvusUjQZ5agA6UaiTAkOYVaCQRIlDTD2DqVE8OgW0&#10;qnzTzdbtV7wYg8xm6Z3MTd1PAZnWLFagwq62zJu6YXTE45KWQHvDVIOGFtz98pgQyFRgAWEdWGur&#10;EWw7Mbgr7jcnWns9dQxqWvU9Jk8zzMq8U9Pktum4uGt1ppANuRztAY/ZvvWr2q62Ru+Qr01114oX&#10;N8Bj9qQDbUiSBAVwUJhGkKZRDPmaj6zmI7gjNYcs67RqMml3IDaj30+gOgkUlpXsv1MdMLN7/WDV&#10;QWGAQgDB8O4dqpOMqjYJ8AerzoxxwOE5Mc9OsyTYJfUNs5GXHdd81tD/z1QDwX+RqUaH/u1MhVNt&#10;ZOozYNEp3zpRckBKR22hXx+ylqzvuhTEWej5cI06vCPt6IniJAiQPka1BUIh8g2B70/QPc10Gsa4&#10;9NteTe0lcVLTDdypl678bo0FBQVV7BE3V3Bz2PQP1wqIa+4f+7z+E/rpv5UVc8HSQVmpfO+sJF6W&#10;BXALBMx9FAexb8oWTj57b0VpFMTxp81KtCsle8Z9ZFbMzRq+RIzc2q8m/akzb5ss7r/tTl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g9qU34gAAAA0BAAAPAAAAZHJzL2Rvd25y&#10;ZXYueG1sTI9Na4NAEIbvhf6HZQq9NasxBmNdQwhtT6HQpFB62+hEJe6suBs1/76TU3Obl3l4P7L1&#10;ZFoxYO8aSwrCWQACqbBlQ5WC78P7SwLCeU2lbi2hgis6WOePD5lOSzvSFw57Xwk2IZdqBbX3XSql&#10;K2o02s1sh8S/k+2N9iz7Spa9HtnctHIeBEtpdEOcUOsOtzUW5/3FKPgY9biJwrdhdz5tr7+H+PNn&#10;F6JSz0/T5hWEx8n/w3Crz9Uh505He6HSiZZ1FMUxswrm0YqPG7JMVjznqCBeJAuQeSbvV+R/AAAA&#10;//8DAFBLAwQKAAAAAAAAACEAWqrwi2oEAABqBAAAFAAAAGRycy9tZWRpYS9pbWFnZTEucG5niVBO&#10;Rw0KGgoAAAANSUhEUgAAAEgAAAAnCAIAAAAjLZmfAAAAAXNSR0IArs4c6QAAAARnQU1BAACxjwv8&#10;YQUAAAAgY0hSTQAAeiYAAICEAAD6AAAAgOgAAHUwAADqYAAAOpgAABdwnLpRPAAAAAlwSFlzAAAh&#10;1QAAIdUBBJy0nQAAA9NJREFUaEPVme1WE0EMhuvltVgFFCqKVwYIFAqoKP7yk5YCCopek5pMMjPZ&#10;2dnZbLvbUk88LlD38Jwkb97JPHj54U8L//zjv/4ffMLvZn8QfC748m/2TfKt8GzeZl8p/6d4Nh/j&#10;zwTP2d9H/m74HL4XwEz83qQ4c3G3eXb3AuI9xS+I5xDvKH5SbJxS3EI8O73tvYW44Xhz08P4QbH+&#10;GuI7xdoJxDXH8fXT4yuOo6snR5ccg8vVwZjjcLx6eLHi4mC07KI/XO4PH1HsQ5xDdPfPW9WosmAx&#10;qgAsQrWuoQI8RwUPGaqLFU81ilIRmM2VT5fNVTJdG5wuzBWEyZWSyqYLc6VKl8hVSPU4lyug6u5J&#10;MFGEWIEqKi7CXnERmgqMF6GSyqfrQFBB0vpDpsIi5Aokqu7et1a+tapS1d5avghla6WoEAyRLJUF&#10;KxQM1AydYCiLsEwwZGvlBEPTWoBEYTLGYLNqrZPmWoupHiJYg1S2tVAGvb4rW6u6YHgqB1YpV7Od&#10;WrK1+iWCARUISBi7XyljRgOryGDtghGfxTnBCKZWIBiOisACh2EFg2dxwmGUC0bSYViTMQhm8Vg6&#10;DL1gWCpMF4Op06WcxbK1pAzWNIvDqSVaa5epEExNlZjF7Jt6Dc3iKq1F6VpisGKba33TbAUDnKHC&#10;5pLDkILhqAxYQLU4NjdL5YsQqJZefSEweyQJqITNtTJYLhhq8y5PJfJIojLvaaocmDhr1WDeG3QY&#10;ogiFYJhcYboILHKCDFprMvO+pjuSTGbe461lqRhMZ3NrOxfHzXsoGCNxJImYdzmLSQaptVy0kCqY&#10;xfW0lp1a8rQ/9bnYmXfjm1gw8lQdKMUgXfe7tTI2l8Sd0yWKEKg6OwAWEYzZTq1JbW4hFRTkzmcC&#10;M/umuaycqpz2SwUDc2WoCCxBZafW1Is05WlfZ95TrUVUAkysByuunGKnfdgTOs2oybxzusKp5WXQ&#10;5cqDVRSMqVZO5edinXmXsxgkngTDpQszppjF99G8y6klW4vYOggW2VHX1lrT7KjT5l3O4qAIgaqz&#10;zWBy874wNpfYAipKV2f7E2RMeS7m+wRj3mexo/b+vcDmRluLqDzYJJv3uZr3NBWDJcx74rQ/B/Mu&#10;bG5eBl2uOGO1L9KKr3/kpVbB9U/ytF8qGITEYFWKMLZyCs175raufGqJqzpzpRBZOUXNezC1gnRh&#10;KSYvtabaUcdPkHLllKAy29yEeZezOE/VNmC1nSCV29zEpVYlm+tmsaxAem5vObAFtLl2ZLG+OzxI&#10;V3vro81YwS144cqpeZsbba1cBcapAOw/Pb+d4lbpPKYAAAAASUVORK5CYIJQSwECLQAUAAYACAAA&#10;ACEAsYJntgoBAAATAgAAEwAAAAAAAAAAAAAAAAAAAAAAW0NvbnRlbnRfVHlwZXNdLnhtbFBLAQIt&#10;ABQABgAIAAAAIQA4/SH/1gAAAJQBAAALAAAAAAAAAAAAAAAAADsBAABfcmVscy8ucmVsc1BLAQIt&#10;ABQABgAIAAAAIQBK5g4OSwQAACMOAAAOAAAAAAAAAAAAAAAAADoCAABkcnMvZTJvRG9jLnhtbFBL&#10;AQItABQABgAIAAAAIQCqJg6+vAAAACEBAAAZAAAAAAAAAAAAAAAAALEGAABkcnMvX3JlbHMvZTJv&#10;RG9jLnhtbC5yZWxzUEsBAi0AFAAGAAgAAAAhAKD2pTfiAAAADQEAAA8AAAAAAAAAAAAAAAAApAcA&#10;AGRycy9kb3ducmV2LnhtbFBLAQItAAoAAAAAAAAAIQBaqvCLagQAAGoEAAAUAAAAAAAAAAAAAAAA&#10;ALMIAABkcnMvbWVkaWEvaW1hZ2UxLnBuZ1BLBQYAAAAABgAGAHwBAABPDQAAAAA=&#10;">
                <v:rect id="Прямоугольник 2069" o:spid="_x0000_s1031" style="position:absolute;left:93136;top:22889;width:2979;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1RlscA&#10;AADdAAAADwAAAGRycy9kb3ducmV2LnhtbESPQWvCQBSE74L/YXmFXkR360Fqmo0UQbAIRaMovT2y&#10;r0lo9m2aXTX9965Q8DjMzDdMuuhtIy7U+dqxhpeJAkFcOFNzqeGwX41fQfiAbLBxTBr+yMMiGw5S&#10;TIy78o4ueShFhLBPUEMVQptI6YuKLPqJa4mj9+06iyHKrpSmw2uE20ZOlZpJizXHhQpbWlZU/ORn&#10;q+HL7Jbqc/Sb80e73m5OeNyq01Hr56f+/Q1EoD48wv/ttdEwVbM53N/EJ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dUZbHAAAA3QAAAA8AAAAAAAAAAAAAAAAAmAIAAGRy&#10;cy9kb3ducmV2LnhtbFBLBQYAAAAABAAEAPUAAACMAwAAAAA=&#10;" strokecolor="#4e9fba">
                  <v:fill r:id="rId140" o:title="" recolor="t" rotate="t" type="frame"/>
                  <v:shadow on="t" color="#ddd8c2 [2894]" offset="0,4pt"/>
                  <v:textbox inset="2.15869mm,1.0793mm,2.15869mm,1.0793mm">
                    <w:txbxContent>
                      <w:p/>
                    </w:txbxContent>
                  </v:textbox>
                </v:rect>
                <v:rect id="Прямоугольник 2070" o:spid="_x0000_s1032" style="position:absolute;left:93136;top:14314;width:2979;height:1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b8IA&#10;AADdAAAADwAAAGRycy9kb3ducmV2LnhtbERPy4rCMBTdD/gP4QpuBk11MUptKiIMIygMVhHcXZrb&#10;BzY3tYla/36yGHB5OO9k1ZtGPKhztWUF00kEgji3uuZSwen4PV6AcB5ZY2OZFLzIwSodfCQYa/vk&#10;Az0yX4oQwi5GBZX3bSylyysy6Ca2JQ5cYTuDPsCulLrDZwg3jZxF0Zc0WHNoqLClTUX5NbsbBfbn&#10;ZJrLxnzub2eaFrvil/1BKjUa9uslCE+9f4v/3VutYBbNw/7wJjwB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5hvwgAAAN0AAAAPAAAAAAAAAAAAAAAAAJgCAABkcnMvZG93&#10;bnJldi54bWxQSwUGAAAAAAQABAD1AAAAhwMAAAAA&#10;" fillcolor="#db9731" stroked="f">
                  <v:shadow on="t" color="#ddd8c2 [2894]" offset="0,4pt"/>
                  <v:textbox inset="2.15869mm,1.0793mm,2.15869mm,1.0793mm">
                    <w:txbxContent>
                      <w:p/>
                    </w:txbxContent>
                  </v:textbox>
                </v:rect>
                <v:shapetype id="_x0000_t202" coordsize="21600,21600" o:spt="202" path="m,l,21600r21600,l21600,xe">
                  <v:stroke joinstyle="miter"/>
                  <v:path gradientshapeok="t" o:connecttype="rect"/>
                </v:shapetype>
                <v:shape id="TextBox 57" o:spid="_x0000_s1033" type="#_x0000_t202" style="position:absolute;left:96940;top:13154;width:16733;height:11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eYsMA&#10;AADdAAAADwAAAGRycy9kb3ducmV2LnhtbESPwWrDMBBE74X8g9hAb43kQNvgRgkhbSGHXpo498Xa&#10;WibWyljb2Pn7qlDocZiZN8x6O4VOXWlIbWQLxcKAIq6ja7mxUJ3eH1agkiA77CKThRsl2G5md2ss&#10;XRz5k65HaVSGcCrRghfpS61T7SlgWsSeOHtfcQgoWQ6NdgOOGR46vTTmSQdsOS947Gnvqb4cv4MF&#10;EbcrbtVbSIfz9PE6elM/YmXt/XzavYASmuQ//Nc+OAtL81z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TeYsMAAADdAAAADwAAAAAAAAAAAAAAAACYAgAAZHJzL2Rv&#10;d25yZXYueG1sUEsFBgAAAAAEAAQA9QAAAIgDAAAAAA==&#10;" filled="f" stroked="f">
                  <v:textbox style="mso-fit-shape-to-text:t">
                    <w:txbxContent>
                      <w:p>
                        <w:pPr>
                          <w:pStyle w:val="aff"/>
                          <w:spacing w:before="0" w:beforeAutospacing="0" w:after="0"/>
                          <w:textAlignment w:val="baseline"/>
                        </w:pPr>
                        <w:r>
                          <w:rPr>
                            <w:rFonts w:ascii="Open Sans Condensed Light" w:eastAsia="Open Sans Condensed Light" w:hAnsi="Open Sans Condensed Light" w:cs="Open Sans Condensed Light"/>
                            <w:b/>
                            <w:bCs/>
                            <w:color w:val="808080" w:themeColor="background1" w:themeShade="80"/>
                            <w:kern w:val="24"/>
                            <w:sz w:val="28"/>
                            <w:szCs w:val="28"/>
                          </w:rPr>
                          <w:t>Кол-во аудиторских организаций, исключенных из плана</w:t>
                        </w:r>
                      </w:p>
                    </w:txbxContent>
                  </v:textbox>
                </v:shape>
                <v:shape id="TextBox 58" o:spid="_x0000_s1034" type="#_x0000_t202" style="position:absolute;left:97099;top:21636;width:18537;height:11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AFcMA&#10;AADdAAAADwAAAGRycy9kb3ducmV2LnhtbESPwWrDMBBE74X8g9hAb40UQ9vgRgkhbSGHXpo498Xa&#10;WibWyljb2Pn7qlDocZiZN8x6O4VOXWlIbWQLy4UBRVxH13JjoTq9P6xAJUF22EUmCzdKsN3M7tZY&#10;ujjyJ12P0qgM4VSiBS/Sl1qn2lPAtIg9cfa+4hBQshwa7QYcMzx0ujDmSQdsOS947Gnvqb4cv4MF&#10;Ebdb3qq3kA7n6eN19KZ+xMra+/m0ewElNMl/+K99cBYK81z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ZAFcMAAADdAAAADwAAAAAAAAAAAAAAAACYAgAAZHJzL2Rv&#10;d25yZXYueG1sUEsFBgAAAAAEAAQA9QAAAIgDAAAAAA==&#10;" filled="f" stroked="f">
                  <v:textbox style="mso-fit-shape-to-text:t">
                    <w:txbxContent>
                      <w:p>
                        <w:pPr>
                          <w:pStyle w:val="aff"/>
                          <w:spacing w:before="0" w:beforeAutospacing="0" w:after="0"/>
                          <w:textAlignment w:val="baseline"/>
                        </w:pPr>
                        <w:r>
                          <w:rPr>
                            <w:rFonts w:ascii="Open Sans Condensed Light" w:eastAsia="Open Sans Condensed Light" w:hAnsi="Open Sans Condensed Light" w:cs="Open Sans Condensed Light"/>
                            <w:b/>
                            <w:bCs/>
                            <w:color w:val="808080" w:themeColor="background1" w:themeShade="80"/>
                            <w:kern w:val="24"/>
                            <w:sz w:val="28"/>
                            <w:szCs w:val="28"/>
                          </w:rPr>
                          <w:t>Кол-во запланированных проверок аудиторских организаций</w:t>
                        </w:r>
                      </w:p>
                    </w:txbxContent>
                  </v:textbox>
                </v:shape>
              </v:group>
            </w:pict>
          </mc:Fallback>
        </mc:AlternateContent>
      </w:r>
      <w:r>
        <w:rPr>
          <w:rFonts w:ascii="Times New Roman" w:hAnsi="Times New Roman"/>
          <w:color w:val="000000" w:themeColor="text1"/>
          <w:sz w:val="28"/>
          <w:szCs w:val="28"/>
        </w:rPr>
        <w:t>По результатам проведенных в 2016 году проверок ВККР АО было вынесено 188 решений о применении мер воздействия (диаграмма 53),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120 предупреждений аудиторских организаций о недопустимости нарушения требований </w:t>
      </w:r>
      <w:r>
        <w:rPr>
          <w:rFonts w:ascii="Times New Roman" w:hAnsi="Times New Roman"/>
          <w:color w:val="000000" w:themeColor="text1"/>
          <w:sz w:val="28"/>
        </w:rPr>
        <w:t>Федерального закона № 307-ФЗ</w:t>
      </w:r>
      <w:r>
        <w:rPr>
          <w:rFonts w:ascii="Times New Roman" w:hAnsi="Times New Roman"/>
          <w:color w:val="000000" w:themeColor="text1"/>
          <w:sz w:val="28"/>
          <w:szCs w:val="28"/>
        </w:rPr>
        <w:t xml:space="preserve">, федеральных стандартов аудиторской деятельности, правил независимости аудиторов </w:t>
      </w:r>
      <w:r>
        <w:rPr>
          <w:rFonts w:ascii="Times New Roman" w:hAnsi="Times New Roman"/>
          <w:color w:val="000000" w:themeColor="text1"/>
          <w:sz w:val="28"/>
          <w:szCs w:val="28"/>
        </w:rPr>
        <w:br/>
        <w:t>и аудиторских организаций, кодекса профессиональной этики аудиторов (63,8 % от общего количества принятых решений о применении мер воздействия);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44 предписания, обязывающих аудиторские организации устранить выявленные по результатам внешних проверок нарушения правил аудиторской деятельности (23,4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13 предписаний в саморегулируемые организации аудиторов </w:t>
      </w:r>
      <w:r>
        <w:rPr>
          <w:rFonts w:ascii="Times New Roman" w:hAnsi="Times New Roman"/>
          <w:color w:val="000000" w:themeColor="text1"/>
          <w:sz w:val="28"/>
          <w:szCs w:val="28"/>
        </w:rPr>
        <w:br/>
        <w:t>о приостановлении членства аудиторской организации (7,0 процентов);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11 предписаний об исключении сведений об аудиторских организациях из реестра аудиторов и аудиторских организаций, аудиторов </w:t>
      </w:r>
      <w:r>
        <w:rPr>
          <w:rFonts w:ascii="Times New Roman" w:hAnsi="Times New Roman"/>
          <w:color w:val="000000" w:themeColor="text1"/>
          <w:sz w:val="28"/>
          <w:szCs w:val="28"/>
        </w:rPr>
        <w:br/>
        <w:t>в саморегулируемые организации аудиторов (6,9 процентов).</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53</w:t>
      </w:r>
    </w:p>
    <w:p>
      <w:pPr>
        <w:spacing w:after="0" w:line="360" w:lineRule="atLeast"/>
        <w:ind w:firstLine="709"/>
        <w:rPr>
          <w:rFonts w:ascii="Times New Roman" w:hAnsi="Times New Roman"/>
          <w:noProof/>
          <w:color w:val="000000" w:themeColor="text1"/>
          <w:sz w:val="20"/>
          <w:szCs w:val="20"/>
          <w:lang w:eastAsia="ru-RU"/>
        </w:rPr>
      </w:pPr>
      <w:r>
        <w:rPr>
          <w:rFonts w:ascii="Times New Roman" w:hAnsi="Times New Roman"/>
          <w:noProof/>
          <w:color w:val="000000" w:themeColor="text1"/>
          <w:sz w:val="20"/>
          <w:szCs w:val="20"/>
          <w:lang w:eastAsia="ru-RU"/>
        </w:rPr>
        <w:drawing>
          <wp:inline distT="0" distB="0" distL="0" distR="0">
            <wp:extent cx="5250329" cy="3156668"/>
            <wp:effectExtent l="0" t="0" r="762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56000" cy="3160078"/>
                    </a:xfrm>
                    <a:prstGeom prst="rect">
                      <a:avLst/>
                    </a:prstGeom>
                    <a:noFill/>
                  </pic:spPr>
                </pic:pic>
              </a:graphicData>
            </a:graphic>
          </wp:inline>
        </w:drawing>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Необходимо отметить изменение структуры решений о применении мер воздействия по сравнению с предыдущими периодами, что может свидетельствовать об усилении контроля за надлежащим устранением аудиторскими организациями выявленных нарушений системного характера, оказывающих всеобъемлющее негативное влияние на качество оказываемых услуг.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rPr>
        <w:t xml:space="preserve">Кроме того, в рамках исполнения государственной функции </w:t>
      </w:r>
      <w:r>
        <w:rPr>
          <w:rFonts w:ascii="Times New Roman" w:hAnsi="Times New Roman"/>
          <w:color w:val="000000" w:themeColor="text1"/>
          <w:sz w:val="28"/>
        </w:rPr>
        <w:br/>
        <w:t xml:space="preserve">в 2016 году было составлено 29 протоколов об административных правонарушениях (8 протоколов – за воспрепятствование законной деятельности должностного лица органа государственного контроля (статья 19.4.1 </w:t>
      </w:r>
      <w:r>
        <w:rPr>
          <w:rFonts w:ascii="Times New Roman" w:hAnsi="Times New Roman"/>
          <w:color w:val="000000" w:themeColor="text1"/>
          <w:sz w:val="28"/>
          <w:szCs w:val="28"/>
        </w:rPr>
        <w:t xml:space="preserve">КоАП); 21 протокол – за представление сведений (информации) </w:t>
      </w:r>
      <w:r>
        <w:rPr>
          <w:rFonts w:ascii="Times New Roman" w:hAnsi="Times New Roman"/>
          <w:color w:val="000000" w:themeColor="text1"/>
          <w:sz w:val="28"/>
          <w:szCs w:val="28"/>
        </w:rPr>
        <w:br/>
        <w:t xml:space="preserve">в неполном объеме или искаженном виде (статья 19.7 КоАП). </w:t>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По результатам проведенных проверок направлены в суд два исковых заявления о признании аудиторских заключений заведомо ложными </w:t>
      </w:r>
      <w:r>
        <w:rPr>
          <w:rFonts w:ascii="Times New Roman" w:hAnsi="Times New Roman"/>
          <w:color w:val="000000" w:themeColor="text1"/>
          <w:sz w:val="28"/>
        </w:rPr>
        <w:br/>
        <w:t xml:space="preserve">по основаниям, предусмотренным статьей 6 Федерального закона </w:t>
      </w:r>
      <w:r>
        <w:rPr>
          <w:rFonts w:ascii="Times New Roman" w:hAnsi="Times New Roman"/>
          <w:color w:val="000000" w:themeColor="text1"/>
          <w:sz w:val="28"/>
        </w:rPr>
        <w:br/>
        <w:t xml:space="preserve">№ 307-ФЗ, в отношении ООО «Корн-Аудит» (очередное судебное заседание назначено на 21 апреля 2017 года) и исковое заявление </w:t>
      </w:r>
      <w:r>
        <w:rPr>
          <w:rFonts w:ascii="Times New Roman" w:hAnsi="Times New Roman"/>
          <w:color w:val="000000" w:themeColor="text1"/>
          <w:sz w:val="28"/>
        </w:rPr>
        <w:br/>
        <w:t>в отношении ООО «</w:t>
      </w:r>
      <w:proofErr w:type="spellStart"/>
      <w:r>
        <w:rPr>
          <w:rFonts w:ascii="Times New Roman" w:hAnsi="Times New Roman"/>
          <w:color w:val="000000" w:themeColor="text1"/>
          <w:sz w:val="28"/>
        </w:rPr>
        <w:t>Универс</w:t>
      </w:r>
      <w:proofErr w:type="spellEnd"/>
      <w:r>
        <w:rPr>
          <w:rFonts w:ascii="Times New Roman" w:hAnsi="Times New Roman"/>
          <w:color w:val="000000" w:themeColor="text1"/>
          <w:sz w:val="28"/>
        </w:rPr>
        <w:t xml:space="preserve">-Аудит» (очередное судебное заседание назначено Арбитражным судом Амурской области по делу </w:t>
      </w:r>
      <w:r>
        <w:rPr>
          <w:rFonts w:ascii="Times New Roman" w:hAnsi="Times New Roman"/>
          <w:color w:val="000000" w:themeColor="text1"/>
          <w:sz w:val="28"/>
        </w:rPr>
        <w:br/>
        <w:t>№ А04-9981/2016 на 16 февраля 2017 года).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iCs/>
          <w:snapToGrid w:val="0"/>
          <w:color w:val="000000" w:themeColor="text1"/>
          <w:sz w:val="28"/>
          <w:szCs w:val="28"/>
        </w:rPr>
        <w:t xml:space="preserve">Эффективность осуществления функции характеризуется показателями подпрограммы 4 </w:t>
      </w:r>
      <w:r>
        <w:rPr>
          <w:rFonts w:ascii="Times New Roman" w:hAnsi="Times New Roman"/>
          <w:snapToGrid w:val="0"/>
          <w:color w:val="000000" w:themeColor="text1"/>
          <w:sz w:val="28"/>
          <w:szCs w:val="28"/>
        </w:rPr>
        <w:t>«</w:t>
      </w:r>
      <w:r>
        <w:rPr>
          <w:rFonts w:ascii="Times New Roman" w:hAnsi="Times New Roman"/>
          <w:color w:val="000000" w:themeColor="text1"/>
          <w:sz w:val="28"/>
          <w:szCs w:val="28"/>
        </w:rPr>
        <w:t xml:space="preserve">Организация и осуществление контроля </w:t>
      </w:r>
      <w:r>
        <w:rPr>
          <w:rFonts w:ascii="Times New Roman" w:hAnsi="Times New Roman"/>
          <w:color w:val="000000" w:themeColor="text1"/>
          <w:sz w:val="28"/>
          <w:szCs w:val="28"/>
        </w:rPr>
        <w:br/>
        <w:t>и надзора в финансово-бюджетной сфере</w:t>
      </w:r>
      <w:r>
        <w:rPr>
          <w:rFonts w:ascii="Times New Roman" w:hAnsi="Times New Roman"/>
          <w:snapToGrid w:val="0"/>
          <w:color w:val="000000" w:themeColor="text1"/>
          <w:sz w:val="28"/>
          <w:szCs w:val="28"/>
        </w:rPr>
        <w:t>» Госпрограммы № 40 (</w:t>
      </w:r>
      <w:r>
        <w:rPr>
          <w:rFonts w:ascii="Times New Roman" w:hAnsi="Times New Roman"/>
          <w:iCs/>
          <w:snapToGrid w:val="0"/>
          <w:color w:val="000000" w:themeColor="text1"/>
          <w:sz w:val="28"/>
          <w:szCs w:val="28"/>
        </w:rPr>
        <w:t>таблица 22</w:t>
      </w:r>
      <w:r>
        <w:rPr>
          <w:rFonts w:ascii="Times New Roman" w:hAnsi="Times New Roman"/>
          <w:snapToGrid w:val="0"/>
          <w:color w:val="000000" w:themeColor="text1"/>
          <w:sz w:val="28"/>
          <w:szCs w:val="28"/>
        </w:rPr>
        <w:t>)</w:t>
      </w:r>
      <w:r>
        <w:rPr>
          <w:rFonts w:ascii="Times New Roman" w:hAnsi="Times New Roman"/>
          <w:color w:val="000000" w:themeColor="text1"/>
          <w:sz w:val="28"/>
          <w:szCs w:val="28"/>
        </w:rPr>
        <w:t>.</w:t>
      </w:r>
    </w:p>
    <w:p>
      <w:pPr>
        <w:spacing w:before="120"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Таблица 22</w:t>
      </w:r>
    </w:p>
    <w:tbl>
      <w:tblPr>
        <w:tblW w:w="9214" w:type="dxa"/>
        <w:tblInd w:w="144" w:type="dxa"/>
        <w:tblLayout w:type="fixed"/>
        <w:tblCellMar>
          <w:left w:w="0" w:type="dxa"/>
          <w:right w:w="0" w:type="dxa"/>
        </w:tblCellMar>
        <w:tblLook w:val="0420" w:firstRow="1" w:lastRow="0" w:firstColumn="0" w:lastColumn="0" w:noHBand="0" w:noVBand="1"/>
      </w:tblPr>
      <w:tblGrid>
        <w:gridCol w:w="5103"/>
        <w:gridCol w:w="993"/>
        <w:gridCol w:w="992"/>
        <w:gridCol w:w="992"/>
        <w:gridCol w:w="1134"/>
      </w:tblGrid>
      <w:tr>
        <w:trPr>
          <w:trHeight w:val="248"/>
        </w:trPr>
        <w:tc>
          <w:tcPr>
            <w:tcW w:w="5103" w:type="dxa"/>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rPr>
              <w:t>Показатели</w:t>
            </w:r>
          </w:p>
        </w:tc>
        <w:tc>
          <w:tcPr>
            <w:tcW w:w="993" w:type="dxa"/>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eastAsia="Open Sans Condensed" w:hAnsi="Times New Roman"/>
                <w:b/>
                <w:bCs/>
                <w:color w:val="000000" w:themeColor="text1"/>
                <w:kern w:val="24"/>
                <w:sz w:val="24"/>
                <w:szCs w:val="24"/>
              </w:rPr>
              <w:t>2013</w:t>
            </w:r>
          </w:p>
        </w:tc>
        <w:tc>
          <w:tcPr>
            <w:tcW w:w="992" w:type="dxa"/>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eastAsia="Open Sans Condensed" w:hAnsi="Times New Roman"/>
                <w:b/>
                <w:bCs/>
                <w:color w:val="000000" w:themeColor="text1"/>
                <w:kern w:val="24"/>
                <w:sz w:val="24"/>
                <w:szCs w:val="24"/>
              </w:rPr>
              <w:t>2014</w:t>
            </w:r>
          </w:p>
        </w:tc>
        <w:tc>
          <w:tcPr>
            <w:tcW w:w="992" w:type="dxa"/>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eastAsia="Open Sans Condensed" w:hAnsi="Times New Roman"/>
                <w:b/>
                <w:bCs/>
                <w:color w:val="000000" w:themeColor="text1"/>
                <w:kern w:val="24"/>
                <w:sz w:val="24"/>
                <w:szCs w:val="24"/>
              </w:rPr>
              <w:t>2015</w:t>
            </w:r>
          </w:p>
        </w:tc>
        <w:tc>
          <w:tcPr>
            <w:tcW w:w="1134" w:type="dxa"/>
            <w:tcBorders>
              <w:top w:val="single" w:sz="8" w:space="0" w:color="FFFFFF"/>
              <w:left w:val="single" w:sz="8" w:space="0" w:color="FFFFFF"/>
              <w:bottom w:val="single" w:sz="24" w:space="0" w:color="FFFFFF"/>
              <w:right w:val="single" w:sz="8" w:space="0" w:color="FFFFFF"/>
            </w:tcBorders>
            <w:shd w:val="clear" w:color="auto" w:fill="3892AF"/>
            <w:tcMar>
              <w:top w:w="72" w:type="dxa"/>
              <w:left w:w="144" w:type="dxa"/>
              <w:bottom w:w="72" w:type="dxa"/>
              <w:right w:w="144"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eastAsia="Open Sans Condensed" w:hAnsi="Times New Roman"/>
                <w:b/>
                <w:bCs/>
                <w:color w:val="000000" w:themeColor="text1"/>
                <w:kern w:val="24"/>
                <w:sz w:val="24"/>
                <w:szCs w:val="24"/>
              </w:rPr>
              <w:t>2016</w:t>
            </w:r>
          </w:p>
        </w:tc>
      </w:tr>
      <w:tr>
        <w:trPr>
          <w:trHeight w:val="981"/>
        </w:trPr>
        <w:tc>
          <w:tcPr>
            <w:tcW w:w="5103" w:type="dxa"/>
            <w:tcBorders>
              <w:top w:val="single" w:sz="24"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rPr>
                <w:rFonts w:ascii="Times New Roman" w:hAnsi="Times New Roman"/>
                <w:color w:val="000000" w:themeColor="text1"/>
              </w:rPr>
            </w:pPr>
            <w:r>
              <w:rPr>
                <w:rFonts w:ascii="Times New Roman" w:eastAsia="Open Sans Condensed Light" w:hAnsi="Times New Roman"/>
                <w:color w:val="000000" w:themeColor="text1"/>
                <w:kern w:val="24"/>
              </w:rPr>
              <w:t>Количество аудиторских организаций, проводивших обязательных аудит бухгалтерской (финансовой) отчетности организаций, указанных в части 3 статьи 5 Федерального закона № 307-ФЗ</w:t>
            </w:r>
          </w:p>
        </w:tc>
        <w:tc>
          <w:tcPr>
            <w:tcW w:w="993" w:type="dxa"/>
            <w:tcBorders>
              <w:top w:val="single" w:sz="24"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1</w:t>
            </w:r>
            <w:r>
              <w:rPr>
                <w:rFonts w:ascii="Times New Roman" w:eastAsia="Open Sans Condensed Light" w:hAnsi="Times New Roman"/>
                <w:color w:val="000000" w:themeColor="text1"/>
                <w:kern w:val="24"/>
                <w:lang w:val="en-US"/>
              </w:rPr>
              <w:t xml:space="preserve"> </w:t>
            </w:r>
            <w:r>
              <w:rPr>
                <w:rFonts w:ascii="Times New Roman" w:eastAsia="Open Sans Condensed Light" w:hAnsi="Times New Roman"/>
                <w:color w:val="000000" w:themeColor="text1"/>
                <w:kern w:val="24"/>
              </w:rPr>
              <w:t>0</w:t>
            </w:r>
            <w:r>
              <w:rPr>
                <w:rFonts w:ascii="Times New Roman" w:eastAsia="Open Sans Condensed Light" w:hAnsi="Times New Roman"/>
                <w:color w:val="000000" w:themeColor="text1"/>
                <w:kern w:val="24"/>
                <w:lang w:val="en-US"/>
              </w:rPr>
              <w:t>33</w:t>
            </w:r>
          </w:p>
        </w:tc>
        <w:tc>
          <w:tcPr>
            <w:tcW w:w="992" w:type="dxa"/>
            <w:tcBorders>
              <w:top w:val="single" w:sz="24"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924</w:t>
            </w:r>
          </w:p>
        </w:tc>
        <w:tc>
          <w:tcPr>
            <w:tcW w:w="992" w:type="dxa"/>
            <w:tcBorders>
              <w:top w:val="single" w:sz="24"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800</w:t>
            </w:r>
          </w:p>
        </w:tc>
        <w:tc>
          <w:tcPr>
            <w:tcW w:w="1134" w:type="dxa"/>
            <w:tcBorders>
              <w:top w:val="single" w:sz="24"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w:hAnsi="Times New Roman"/>
                <w:b/>
                <w:bCs/>
                <w:color w:val="000000" w:themeColor="text1"/>
                <w:kern w:val="24"/>
              </w:rPr>
              <w:t>743</w:t>
            </w:r>
          </w:p>
        </w:tc>
      </w:tr>
      <w:tr>
        <w:trPr>
          <w:trHeight w:val="299"/>
        </w:trPr>
        <w:tc>
          <w:tcPr>
            <w:tcW w:w="5103"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rPr>
                <w:rFonts w:ascii="Times New Roman" w:hAnsi="Times New Roman"/>
                <w:color w:val="000000" w:themeColor="text1"/>
              </w:rPr>
            </w:pPr>
            <w:r>
              <w:rPr>
                <w:rFonts w:ascii="Times New Roman" w:eastAsia="Open Sans Condensed" w:hAnsi="Times New Roman"/>
                <w:color w:val="000000" w:themeColor="text1"/>
                <w:kern w:val="24"/>
              </w:rPr>
              <w:t>Количество внешних проверок качества работы аудиторских организаций, проведенных Федеральным казначейством за отчетный период</w:t>
            </w:r>
          </w:p>
        </w:tc>
        <w:tc>
          <w:tcPr>
            <w:tcW w:w="993"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300</w:t>
            </w:r>
          </w:p>
        </w:tc>
        <w:tc>
          <w:tcPr>
            <w:tcW w:w="992"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293</w:t>
            </w:r>
          </w:p>
        </w:tc>
        <w:tc>
          <w:tcPr>
            <w:tcW w:w="992"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237</w:t>
            </w:r>
          </w:p>
        </w:tc>
        <w:tc>
          <w:tcPr>
            <w:tcW w:w="1134"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w:hAnsi="Times New Roman"/>
                <w:b/>
                <w:bCs/>
                <w:color w:val="000000" w:themeColor="text1"/>
                <w:kern w:val="24"/>
              </w:rPr>
              <w:t>239</w:t>
            </w:r>
          </w:p>
        </w:tc>
      </w:tr>
      <w:tr>
        <w:trPr>
          <w:trHeight w:val="107"/>
        </w:trPr>
        <w:tc>
          <w:tcPr>
            <w:tcW w:w="5103" w:type="dxa"/>
            <w:tcBorders>
              <w:top w:val="single" w:sz="8"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rPr>
                <w:rFonts w:ascii="Times New Roman" w:hAnsi="Times New Roman"/>
                <w:color w:val="000000" w:themeColor="text1"/>
              </w:rPr>
            </w:pPr>
            <w:r>
              <w:rPr>
                <w:rFonts w:ascii="Times New Roman" w:eastAsia="Open Sans Condensed Light" w:hAnsi="Times New Roman"/>
                <w:color w:val="000000" w:themeColor="text1"/>
                <w:kern w:val="24"/>
              </w:rPr>
              <w:t>Плановый уровень индикатора 4.9, предусмотренный на отчетный период</w:t>
            </w:r>
          </w:p>
        </w:tc>
        <w:tc>
          <w:tcPr>
            <w:tcW w:w="993" w:type="dxa"/>
            <w:tcBorders>
              <w:top w:val="single" w:sz="8"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lang w:val="en-US"/>
              </w:rPr>
              <w:t>&gt;</w:t>
            </w:r>
            <w:r>
              <w:rPr>
                <w:rFonts w:ascii="Times New Roman" w:eastAsia="Open Sans Condensed Light" w:hAnsi="Times New Roman"/>
                <w:color w:val="000000" w:themeColor="text1"/>
                <w:kern w:val="24"/>
              </w:rPr>
              <w:t xml:space="preserve"> </w:t>
            </w:r>
            <w:r>
              <w:rPr>
                <w:rFonts w:ascii="Times New Roman" w:eastAsia="Open Sans Condensed Light" w:hAnsi="Times New Roman"/>
                <w:color w:val="000000" w:themeColor="text1"/>
                <w:kern w:val="24"/>
                <w:lang w:val="en-US"/>
              </w:rPr>
              <w:t>10</w:t>
            </w:r>
            <w:r>
              <w:rPr>
                <w:rFonts w:ascii="Times New Roman" w:eastAsia="Open Sans Condensed Light" w:hAnsi="Times New Roman"/>
                <w:color w:val="000000" w:themeColor="text1"/>
                <w:kern w:val="24"/>
              </w:rPr>
              <w:t xml:space="preserve"> </w:t>
            </w:r>
            <w:r>
              <w:rPr>
                <w:rFonts w:ascii="Times New Roman" w:eastAsia="Open Sans Condensed Light" w:hAnsi="Times New Roman"/>
                <w:color w:val="000000" w:themeColor="text1"/>
                <w:kern w:val="24"/>
                <w:lang w:val="en-US"/>
              </w:rPr>
              <w:t>%</w:t>
            </w:r>
          </w:p>
        </w:tc>
        <w:tc>
          <w:tcPr>
            <w:tcW w:w="992" w:type="dxa"/>
            <w:tcBorders>
              <w:top w:val="single" w:sz="8"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lang w:val="en-US"/>
              </w:rPr>
              <w:t>10</w:t>
            </w:r>
            <w:r>
              <w:rPr>
                <w:rFonts w:ascii="Times New Roman" w:eastAsia="Open Sans Condensed Light" w:hAnsi="Times New Roman"/>
                <w:color w:val="000000" w:themeColor="text1"/>
                <w:kern w:val="24"/>
              </w:rPr>
              <w:t xml:space="preserve"> </w:t>
            </w:r>
            <w:r>
              <w:rPr>
                <w:rFonts w:ascii="Times New Roman" w:eastAsia="Open Sans Condensed Light" w:hAnsi="Times New Roman"/>
                <w:color w:val="000000" w:themeColor="text1"/>
                <w:kern w:val="24"/>
                <w:lang w:val="en-US"/>
              </w:rPr>
              <w:t>%</w:t>
            </w:r>
          </w:p>
        </w:tc>
        <w:tc>
          <w:tcPr>
            <w:tcW w:w="992" w:type="dxa"/>
            <w:tcBorders>
              <w:top w:val="single" w:sz="8"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10 %</w:t>
            </w:r>
          </w:p>
        </w:tc>
        <w:tc>
          <w:tcPr>
            <w:tcW w:w="1134" w:type="dxa"/>
            <w:tcBorders>
              <w:top w:val="single" w:sz="8" w:space="0" w:color="FFFFFF"/>
              <w:left w:val="single" w:sz="8" w:space="0" w:color="FFFFFF"/>
              <w:bottom w:val="single" w:sz="8" w:space="0" w:color="FFFFFF"/>
              <w:right w:val="single" w:sz="8" w:space="0" w:color="FFFFFF"/>
            </w:tcBorders>
            <w:shd w:val="clear" w:color="auto" w:fill="E6E6E6"/>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w:hAnsi="Times New Roman"/>
                <w:color w:val="000000" w:themeColor="text1"/>
                <w:kern w:val="24"/>
              </w:rPr>
              <w:t>15 %</w:t>
            </w:r>
          </w:p>
        </w:tc>
      </w:tr>
      <w:tr>
        <w:trPr>
          <w:trHeight w:val="170"/>
        </w:trPr>
        <w:tc>
          <w:tcPr>
            <w:tcW w:w="5103"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rPr>
                <w:rFonts w:ascii="Times New Roman" w:hAnsi="Times New Roman"/>
                <w:color w:val="000000" w:themeColor="text1"/>
              </w:rPr>
            </w:pPr>
            <w:r>
              <w:rPr>
                <w:rFonts w:ascii="Times New Roman" w:eastAsia="Open Sans Condensed" w:hAnsi="Times New Roman"/>
                <w:color w:val="000000" w:themeColor="text1"/>
                <w:kern w:val="24"/>
              </w:rPr>
              <w:t>Уровень фактически достигнутого индикатора 4.9 за отчетный период</w:t>
            </w:r>
          </w:p>
        </w:tc>
        <w:tc>
          <w:tcPr>
            <w:tcW w:w="993"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29 %</w:t>
            </w:r>
          </w:p>
        </w:tc>
        <w:tc>
          <w:tcPr>
            <w:tcW w:w="992"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32 %</w:t>
            </w:r>
          </w:p>
        </w:tc>
        <w:tc>
          <w:tcPr>
            <w:tcW w:w="992"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Light" w:hAnsi="Times New Roman"/>
                <w:color w:val="000000" w:themeColor="text1"/>
                <w:kern w:val="24"/>
              </w:rPr>
              <w:t>29,6 %</w:t>
            </w:r>
          </w:p>
        </w:tc>
        <w:tc>
          <w:tcPr>
            <w:tcW w:w="1134" w:type="dxa"/>
            <w:tcBorders>
              <w:top w:val="single" w:sz="8" w:space="0" w:color="FFFFFF"/>
              <w:left w:val="single" w:sz="8" w:space="0" w:color="FFFFFF"/>
              <w:bottom w:val="single" w:sz="8" w:space="0" w:color="FFFFFF"/>
              <w:right w:val="single" w:sz="8" w:space="0" w:color="FFFFFF"/>
            </w:tcBorders>
            <w:shd w:val="clear" w:color="auto" w:fill="51ADCC"/>
            <w:tcMar>
              <w:top w:w="72" w:type="dxa"/>
              <w:left w:w="144" w:type="dxa"/>
              <w:bottom w:w="72" w:type="dxa"/>
              <w:right w:w="144" w:type="dxa"/>
            </w:tcMar>
            <w:vAlign w:val="center"/>
            <w:hideMark/>
          </w:tcPr>
          <w:p>
            <w:pPr>
              <w:spacing w:after="0" w:line="240" w:lineRule="auto"/>
              <w:jc w:val="right"/>
              <w:rPr>
                <w:rFonts w:ascii="Times New Roman" w:hAnsi="Times New Roman"/>
                <w:color w:val="000000" w:themeColor="text1"/>
              </w:rPr>
            </w:pPr>
            <w:r>
              <w:rPr>
                <w:rFonts w:ascii="Times New Roman" w:eastAsia="Open Sans Condensed" w:hAnsi="Times New Roman"/>
                <w:b/>
                <w:bCs/>
                <w:color w:val="000000" w:themeColor="text1"/>
                <w:kern w:val="24"/>
              </w:rPr>
              <w:t>32,2 %</w:t>
            </w:r>
          </w:p>
        </w:tc>
      </w:tr>
    </w:tbl>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В 2016 году Федеральным казначейством проведены 239 внешних проверок качества работы аудиторских организаций из 743 аудиторских организаций, проводящих аудит бухгалтерской (финансовой) отчетности общественно значимых организаций (32,2 процентов). Величина данного показателя свидетельствует о достижении Федеральным казначейством целевого индикатора (15 процентов). </w:t>
      </w:r>
      <w:r>
        <w:rPr>
          <w:rFonts w:ascii="Times New Roman" w:hAnsi="Times New Roman"/>
          <w:color w:val="000000" w:themeColor="text1"/>
          <w:sz w:val="28"/>
          <w:szCs w:val="28"/>
        </w:rPr>
        <w:t xml:space="preserve">Достигнутые показатели подпрограммы 4 </w:t>
      </w:r>
      <w:r>
        <w:rPr>
          <w:rFonts w:ascii="Times New Roman" w:hAnsi="Times New Roman"/>
          <w:snapToGrid w:val="0"/>
          <w:color w:val="000000" w:themeColor="text1"/>
          <w:sz w:val="28"/>
          <w:szCs w:val="28"/>
        </w:rPr>
        <w:t>«</w:t>
      </w:r>
      <w:r>
        <w:rPr>
          <w:rFonts w:ascii="Times New Roman" w:hAnsi="Times New Roman"/>
          <w:color w:val="000000" w:themeColor="text1"/>
          <w:sz w:val="28"/>
          <w:szCs w:val="28"/>
        </w:rPr>
        <w:t xml:space="preserve">Организация и осуществление контроля и надзора </w:t>
      </w:r>
      <w:r>
        <w:rPr>
          <w:rFonts w:ascii="Times New Roman" w:hAnsi="Times New Roman"/>
          <w:color w:val="000000" w:themeColor="text1"/>
          <w:sz w:val="28"/>
          <w:szCs w:val="28"/>
        </w:rPr>
        <w:br/>
        <w:t>в финансово-бюджетной сфере</w:t>
      </w:r>
      <w:r>
        <w:rPr>
          <w:rFonts w:ascii="Times New Roman" w:hAnsi="Times New Roman"/>
          <w:snapToGrid w:val="0"/>
          <w:color w:val="000000" w:themeColor="text1"/>
          <w:sz w:val="28"/>
          <w:szCs w:val="28"/>
        </w:rPr>
        <w:t xml:space="preserve">» </w:t>
      </w:r>
      <w:r>
        <w:rPr>
          <w:rFonts w:ascii="Times New Roman" w:hAnsi="Times New Roman"/>
          <w:color w:val="000000" w:themeColor="text1"/>
          <w:sz w:val="28"/>
          <w:szCs w:val="28"/>
        </w:rPr>
        <w:t xml:space="preserve">Госпрограммы № 40 свидетельствуют </w:t>
      </w:r>
      <w:r>
        <w:rPr>
          <w:rFonts w:ascii="Times New Roman" w:hAnsi="Times New Roman"/>
          <w:color w:val="000000" w:themeColor="text1"/>
          <w:sz w:val="28"/>
          <w:szCs w:val="28"/>
        </w:rPr>
        <w:br/>
        <w:t xml:space="preserve">о высокой результативности осуществления Федеральным казначейством функции по ВККР АО, что </w:t>
      </w:r>
      <w:r>
        <w:rPr>
          <w:rFonts w:ascii="Times New Roman" w:hAnsi="Times New Roman"/>
          <w:color w:val="000000" w:themeColor="text1"/>
          <w:sz w:val="28"/>
        </w:rPr>
        <w:t xml:space="preserve">способствует обеспечению реализации прав пользователей на получение достоверной информации о бухгалтерской (финансовой) отчетности общественно значимых организаций, указанных </w:t>
      </w:r>
      <w:r>
        <w:rPr>
          <w:rFonts w:ascii="Times New Roman" w:hAnsi="Times New Roman"/>
          <w:color w:val="000000" w:themeColor="text1"/>
          <w:sz w:val="28"/>
        </w:rPr>
        <w:br/>
        <w:t>в части 3 статьи 5 Федерального закона № 307-ФЗ.</w:t>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Эффективность проведения проверочных мероприятий положительно влияет на повышение качества работы аудиторских организаций, вытеснение с рынка аудиторских услуг недобросовестных </w:t>
      </w:r>
      <w:r>
        <w:rPr>
          <w:rFonts w:ascii="Times New Roman" w:hAnsi="Times New Roman"/>
          <w:color w:val="000000" w:themeColor="text1"/>
          <w:sz w:val="28"/>
        </w:rPr>
        <w:br/>
        <w:t>и неквалифицированных участников и, в целом, на улучшение инвестиционного климата в Российской Федерации путем повышения доверия к результатам аудита бухгалтерской (финансовой) отчетности общественно значимых организаций.</w:t>
      </w:r>
    </w:p>
    <w:p>
      <w:pPr>
        <w:spacing w:after="0" w:line="360" w:lineRule="atLeast"/>
        <w:ind w:firstLine="709"/>
        <w:jc w:val="both"/>
        <w:rPr>
          <w:rFonts w:ascii="Times New Roman" w:eastAsiaTheme="majorEastAsia" w:hAnsi="Times New Roman"/>
          <w:bCs/>
          <w:color w:val="000000" w:themeColor="text1"/>
          <w:sz w:val="28"/>
          <w:szCs w:val="28"/>
        </w:rPr>
      </w:pPr>
      <w:r>
        <w:rPr>
          <w:rFonts w:ascii="Times New Roman" w:hAnsi="Times New Roman"/>
          <w:noProof/>
          <w:color w:val="000000" w:themeColor="text1"/>
          <w:lang w:eastAsia="ru-RU"/>
        </w:rPr>
        <mc:AlternateContent>
          <mc:Choice Requires="wps">
            <w:drawing>
              <wp:anchor distT="0" distB="0" distL="114300" distR="114300" simplePos="0" relativeHeight="251670528" behindDoc="0" locked="0" layoutInCell="1" allowOverlap="1">
                <wp:simplePos x="0" y="0"/>
                <wp:positionH relativeFrom="column">
                  <wp:posOffset>8272232</wp:posOffset>
                </wp:positionH>
                <wp:positionV relativeFrom="paragraph">
                  <wp:posOffset>1376680</wp:posOffset>
                </wp:positionV>
                <wp:extent cx="1303020" cy="257810"/>
                <wp:effectExtent l="0" t="0" r="0" b="0"/>
                <wp:wrapNone/>
                <wp:docPr id="27724" name="Прямоугольник 31"/>
                <wp:cNvGraphicFramePr/>
                <a:graphic xmlns:a="http://schemas.openxmlformats.org/drawingml/2006/main">
                  <a:graphicData uri="http://schemas.microsoft.com/office/word/2010/wordprocessingShape">
                    <wps:wsp>
                      <wps:cNvSpPr/>
                      <wps:spPr>
                        <a:xfrm>
                          <a:off x="0" y="0"/>
                          <a:ext cx="1303020" cy="257810"/>
                        </a:xfrm>
                        <a:prstGeom prst="rect">
                          <a:avLst/>
                        </a:prstGeom>
                      </wps:spPr>
                      <wps:txbx>
                        <w:txbxContent>
                          <w:p>
                            <w:pPr>
                              <w:pStyle w:val="aff"/>
                              <w:spacing w:before="0" w:beforeAutospacing="0" w:after="0"/>
                              <w:jc w:val="center"/>
                            </w:pPr>
                            <w:r>
                              <w:rPr>
                                <w:rFonts w:ascii="Open Sans Condensed Light" w:eastAsia="Open Sans Condensed Light" w:hAnsi="Open Sans Condensed Light" w:cs="Open Sans Condensed Light"/>
                                <w:b/>
                                <w:bCs/>
                                <w:color w:val="808080" w:themeColor="background1" w:themeShade="80"/>
                                <w:kern w:val="24"/>
                                <w:sz w:val="28"/>
                                <w:szCs w:val="28"/>
                              </w:rPr>
                              <w:t>2016 год</w:t>
                            </w:r>
                          </w:p>
                          <w:p>
                            <w:pPr>
                              <w:pStyle w:val="aff"/>
                              <w:spacing w:before="0" w:beforeAutospacing="0" w:after="0"/>
                              <w:jc w:val="center"/>
                            </w:pPr>
                          </w:p>
                        </w:txbxContent>
                      </wps:txbx>
                      <wps:bodyPr wrap="square">
                        <a:noAutofit/>
                      </wps:bodyPr>
                    </wps:wsp>
                  </a:graphicData>
                </a:graphic>
              </wp:anchor>
            </w:drawing>
          </mc:Choice>
          <mc:Fallback>
            <w:pict>
              <v:rect id="Прямоугольник 31" o:spid="_x0000_s1035" style="position:absolute;left:0;text-align:left;margin-left:651.35pt;margin-top:108.4pt;width:102.6pt;height:20.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UEsAEAAA0DAAAOAAAAZHJzL2Uyb0RvYy54bWysUs1OGzEQvlfiHSzfyf6kJWiVDUJCcKla&#10;JMoDOF47a2n9g+1kN7dKvVbiEfoQvSCgPIPzRh07ISC4Vb2MPZ6Zb+b7xtOTQXZoxawTWtW4GOUY&#10;MUV1I9Sixtffzg+PMXKeqIZ0WrEar5nDJ7ODD9PeVKzUre4aZhGAKFf1psat96bKMkdbJokbacMU&#10;BLm2knhw7SJrLOkBXXZZmedHWa9tY6ymzDl4PdsG8Szhc86o/8q5Yx51NYbZfLI22Xm02WxKqoUl&#10;phV0Nwb5hykkEQqa7qHOiCdoacU7KCmo1U5zP6JaZppzQVniAGyK/A2bq5YYlriAOM7sZXL/D5Z+&#10;WV1aJJoal5NJ+REjRSSsKfzafN/chsfwtPkRfoen8LD5Gf6Eu3CPxkUUrTeugtorc2l3noNrVGDg&#10;VsYTuKEhCb3eC80Gjyg8FuN8nJewDwqx8tPkuEibyF6qjXX+gmmJ4qXGFhaZ9CWrz85DR0h9TgEn&#10;TrPtH29+mA+JUnH0POpcN2vg2cOia+xulsRGXUml9OnSay4SZKzdJu4gQfPUafc/4lJf+ynr5RfP&#10;/gIAAP//AwBQSwMEFAAGAAgAAAAhAA/VP0nkAAAADQEAAA8AAABkcnMvZG93bnJldi54bWxMj81O&#10;wzAQhO9IvIO1SFwQtRtoAyFOhSohqgqpIv05u7FJIuJ1GrtJeHu2JzjO7KfZmXQx2ob1pvO1QwnT&#10;iQBmsHC6xlLCbvt2/wTMB4VaNQ6NhB/jYZFdX6Uq0W7AT9PnoWQUgj5REqoQ2oRzX1TGKj9xrUG6&#10;fbnOqkCyK7nu1EDhtuGREHNuVY30oVKtWVam+M7PVsJQbPrD9uOdb+4OK4en1WmZ79dS3t6Mry/A&#10;ghnDHwyX+lQdMup0dGfUnjWkH0QUEyshms5pxAWZifgZ2JGsWfwIPEv5/xXZLwAAAP//AwBQSwEC&#10;LQAUAAYACAAAACEAtoM4kv4AAADhAQAAEwAAAAAAAAAAAAAAAAAAAAAAW0NvbnRlbnRfVHlwZXNd&#10;LnhtbFBLAQItABQABgAIAAAAIQA4/SH/1gAAAJQBAAALAAAAAAAAAAAAAAAAAC8BAABfcmVscy8u&#10;cmVsc1BLAQItABQABgAIAAAAIQBlIxUEsAEAAA0DAAAOAAAAAAAAAAAAAAAAAC4CAABkcnMvZTJv&#10;RG9jLnhtbFBLAQItABQABgAIAAAAIQAP1T9J5AAAAA0BAAAPAAAAAAAAAAAAAAAAAAoEAABkcnMv&#10;ZG93bnJldi54bWxQSwUGAAAAAAQABADzAAAAGwUAAAAA&#10;" filled="f" stroked="f">
                <v:textbox>
                  <w:txbxContent>
                    <w:p>
                      <w:pPr>
                        <w:pStyle w:val="aff"/>
                        <w:spacing w:before="0" w:beforeAutospacing="0" w:after="0"/>
                        <w:jc w:val="center"/>
                      </w:pPr>
                      <w:r>
                        <w:rPr>
                          <w:rFonts w:ascii="Open Sans Condensed Light" w:eastAsia="Open Sans Condensed Light" w:hAnsi="Open Sans Condensed Light" w:cs="Open Sans Condensed Light"/>
                          <w:b/>
                          <w:bCs/>
                          <w:color w:val="808080" w:themeColor="background1" w:themeShade="80"/>
                          <w:kern w:val="24"/>
                          <w:sz w:val="28"/>
                          <w:szCs w:val="28"/>
                        </w:rPr>
                        <w:t>2016 год</w:t>
                      </w:r>
                    </w:p>
                    <w:p>
                      <w:pPr>
                        <w:pStyle w:val="aff"/>
                        <w:spacing w:before="0" w:beforeAutospacing="0" w:after="0"/>
                        <w:jc w:val="center"/>
                      </w:pPr>
                    </w:p>
                  </w:txbxContent>
                </v:textbox>
              </v:rect>
            </w:pict>
          </mc:Fallback>
        </mc:AlternateContent>
      </w:r>
      <w:r>
        <w:rPr>
          <w:rFonts w:ascii="Times New Roman" w:hAnsi="Times New Roman"/>
          <w:color w:val="000000" w:themeColor="text1"/>
          <w:sz w:val="28"/>
          <w:szCs w:val="28"/>
        </w:rPr>
        <w:t xml:space="preserve">Во исполнение поручения Президента Российской Федерации </w:t>
      </w:r>
      <w:r>
        <w:rPr>
          <w:rFonts w:ascii="Times New Roman" w:hAnsi="Times New Roman"/>
          <w:color w:val="000000" w:themeColor="text1"/>
          <w:sz w:val="28"/>
          <w:szCs w:val="28"/>
        </w:rPr>
        <w:br/>
        <w:t xml:space="preserve">от 11 августа 2016 г. № Пр-1596 и в соответствии с приказом Федерального казначейства от 28 октября 2016 г. № 405 «Об утверждении Порядка внесения информации о проведении плановых и внеплановых проверок внешнего контроля качества работы аудиторских организаций, проводящих обязательный аудит бухгалтерской (финансовой) отчетности организаций, указанных в части 3 статьи 5 Федерального закона № 307-ФЗ,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 xml:space="preserve">об их результатах и о принятых мерах по пресечению и (или) устранению последствий выявленных нарушений в единый реестр проверок» </w:t>
      </w:r>
      <w:r>
        <w:rPr>
          <w:rFonts w:ascii="Times New Roman" w:eastAsiaTheme="majorEastAsia" w:hAnsi="Times New Roman"/>
          <w:bCs/>
          <w:color w:val="000000" w:themeColor="text1"/>
          <w:sz w:val="28"/>
          <w:szCs w:val="28"/>
        </w:rPr>
        <w:t xml:space="preserve">информация об исполнении государственной функции по ВККР АО </w:t>
      </w:r>
      <w:r>
        <w:rPr>
          <w:rFonts w:ascii="Times New Roman" w:eastAsiaTheme="majorEastAsia" w:hAnsi="Times New Roman"/>
          <w:bCs/>
          <w:color w:val="000000" w:themeColor="text1"/>
          <w:sz w:val="28"/>
          <w:szCs w:val="28"/>
        </w:rPr>
        <w:br/>
        <w:t>в 2016 году была размещена в автоматизированной системе «Единый реестр проверок».</w:t>
      </w:r>
    </w:p>
    <w:p>
      <w:pPr>
        <w:pStyle w:val="2"/>
        <w:keepNext w:val="0"/>
        <w:keepLines w:val="0"/>
        <w:spacing w:before="0" w:line="360" w:lineRule="atLeast"/>
        <w:ind w:firstLine="709"/>
        <w:jc w:val="both"/>
        <w:rPr>
          <w:rFonts w:ascii="Times New Roman" w:hAnsi="Times New Roman" w:cs="Times New Roman"/>
          <w:b w:val="0"/>
          <w:color w:val="000000" w:themeColor="text1"/>
          <w:sz w:val="28"/>
          <w:szCs w:val="28"/>
        </w:rPr>
      </w:pPr>
      <w:r>
        <w:rPr>
          <w:rFonts w:ascii="Times New Roman" w:hAnsi="Times New Roman" w:cs="Times New Roman"/>
          <w:b w:val="0"/>
          <w:color w:val="000000" w:themeColor="text1"/>
          <w:sz w:val="28"/>
          <w:szCs w:val="28"/>
        </w:rPr>
        <w:t xml:space="preserve">Разработка планов проведения плановых проверок внешнего контроля качества работы аудиторских организаций, проводящих обязательный аудит бухгалтерской (финансовой) отчетности организаций, указанных в части 3 статьи 5 Федерального закона от 30 декабря 2008 г. № 307-ФЗ </w:t>
      </w:r>
      <w:r>
        <w:rPr>
          <w:rFonts w:ascii="Times New Roman" w:hAnsi="Times New Roman" w:cs="Times New Roman"/>
          <w:b w:val="0"/>
          <w:color w:val="000000" w:themeColor="text1"/>
          <w:sz w:val="28"/>
          <w:szCs w:val="28"/>
        </w:rPr>
        <w:br/>
        <w:t xml:space="preserve">«Об аудиторской деятельности» Федерального казначейства и его территориальных органов на 2017 год (далее – Планы проверок) осуществлялась в соответствии с Положением по организации планирования проверок и согласования проведения внеплановых проверок </w:t>
      </w:r>
      <w:r>
        <w:rPr>
          <w:rFonts w:ascii="Times New Roman" w:hAnsi="Times New Roman" w:cs="Times New Roman"/>
          <w:b w:val="0"/>
          <w:color w:val="000000" w:themeColor="text1"/>
          <w:sz w:val="28"/>
          <w:szCs w:val="28"/>
        </w:rPr>
        <w:br/>
        <w:t xml:space="preserve">в Федеральном казначействе при осуществлении внешнего контроля качества работы аудиторских организаций, проводящих обязательный аудит бухгалтерской (финансовой) отчетности организаций, указанных в части 3 статьи 5 </w:t>
      </w:r>
      <w:r>
        <w:rPr>
          <w:rFonts w:ascii="Times New Roman" w:hAnsi="Times New Roman" w:cs="Times New Roman"/>
          <w:b w:val="0"/>
          <w:color w:val="000000" w:themeColor="text1"/>
          <w:sz w:val="28"/>
        </w:rPr>
        <w:t>Федерального закона № 307-ФЗ</w:t>
      </w:r>
      <w:r>
        <w:rPr>
          <w:rFonts w:ascii="Times New Roman" w:hAnsi="Times New Roman" w:cs="Times New Roman"/>
          <w:b w:val="0"/>
          <w:color w:val="000000" w:themeColor="text1"/>
          <w:sz w:val="28"/>
          <w:szCs w:val="28"/>
        </w:rPr>
        <w:t xml:space="preserve">, утвержденным приказом Федерального казначейства от 30 июня 2016 г. № 237, с использованием риск-ориентированного и циклического подходов, в рамках которой была проведена аналитическая работа по отбору аудиторских организаций </w:t>
      </w:r>
      <w:r>
        <w:rPr>
          <w:rFonts w:ascii="Times New Roman" w:hAnsi="Times New Roman" w:cs="Times New Roman"/>
          <w:b w:val="0"/>
          <w:color w:val="000000" w:themeColor="text1"/>
          <w:sz w:val="28"/>
          <w:szCs w:val="28"/>
        </w:rPr>
        <w:br/>
        <w:t>на основе анализа рисков их аудиторской деятельности, с учетом информации, полученной от Банка России, Минфина России, Росимущества, Агентства по страхованию вкладов и саморегулируемых организаций аудиторов.</w:t>
      </w:r>
    </w:p>
    <w:p>
      <w:pPr>
        <w:spacing w:after="0" w:line="360" w:lineRule="atLeast"/>
        <w:ind w:firstLine="709"/>
        <w:jc w:val="both"/>
        <w:rPr>
          <w:rFonts w:ascii="Times New Roman" w:hAnsi="Times New Roman"/>
          <w:color w:val="000000" w:themeColor="text1"/>
          <w:sz w:val="28"/>
          <w:szCs w:val="28"/>
        </w:rPr>
      </w:pPr>
      <w:r>
        <w:rPr>
          <w:rFonts w:ascii="Times New Roman" w:eastAsiaTheme="majorEastAsia" w:hAnsi="Times New Roman"/>
          <w:bCs/>
          <w:color w:val="000000" w:themeColor="text1"/>
          <w:sz w:val="28"/>
          <w:szCs w:val="28"/>
        </w:rPr>
        <w:t xml:space="preserve">Сводный план проведения плановых проверок внешнего контроля качества работы аудиторских организаций Федерального казначейства </w:t>
      </w:r>
      <w:r>
        <w:rPr>
          <w:rFonts w:ascii="Times New Roman" w:eastAsiaTheme="majorEastAsia" w:hAnsi="Times New Roman"/>
          <w:bCs/>
          <w:color w:val="000000" w:themeColor="text1"/>
          <w:sz w:val="28"/>
          <w:szCs w:val="28"/>
        </w:rPr>
        <w:br/>
        <w:t>на 2017 год, включающий</w:t>
      </w:r>
      <w:r>
        <w:rPr>
          <w:rFonts w:ascii="Times New Roman" w:hAnsi="Times New Roman"/>
          <w:color w:val="000000" w:themeColor="text1"/>
          <w:sz w:val="28"/>
          <w:szCs w:val="28"/>
        </w:rPr>
        <w:t xml:space="preserve"> 260 проверок, своевременно согласован, утвержден и размещен на сайте Генеральной прокуратуры Российской Федерации.</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noProof/>
          <w:color w:val="000000" w:themeColor="text1"/>
          <w:lang w:eastAsia="ru-RU"/>
        </w:rPr>
        <mc:AlternateContent>
          <mc:Choice Requires="wpg">
            <w:drawing>
              <wp:anchor distT="0" distB="0" distL="114300" distR="114300" simplePos="0" relativeHeight="251668480" behindDoc="0" locked="0" layoutInCell="1" allowOverlap="1">
                <wp:simplePos x="0" y="0"/>
                <wp:positionH relativeFrom="column">
                  <wp:posOffset>80645</wp:posOffset>
                </wp:positionH>
                <wp:positionV relativeFrom="paragraph">
                  <wp:posOffset>457200</wp:posOffset>
                </wp:positionV>
                <wp:extent cx="5742940" cy="2623820"/>
                <wp:effectExtent l="0" t="0" r="29210" b="5080"/>
                <wp:wrapSquare wrapText="bothSides"/>
                <wp:docPr id="2073" name="Группа 4"/>
                <wp:cNvGraphicFramePr/>
                <a:graphic xmlns:a="http://schemas.openxmlformats.org/drawingml/2006/main">
                  <a:graphicData uri="http://schemas.microsoft.com/office/word/2010/wordprocessingGroup">
                    <wpg:wgp>
                      <wpg:cNvGrpSpPr/>
                      <wpg:grpSpPr bwMode="auto">
                        <a:xfrm>
                          <a:off x="0" y="0"/>
                          <a:ext cx="5742940" cy="2623820"/>
                          <a:chOff x="-133934" y="63350"/>
                          <a:chExt cx="10163759" cy="4868203"/>
                        </a:xfrm>
                      </wpg:grpSpPr>
                      <pic:pic xmlns:pic="http://schemas.openxmlformats.org/drawingml/2006/picture">
                        <pic:nvPicPr>
                          <pic:cNvPr id="2074"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483222" y="-96302"/>
                            <a:ext cx="2175211" cy="2494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5" name="Picture 2"/>
                          <pic:cNvPicPr>
                            <a:picLocks noChangeAspect="1" noChangeArrowheads="1"/>
                          </pic:cNvPicPr>
                        </pic:nvPicPr>
                        <pic:blipFill>
                          <a:blip r:embed="rId143" cstate="print">
                            <a:grayscl/>
                            <a:extLst>
                              <a:ext uri="{28A0092B-C50C-407E-A947-70E740481C1C}">
                                <a14:useLocalDpi xmlns:a14="http://schemas.microsoft.com/office/drawing/2010/main" val="0"/>
                              </a:ext>
                            </a:extLst>
                          </a:blip>
                          <a:srcRect/>
                          <a:stretch>
                            <a:fillRect/>
                          </a:stretch>
                        </pic:blipFill>
                        <pic:spPr bwMode="auto">
                          <a:xfrm rot="16200000">
                            <a:off x="7694805" y="1950731"/>
                            <a:ext cx="2175212" cy="2494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Прямая соединительная линия 2076"/>
                        <wps:cNvCnPr/>
                        <wps:spPr>
                          <a:xfrm flipV="1">
                            <a:off x="0" y="1773031"/>
                            <a:ext cx="10029825" cy="714291"/>
                          </a:xfrm>
                          <a:prstGeom prst="line">
                            <a:avLst/>
                          </a:prstGeom>
                          <a:ln w="57150" cmpd="sng">
                            <a:solidFill>
                              <a:srgbClr val="58ACC8"/>
                            </a:solidFill>
                            <a:tailEnd type="none"/>
                          </a:ln>
                        </wps:spPr>
                        <wps:style>
                          <a:lnRef idx="1">
                            <a:schemeClr val="accent1"/>
                          </a:lnRef>
                          <a:fillRef idx="0">
                            <a:schemeClr val="accent1"/>
                          </a:fillRef>
                          <a:effectRef idx="0">
                            <a:schemeClr val="accent1"/>
                          </a:effectRef>
                          <a:fontRef idx="minor">
                            <a:schemeClr val="tx1"/>
                          </a:fontRef>
                        </wps:style>
                        <wps:bodyPr/>
                      </wps:wsp>
                      <wps:wsp>
                        <wps:cNvPr id="2077" name="Прямоугольник 2077"/>
                        <wps:cNvSpPr>
                          <a:spLocks noChangeArrowheads="1"/>
                        </wps:cNvSpPr>
                        <wps:spPr bwMode="auto">
                          <a:xfrm>
                            <a:off x="-133934" y="2534468"/>
                            <a:ext cx="7901449" cy="2397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a5"/>
                                <w:numPr>
                                  <w:ilvl w:val="0"/>
                                  <w:numId w:val="41"/>
                                </w:numPr>
                                <w:tabs>
                                  <w:tab w:val="clear" w:pos="720"/>
                                  <w:tab w:val="num" w:pos="993"/>
                                </w:tabs>
                                <w:spacing w:after="0" w:line="240" w:lineRule="auto"/>
                                <w:ind w:left="426" w:hanging="437"/>
                                <w:jc w:val="both"/>
                                <w:textAlignment w:val="baseline"/>
                                <w:rPr>
                                  <w:rFonts w:ascii="Times New Roman" w:eastAsia="Times New Roman" w:hAnsi="Times New Roman"/>
                                  <w:sz w:val="18"/>
                                  <w:szCs w:val="18"/>
                                </w:rPr>
                              </w:pPr>
                              <w:r>
                                <w:rPr>
                                  <w:rFonts w:ascii="Times New Roman" w:hAnsi="Times New Roman"/>
                                  <w:color w:val="000000" w:themeColor="text1"/>
                                  <w:kern w:val="24"/>
                                  <w:sz w:val="18"/>
                                  <w:szCs w:val="18"/>
                                </w:rPr>
                                <w:t xml:space="preserve">Уменьшение числа аудиторских организаций, осуществляющих обязательный аудит бухгалтерской (финансовой) отчетности общественно значимых организаций (на конец 2012 года – 1033, 2013 года – 924, 2014 года – 800 и 2015 года – 743 </w:t>
                              </w:r>
                              <w:r>
                                <w:rPr>
                                  <w:rFonts w:ascii="Times New Roman" w:hAnsi="Times New Roman"/>
                                  <w:color w:val="000000"/>
                                  <w:kern w:val="24"/>
                                  <w:sz w:val="18"/>
                                  <w:szCs w:val="18"/>
                                </w:rPr>
                                <w:t>аудиторских организаций)</w:t>
                              </w:r>
                            </w:p>
                            <w:p>
                              <w:pPr>
                                <w:pStyle w:val="a5"/>
                                <w:numPr>
                                  <w:ilvl w:val="0"/>
                                  <w:numId w:val="41"/>
                                </w:numPr>
                                <w:tabs>
                                  <w:tab w:val="clear" w:pos="720"/>
                                  <w:tab w:val="num" w:pos="993"/>
                                </w:tabs>
                                <w:spacing w:after="0" w:line="240" w:lineRule="auto"/>
                                <w:ind w:left="426" w:hanging="437"/>
                                <w:jc w:val="both"/>
                                <w:textAlignment w:val="baseline"/>
                                <w:rPr>
                                  <w:rFonts w:ascii="Times New Roman" w:eastAsia="Times New Roman" w:hAnsi="Times New Roman"/>
                                  <w:sz w:val="18"/>
                                  <w:szCs w:val="18"/>
                                </w:rPr>
                              </w:pPr>
                              <w:r>
                                <w:rPr>
                                  <w:rFonts w:ascii="Times New Roman" w:hAnsi="Times New Roman"/>
                                  <w:color w:val="000000" w:themeColor="text1"/>
                                  <w:kern w:val="24"/>
                                  <w:sz w:val="18"/>
                                  <w:szCs w:val="18"/>
                                </w:rPr>
                                <w:t xml:space="preserve">Требования Федерального закона </w:t>
                              </w:r>
                              <w:r>
                                <w:rPr>
                                  <w:rFonts w:ascii="Times New Roman" w:hAnsi="Times New Roman"/>
                                  <w:sz w:val="18"/>
                                  <w:szCs w:val="18"/>
                                </w:rPr>
                                <w:t xml:space="preserve">от 26 декабря 2008 г. </w:t>
                              </w:r>
                              <w:r>
                                <w:rPr>
                                  <w:rFonts w:ascii="Times New Roman" w:hAnsi="Times New Roman"/>
                                  <w:color w:val="000000" w:themeColor="text1"/>
                                  <w:kern w:val="24"/>
                                  <w:sz w:val="18"/>
                                  <w:szCs w:val="18"/>
                                </w:rPr>
                                <w:t xml:space="preserve">№ 294-ФЗ </w:t>
                              </w:r>
                              <w:r>
                                <w:rPr>
                                  <w:rFonts w:ascii="Times New Roman" w:hAnsi="Times New Roman"/>
                                  <w:sz w:val="18"/>
                                  <w:szCs w:val="18"/>
                                </w:rPr>
                                <w:t>«О защите прав юридических лиц и индивидуальных предпринимателей при осуществлении государственного контроля (надзора) и муниципального контроля»</w:t>
                              </w:r>
                              <w:r>
                                <w:rPr>
                                  <w:rFonts w:ascii="Times New Roman" w:hAnsi="Times New Roman"/>
                                  <w:color w:val="000000" w:themeColor="text1"/>
                                  <w:kern w:val="24"/>
                                  <w:sz w:val="18"/>
                                  <w:szCs w:val="18"/>
                                </w:rPr>
                                <w:t>, устанавливающего периодичность проведения проверок один раз в 3 года.</w:t>
                              </w:r>
                            </w:p>
                          </w:txbxContent>
                        </wps:txbx>
                        <wps:bodyPr wrap="square">
                          <a:noAutofit/>
                        </wps:bodyPr>
                      </wps:wsp>
                      <wps:wsp>
                        <wps:cNvPr id="2078" name="Прямоугольник 2078"/>
                        <wps:cNvSpPr>
                          <a:spLocks noChangeArrowheads="1"/>
                        </wps:cNvSpPr>
                        <wps:spPr bwMode="auto">
                          <a:xfrm>
                            <a:off x="2657343" y="63350"/>
                            <a:ext cx="7124717" cy="1858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aff"/>
                                <w:spacing w:before="0" w:beforeAutospacing="0" w:after="0"/>
                                <w:jc w:val="both"/>
                                <w:textAlignment w:val="baseline"/>
                                <w:rPr>
                                  <w:sz w:val="18"/>
                                  <w:szCs w:val="18"/>
                                </w:rPr>
                              </w:pPr>
                              <w:r>
                                <w:rPr>
                                  <w:color w:val="000000" w:themeColor="text1"/>
                                  <w:kern w:val="24"/>
                                  <w:sz w:val="18"/>
                                  <w:szCs w:val="18"/>
                                </w:rPr>
                                <w:t xml:space="preserve">До 1 сентября 2016 года подготовлены и направлены в соответствующие органы прокуратуры проекты планов проверок на 2017 год (в разрезе ЦАФК и ТОФК), которые </w:t>
                              </w:r>
                              <w:r>
                                <w:rPr>
                                  <w:sz w:val="18"/>
                                  <w:szCs w:val="18"/>
                                </w:rPr>
                                <w:t xml:space="preserve">своевременно размещены на сайтах </w:t>
                              </w:r>
                              <w:r>
                                <w:rPr>
                                  <w:color w:val="000000" w:themeColor="text1"/>
                                  <w:kern w:val="24"/>
                                  <w:sz w:val="18"/>
                                  <w:szCs w:val="18"/>
                                </w:rPr>
                                <w:t xml:space="preserve">соответствующих органов прокуратуры </w:t>
                              </w:r>
                              <w:r>
                                <w:rPr>
                                  <w:sz w:val="18"/>
                                  <w:szCs w:val="18"/>
                                </w:rPr>
                                <w:t>и Федерального казначейства.</w:t>
                              </w:r>
                            </w:p>
                            <w:p>
                              <w:pPr>
                                <w:pStyle w:val="aff"/>
                                <w:spacing w:before="0" w:beforeAutospacing="0" w:after="0"/>
                                <w:jc w:val="both"/>
                                <w:textAlignment w:val="baseline"/>
                                <w:rPr>
                                  <w:sz w:val="18"/>
                                  <w:szCs w:val="18"/>
                                </w:rPr>
                              </w:pPr>
                              <w:r>
                                <w:rPr>
                                  <w:sz w:val="18"/>
                                  <w:szCs w:val="18"/>
                                </w:rPr>
                                <w:t>Н</w:t>
                              </w:r>
                              <w:r>
                                <w:rPr>
                                  <w:color w:val="000000" w:themeColor="text1"/>
                                  <w:kern w:val="24"/>
                                  <w:sz w:val="18"/>
                                  <w:szCs w:val="18"/>
                                </w:rPr>
                                <w:t>а 2017 год предусмотрено проведение 260 проверок внешнего контроля качества работы аудиторских организаций.</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Группа 4" o:spid="_x0000_s1036" style="position:absolute;left:0;text-align:left;margin-left:6.35pt;margin-top:36pt;width:452.2pt;height:206.6pt;z-index:251668480;mso-width-relative:margin;mso-height-relative:margin" coordorigin="-1339,633" coordsize="101637,48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W5h/AUAAHMYAAAOAAAAZHJzL2Uyb0RvYy54bWzsWduO2zYQfS/QfxD0&#10;rlj3i7HeYONLUCBtF0nbd1qibCGSqFL02kZRoJfXAvvQD+gvBGgLBE2b/oL2jzpDSra13rRBkgYo&#10;ai9i0BQ5mjlzZjjDnN3fFLl2RXmdsXKkW/dMXaNlzJKsXIz0zz+bGaGu1YKUCclZSUf6ltb6/fMP&#10;PzhbV0NqsyXLE8o1EFLWw3U10pdCVMPBoI6XtCD1PVbREh6mjBdEwE++GCScrEF6kQ9s0/QHa8aT&#10;irOY1jXMTtRD/VzKT1Mai0/TtKZCy0c66CbkN5ffc/wenJ+R4YKTapnFrRrkDbQoSFbCS3eiJkQQ&#10;bcWzI1FFFnNWs1Tci1kxYGmaxVTaANZY5i1rHnK2qqQti+F6Ue1gAmhv4fTGYuNPri65liUj3TYD&#10;R9dKUoCXmh9vvrn5vvkT/p5pLoK0rhZDWPuQV0+qS95OLNQvbb7+mCWwjawEkyhsUl4gGmCftpFg&#10;b3dg043QYpj0AteOXPBJDM9s33ZCu3VHvASf4T7DcpzIcXUNVviO4+2eT1sZlmn5TuBFSogb+iDD&#10;QXUHZKh0GKDirZ7nZ1UWD+FfCySMjoD8Z8LBLrHiVG+FFK8loyD86aoywOcVEdk8yzOxlfwFuFCp&#10;8uoyiy+5+tHzCVivfAIL8L2ajfbhHlymNhE06hGLn9ZaycZLUi7oRV0B9yEiYXs3xTlbLylJapxG&#10;kPpS5M+eIvM8q2ZZnqMrcdyaDOFzi353oKaoPWHxqqClULHKaQ7Ws7JeZlWta3xIizkF6vGPEtAz&#10;hjwhgEUVz0ohaQRUeVQLfDuSRobTV3Z4YZqR/cAYe+bYcM1galxEbmAE5jRwTTe0xtb4a9xtucNV&#10;TQEVkk+qrFUdZo+UvzN22iyjolJGt3ZFZA5R7AKFJMs6FYFwiBDqWvP4MWAP62AsOBXxEocpANnO&#10;w+LdA4n6Hmh0SQ0RdndMaZyBTz3XxI+EqI0wN3Rs25aBYkS+Y0qSKNgw1mwr8GwLMcZYcyM3tKNe&#10;mACDeC0eUlZoOACXgAXyBeQKXKBs7pagNSVDYkgb87I3AcapmQ6aQ+9FZjQNp6FruLY/Be9NJsbF&#10;bOwa/gw0nDiT8Xhidd5bZklCS3zN2ztP+oLlWdLRueaL+Tjnyqkz+WkBqffLBkiivRqdw1HYnpCR&#10;ZbvmAzsyZn4YGO7M9YwoMEPDtKIHkW8C2JNZ36RHWUnf3iRtPdIjz/aklw6URgIe2CapIhMnsm5v&#10;GxkWmYCjN8+KkR4qQkl3YoaYlokcC5LlanwABaq/hwKkdo6WVEbytqkFuPyfTLne/yPlQro4TrlQ&#10;Cm3rWAV259dDtp/Sr275UHjC5zD/Bj7kVBOIA/nVijwopeQJq5DbZ2CEfJeBg1MGPmXg95CB1xW0&#10;VnVXvMGv16uAsLG6qyl5siQVBe6j2F6l6ndps/kJuofr5vfm2c21dvNt87L5tfmled780Ty/+Q7G&#10;L25+gDE+bF6009catB8+BkQrdly2XUYtyyE8crGg11Iosr7A+hVneu2FFQSOeTvsLNO0oxAOSRl3&#10;gQUthyp9u/7gqPDJ4XSTwl9R+OQlHrxeYEE3osVFlYz0ulzIHb3TtXcIe+HFeBweFxhk2J6wmthW&#10;UPqW0CO3q7CGgualM1+OxDaHkxfrq8c0haYNKjsFhGyX6S6aSBxDzd0ZKlfjNlWBthtV+vrbje16&#10;3EplK71762ts3u2Qb2al2G0uspJxBRh2+Xu1xaZTOVXrOwSU3QjBnCVbSQwJDbBaEeZ90Ds4ovdL&#10;aJF/BnYrPj9vfkMSy6zekhhbZTS/rm41Z0edWG+D9PUrewAU2BL/sD+2Pcd1fcmx/akTRKblum17&#10;bDtYl3qnU2cXJ6e6/93U/R1hVTCKzXwjb5SsXSyosNXWcM8G6fLLFYH7E+RxyS7gyijNZIOJUtTC&#10;Nu7fa3jDPWV799WdXneGtwywXrT+e+Ft+17guHAp17/+wtYTS8oAGs8AMJZHmxV6cMydSspTU/+u&#10;m/pXBfcuEt4iuOXtLNxsQ8D3rs4Pf8tksP+/gvO/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k8kQsuAAAAAJAQAADwAAAGRycy9kb3ducmV2LnhtbEyPQUvDQBSE&#10;74L/YXmCN7vZaE0bsymlqKci2ArS22vymoRmd0N2m6T/3udJj8MMM99kq8m0YqDeN85qULMIBNnC&#10;lY2tNHzt3x4WIHxAW2LrLGm4kodVfnuTYVq60X7SsAuV4BLrU9RQh9ClUvqiJoN+5jqy7J1cbzCw&#10;7CtZ9jhyuWllHEXP0mBjeaHGjjY1FefdxWh4H3FcP6rXYXs+ba6H/fzje6tI6/u7af0CItAU/sLw&#10;i8/okDPT0V1s6UXLOk44qSGJ+RL7S5UoEEcNT4t5DDLP5P8H+Q8AAAD//wMAUEsDBAoAAAAAAAAA&#10;IQAqoJyA4DAAAOAwAAAUAAAAZHJzL21lZGlhL2ltYWdlMS5wbmeJUE5HDQoaCgAAAA1JSERSAAAB&#10;AwAAARsIAgAAAFE2dmoAAAABc1JHQgCuzhzpAAAABGdBTUEAALGPC/xhBQAAAAlwSFlzAAAOwwAA&#10;DsMBx2+oZAAAMHVJREFUeF7tXfuPXEex5v//hTwdkxDIC3K5kAC5wIUbQMT2WrYjO7KVVSJHVlZW&#10;ZMuyrNVoNFqtVqu91afPox/16j5n+pyZ6dURMuDZnentz1Vf1Vdf/eyqftUTqCdwdfWzegj1BOoJ&#10;wAlUJNRrUE/AnEBFQr0H9QQqEuodqCfQnUCNCfUu1BOoMaHegXoCNSbUO1BPwD2Bmh3V+1BPoGZH&#10;9Q7UE6jZUb0D9QRqdlTvQD2B8AQqT6h3op5A5Qn1DtQTqDyh3oF6ApUn1DtQT6DyhHoH6glgJ1AZ&#10;c70X9QQqY653oJ5AZcz1DtQTqIy53oF6AnMy5st6/PUEFnsCJRlzRcJir0F9Y0XnmAEJ9qlf9QQW&#10;dwKFY8Ll1WVFwuIuQX1DcALFkQAxoYKhXr3lncBMSKhgWN5VOPB3VAwJPUloYoJ96lc9gcWcQDEk&#10;wCfuwGBgcNE+izmI+kYO/ARmQUIHA4OHGhkO/AYu5eMXR0KbGjlgqHXVpVyGg34fxZFga0d9dgR/&#10;uDqrTYaDvoPL+PDFkBAwZjcmABLgqV/1BOY8gWJIcBmzyxNsTKhgmPMS1J89R2cN4Qk9EmpkqHdy&#10;thOYJSbEPOHs6qJ5apo020049B9cHAlMTLjYXMFTwXDod3Kez18cCXjtqIsJBgzrCoZ57sJh/9Ri&#10;SHAbzH4h1dJlkx01MaGC4bBv5Fyffi4kRFVUyxN6JEBkMK2G+lVPoNAJFEOCW0WlGHMXEAAG9qlg&#10;KHQN6o8pP58QNJjbHrNNkJzsCGBwvjJPJdA7cksvXj3akXeKv81iMUHqMQ/ZURcQKhh26mat7v5q&#10;p1Uzi0KCHxN6JNTIsAuQOL19/fzpP3fhnc4cEwieMEgtesYcxQSTJp02fbf6tdwTWN15d3X3vauz&#10;l8t9i+w7KxYTshizpQoWCRUMy75iBgn33t1899my3yb57oohIZ7e7MfW+n6CX0UdYNAi4fLsVdOE&#10;rl9LPAGLhNXt6ztKnYsjgVJbBJ01W0UNYsL5aQMGaELXr8WdQIuEO++u73+4i9S5OBI0aou+n4Ah&#10;wYDBcOj6tawT6JGwuvOL85Pdo87FkBDwBHeoP1BbEIy5oQoAg+Z5aWhDHftcEhZcJMCfr85fLend&#10;ye+lGBIC3ZFCbRHxBAcJBgwmOFQwyL/iQn/DQcK7EBY2xztGnYshoYsJHE8QGHOEBADDy6rIKHTT&#10;pR/jx4RfrO68c/HqW+lFC/r/iyFB02OmOmtNCXVIjWxAaJ7NCwOGqshYwI0KYsLqzvX1/Q92KGjP&#10;jYS+sxZrUaPaUUcSfCQAGDbPa0FpdixEMeE6gOH86b9mf2PKN1AMCS5jxib6A0k2XUXtSXMbEwwS&#10;GjAYDl2/ZjuBOCYAEnaIOs+CBF6V3YytCUjosiObIDVIMI/JlKqp3jxgIJBwfVe6zotBwqDKjquo&#10;LU9wq6gDTxiQ8OxyA8/zShtmgQKOhNvXV0fXLk+PZ3lLST+0OBLEiX47vamMCS0MbExokLA2T229&#10;JV2CSf4yFRNAf7G+/+vlx+riSKB6zFxM6BR4VPnIpkYWDICEzVPz1Expkguu/iYMEgAMyxdsF0PC&#10;tJ01p4oaZkcdEjYnAIyaKalv8ti/SGZHkCDBs/iuczEkuLWjSGrRelvYzhqptnCqqEghdciObEww&#10;SDBPrSmNveO616NVVFM+ski4fX3hXediSCBigtdPiCb6CQXe0FnzakcdT3CRsDq5XP9oaHQ1B9Bd&#10;6Oy/FSEB2sympdAjYXX72uXqu+zvv+0XFkMCEROYiX5ClU31E/CYYJHQPJVGb/UySTHhndXtd5ZM&#10;nReDBPV8Qi4SnlyunxjmUIPDdgAhIQGCA4Dh2vnJv7fz88d+10UhgVLgxf2Ejid4VVS/dmSpwhAT&#10;GiSsfoD/rMxh7K3BXi8hwcQEeGDwf5mC7eJI6BdvDksHielNLjtCa0cBEhrGHCDh1IDhAvAATLrq&#10;9iYFhIIntGBYZte5OBK4foJQO0LkqGhnLWbMhid0McEg4bF9QKax/I7PpNd1i9+M7yfYgGATpGVS&#10;51mQwCvwND1mTXYUxIQfLyEgdDHBIOEUnu8hRNRkaRJ8SDHBQ0JDnZf1VQwJxHwC4ndEIgFRZXNV&#10;VIwnuEgwYPi+eb4DhFRd98iLKfEEy5jbsHB69PbSqHNxJMjeFqo5ZlqB1/eYGSQ02VETEywSzPPq&#10;2FRaq4tMLiAMEoanayYM/YQeBm2CBK2GRUXjYkjo+gn66c2EfkInOnJ1R7bHHNeOGsYcIeH44vQY&#10;wAADhxUPeVjwYRAjoY8Jhic0z9uLos5zIaETXCA9Zg1PCOYTUCREMWHgCW5MaAJCExMsEsC4Cp6K&#10;h1Q8SIwZQcLp0VuXq+9Tf9CW/n5xJLS1I1R6hLnGu26QjssLlh1hVdSuwdzWjhCe0CGhiwkNEh5e&#10;vITnm4ZPV28l1d1LR4IJC+uvl0KdZ0ECsY852J+g6Se0jNmJCWZKwSrwiM5amB1hMcHAwCCheR4Y&#10;ClHrrRIc0pHwNiABwsL5yX+k713i/y+OhByewHpbBKrsfj4BRUJURXUZ85AdBUh48eDixX2ARNOf&#10;riECv5fq2lHPE0xMMM8yqPPcSEC8LcbVjjKRMDBmNztqY4JFwouv4Tl/fg/CBQScWmUKAKGOCV3t&#10;qCHN5rn11hKoc3EkcL6o9CYR6xofz6xxuqOos2Z1R3jtKGDMTnZkYGCRYMBw/tyA4fz5XXgMkTCF&#10;1+pYbECRHhMaGDRIWAJ1nhsJzHyC7AbZG1t03hZeFRWrHTFIcBkzmh21McFBwrPbF+Y5MuEC2tXA&#10;JQ5Y6KqOCUMVtUcCgGF26rxgJGgYc6buKO4nAG92qqgcEiAg2Ofu+bO7LRIADD/dgucc/vPFfRN5&#10;Ds+zVYoJUWfNBoQmJpiwcOut85/mpM5zI6Gf1FHMJyDTmxmqbLx2ZGHQ9xP82pHPE/rsqENCExYa&#10;GJw/u3n+7Mb5U3i+Mqiw6dNh2HpLSED6CS0SOjCAlerV5WybYoohQTPRL/AE2g1Slx0BT2BqRyYm&#10;QFut6azhMeF+QxKw7KiPCQYJNxskNGCA5+Q/ILAxfwCqbTKovZ0jjbKjeHpz0KL2beY+JtjIMCN1&#10;LoYEjdoifY45NSYwnTU3Juh4ghcTbFigkGDA8E/Yr3F+8qV52nDxZJ+SqPSYMNSOLAxWR5AjvXm5&#10;elyifRD9jOJIMLWj6VTZqVrUljFjagusx+xXUaPaUc+YAQZughTHBIOEfw1IOPm/c3h+/Ef7PL2x&#10;B5w7nTEjSAAwrL+Gvc4zfBVDwrTZUTCfgDl/xZ01bD4B76x1agusn2CzI4QxdzwBy46CmAAweGKR&#10;8Hd4zp78b/P8zT4maDy7aYq2kE2Bn9+OVGnTFXgRErqwAMlkeSgUQ0KXHen7CVwVlZ7eHNQWkRa1&#10;SY3IfkJaTHCR0DDmpOyIQcIPfz3rn8d/OXv8P2ePv4D/xcLDkA2jlgVrghczI+T8lZEtPjsCJIOR&#10;EfxDvr7b7N40wmxgCCotqls7stmRfU6PrpWnzgtGQsL+BJQxY0hAGLOrO+IZc9tjHjprbnZka0eW&#10;KvTZ0U9AlxvGTGZHfz8LYkKIhC8MEr7/c/P8qXn+ePbdHzfffQ7kcnP8uQEJBBYgIfBDTbPvAZSD&#10;G6hAO+VFs8Q6tRoD6etZ48j/FAoMADzzeeFDnXwJP2tz/IfNg9+s770PS8jhWd97bw3/aZ53JSQI&#10;VVQXCaujN+EDFg4LxZEQ6I6YTSJ5MYFUWzSjzMTMmmkmKGpHVm1BIaFjzLZwZAupLhIsY7akuc+O&#10;TILkZUceEpqAYB4UCRYM9vnD5lt4fm+e49+Z59HvNt/+l3ke/XbzsHna//3TzaNPzd/vX2L+39/A&#10;s/7mE9iCA3OV5oF/4+1j/mv356/fX3/9y/U99/GRwE3qeDNrdj4hjAltWHgTkGCo8/qHkmAojoQg&#10;O/KmN9NV2cH+BL7HPCBBnE/QqS38mDC0FGIkAF12a0cDY+ZjAiDBgiFAAmDAPj0SPmuQAM9/h0gA&#10;MDz8tHl+26DCXPrNw082Dz82zzf2+Whz/6P1gw/bx+ChfwIkvI8hwQQEExOmQsLNN1c33yxMnYsh&#10;QcOYfb8jLjuifVEZnsAjYYgJ3xL9BDc7MjyhaTAPJAGporYxwbYUnCqqgwQTE9qw0DDmMCYwSPjM&#10;iwnm33g/JrRhoYPBgASAQYOEFgYNEuBpkRDAICUmtDzBUoXGChKZ3oy0qLaE6vAEiAmAhNMbb5Sk&#10;zsWQoGHMI52/aF/Udl4HZcyWJ/QNZjuzhvaY2SqqVVsM/YSmrYZkR00/IUCCWzsSkPDHhid0AcHN&#10;jlokUDGhSZDamIAh4b6DhAduQEhBQhsTUMbseVuw2RGQZoMEAwZDncEOq8RXcSTI8wkaVbbG5UXp&#10;bcHNrKGqbE535KotBiRgMaGrorKMmcqOLGP2eUIcEyxPYLIjNya4SEjOjpIYszYmGCTcegNgXwIH&#10;V1fFkTDtJpGkHjNeRVXMrHm6o7if0OqOOp7gMOZWbcEhgWXMUEVFa0cxT3AYcMCYXSR05FidHVkC&#10;LTLmgCc4MaGzjG8cswO1BcWYnZhw6w3IkcpQ57mRUFKVjc8nxEiABIlhzIMWteMJQT8hRgJWRaU6&#10;a0LtyGZHTExgsyMlEobsKEYCypiDmOC3FAYwBAlShISun9BnRzYslBFsLwYJw3apztsiWp6QOKkz&#10;Yo6Z6zELquxOjtrwBDkmZFZRB6rQV1FjntAXUsPakcSYOZ6gR0I2Y25JgoWBeW6+DlXpbedIxZFg&#10;eIJuHzOHhLEOwa01qu/8JamyQ8bszSe4PWYjzI6RgOqOIrUFGhPCzhqWHbn9BMBAD4M2O+q6Cm0J&#10;la0dBUjoewumn8BWUVW1o356UxsTDBi2T52LIcF1g6SQoHcIJvYx5/QTrAeeP5+g06IS2ZFOd9Qq&#10;8EQkoFXUrsfs9hMExowhwe0naKuo45GQxpjbsLB96lwcCUFMYJy/xmZHnGs84oGnndQZ5hPImNAP&#10;J/TzCXw/QayiRmqLJjvy+wlxj9nrJzSdtZYn8FXUD522WiJj5mKCgjG3PMH0mNsqqs2O7HPjtcvV&#10;j9vLkWZBgp8gWTDEM2uTzzEHjLl1CMaqqNykjqi2sDFB4glJMQHXHcVqi6a51teOknjCqCoqXTvi&#10;Omu62lGHhNWt17dKnYshQT+po3GDnKKf0DoES/0Extui7TE7VVRuUgefT5AUeEq1ha2idj1miicE&#10;aovJ+gkatQXdWeunN4c2MxITAAkQFmA4dkthYW4kIK7xXWctignbnN50e8x+FRXUnZ7LyxATgjlm&#10;X4Hn9pjdfkKnwHNjAqe2QBV4WI+51R1JMWFoM/u6I5wniNnRLzEtKl9FjXhCjwQ2OwIkGDAcvb2l&#10;rnNxJMjzCZoes6Z2FFRRGy0qMp+g76zZ2hHRT+i8LbqJfleLyiBBV0WlVNm8FhXVHblI8GNCp8Bz&#10;dUfKfkIXE7j5hDgm4JM6ZkShkVoMVdQmQbJIWN18HToq2wgLxZFA7VkbqEIKEmItKj+p06qy2+1S&#10;w8Ba6JWt0qIiLi9BdjRGd9SO6TTZkQYJcXbk8QS3dtRpUansKLmzpkGCgjFL2RHAAJ4tUee5kNAV&#10;UpnsKGF/gp3UCRR4jGs8tj8hbaKf0KIGkzpja0fdzJqsysbmE7K1qDwSvBGFYUwHn9RBGsyIGySq&#10;RQ3CQh8TAAzbWE5VHAnUfIKpHVH9BOUWWoUWlZxZ00zqUDNrjtpCj4RWbaHLjqJJHaLH7NeOWgWe&#10;VWVj8wl5qmwZCagqWxETRJ7QxAQbFqCXP22ONDcSeuevWG0xNiYk7tRpbb8YVbZFgtLvyK2iWt2R&#10;P5+g0qLGMcHVHcXzCd2kjq0dkVVULDtiOmtyjxnVHYlqC7nHPDQTLE/okGDAMDV1XgwSJogJ+n3M&#10;Lk/o9qzJE/3spA7MtntzzD4SzMxahtpCjwQ7wNlUUe3YGqq2mKSKisSEDgncfIJiepPvrAEYHCSs&#10;br42LXVeIBKy+wkST8A7a8PGQZ3uiO2sDYaQUmdNpUXtVNkaniDMrLk9Zj1jbmaa9apsVe2I1h3p&#10;GHOHh9dOb/z8cn0yVY40CxKALkfbpeKYMFZtIU3qBJ01Sm2R3FmLJ/pHT+poeszkzJrDExhVNj6z&#10;1lRRveyIneifyOUlUGXbHCnIjiAmwDMhdS6OBM7bgnKDjJcn5PaYlfsTZAVeVDuy2dEws6bsJ+gm&#10;+mUtqpMd4ZM62PSmP9E/zDEnT28GVVSeMSfUjmieYGAAD1BnaGhOEhaKI4GrHVHeFpPUjp4InTWK&#10;JwwxIeQJiAJvqB35PeZMnkB6W0S1I4wnxP0EZo7ZZczJSKCnNzUza/oes88TWjAAdb46Hw+G4kig&#10;5pgVtSPENZ7rrCkndVxVduf8leYGKXrg2ewIZ8zSHDOjtojnmLsqasZ8wpAdgdeLP9EfZEdyFXWy&#10;if6+zew2Exqe0MYE+wfoPO4REgYtKqk7kmbWFIxZuXGQ87aI1RatFaTvdyTpjtwqKqk7IueYiZhg&#10;y0dd7YhUZUtV1ORJnVJV1KGQ6iGhoc5PR4KheEzgdEeUy8vKLllLRAKzZy12/krdJIL0mBE3SG96&#10;048Jqn5Clx0NPMF1efGdv8jaUez8NWZ6E2XMtNqCy45o3VE3n0DHhDAswEzFriFhhMsLnR05+5gz&#10;d2/ajYOa7CieYxZV2ZLzV/qkDu3ywnrgqSZ1PhCyI8QNkmbMOTzB97Zw5hOcfoIXE1rq/OxoDBiK&#10;xQR3epOa1BFigqTKbrIjfjM5o8DT7lkbXF48D7zQK3uSfkKKG6RbRfV6zI4HXl4VVe4naPyOUtQW&#10;lBYVY8w9ZzCzziOoczEkuB54/Bwz2VlTISE5JkguL8N8Qqg7knfqKLyyJYdgfI45zdvi276t5vui&#10;Kid1kvsJyioqpbbApzf9fkIYE8ZT52JIkHxRFarsRCRgPIFkzP5m8qx+ArddinYIViEh5AnWEFLy&#10;RU1S4OHTm3GPWTPRn7s/IbHHHFSQbI50uf4pL0cqhgTN9Kbe2yK3s8ZoUYceM+UQzLq8DL6oWI85&#10;RoJKbREzZnd/Au0GKWRHel9UbFJHrqIqHYLTFXhE7ciFxPr+hwtHgiYmTLtxMMnbwt/HrKuiBp01&#10;aZMIrkWVYoJ6fwI5xxyrLSRvC76fIDNmZT9Brh25PWZfcIFnRx11vp0BhmIxQcOYBSRI+5j1/QRq&#10;Zi2tdiS7xjOTOqqYQE3qxH5HzqQO9BMQVbbklT2j3xE90e8OcGp4Qtd1Bup8kQqGYkggsiNmp45m&#10;fwLnEKyMCXqXF3ZSB51jlt0gReevpJigdHmZXIsaqLL57CjSooZqC2GOOe4xx4QBNrDsGhL6SR1u&#10;PqHtrNGM2eknqDaJUNObwmZyZ1KHmd6c0Cs7ZbtUvy1KVuBJSAhc44NJHYYnqHbq9N4W6TxhqKKS&#10;2VGvzLs8S6POxWNCzvRm3GPWeFsoYwI2n5BWO0J1R9ImkaQec8L0ptNZE9UWuBbV1R1hqmxmUkc1&#10;nyAiYXAIDrMjBWPu48P6wUdJYaE4Erge87SMmXF5cdUW+kkdVos6ZEf87s1w42CWAi+uovpaVIon&#10;JHfWsCqqXDtKZMy67CgaUZDDAhA5PRiKISFgzOikjl6VHTgEo5vJpTnm1g0yLybchT1rQWetqx3d&#10;6CyPetf47DlmfXbkrN+0o5uDHHX0pE5yj3myztqYmGCCw5139NR5LiQ4beYcX1Q0O9KrLWKeYHVH&#10;Vnr0iN04yKot8H3Mo3VHQ3aUMdE/Rm2RN725NW+LlOyo7TqrqfNikDDMJ5DOX1KPOZjol/yOAodg&#10;GQluZ80wZnZSh9rHHGwc/EdedtQuWUNc4wNJNuxZi3dvSqpsbwVtyhba2CsbUeBFM2tqX1RGgReX&#10;jwbqvHmmyZGKISF99yZXRR25P8GNCXo3SEUV1XrgxZtEhh5zwBPEKqpyfwLjEBz7HfGqbNc1Pk9t&#10;kVhF7bfQ9pvJsxR4FBiU1HkuJCgm+jm/oyA7QnmCcmZN308Qdur4c8zUpE4XE1SdtVy1ReDy0oeF&#10;5C20okMw6oGXmx31SIjmE1xfVE0/wUWFsQl7fk8MC8WQ4KotMrWoqkkdXpWtdAjGNw4qYwK1cRDd&#10;TM574HU9ZtnbApvoj90g8zYOylpUzaRO1j5mZ5MI6m1BxYHwfzfUGW4g91UMCUR2lNJj3g4S9M5f&#10;rld2VDsKN5N3y0ROuiFmwgNP0h0x2ZG0j5l0CO6yo8m8LZKcv+h+QhQTRG8LLRJg1vmHvy4ECZIC&#10;T9FjdpCg6awxfkdYPyF/UgedWVO6QYqMGfXKpvYx+5tExM4aPp8Qdda4Kiq6P4FXZU/i/CU0E3DB&#10;Nkud544JntqC6ifkzTFHnTWQZJOqbF+L6vaYQ5cXZRU1RkKGtwWvwCPmmEMFXlw7GqfKztSixjNr&#10;kRY10Q1SHxBam7BvPmbCQnEkBPsTkOworqIS4/yDxYt1jZeqqPyetbSNg4TzF95P4DprbHbE+6LG&#10;e9ZiYwu/iqqcYw50R3JnTeP81fMEMSbkz6zx2OCp81xIQDtr25/UyWDM4XYpYvdmbw8MVVRu9+Y0&#10;VdRoZs1nzIjfEbZ7k9pCm7xJJMn5S0TCMNEfelukd9ZCbNy+TlHnYkiYlidoZtYktUXri4rtY+Ym&#10;dYbsiNizRiHBZkfYnjXS2yKuHbk95jg7klzjlTGBQ8J4X1SFKhvbQuubfyXzhBYSX5HUuRgSNNOb&#10;gi8qUjvyPPD4TSK8GyS9mRznCaZ25G0mD2tHWi1qYnbUTm9ybpC97qidY9b5HY2aY9Y4fym8Lfo5&#10;5q6z5saEVAUe3XV+/er8ZUwYiiOBcv7yVjI3VCF596ZiZk2VHVFzzOEmESQmyLqjpJjAd9bcif7P&#10;NvFmcm+i392zJjHmZJ4wERJaxpzjd5TEntcYdS6OBFmVrXF5QbMjhQKvRULsgecr8DJ8Ufl+Au2L&#10;quon4B54krdF9sZBTnf0y7Wsys6d6Ke9LSJf1NADbweR0MaETm3h1Y78Kmrydim+dtRsoXWrqJ4C&#10;j86O8H3M90Kzo2GnTuxtgdWO3H3MCR54FE/QbSYPesx+Z23YQpvslZ3UY6YZs3rPWqrgwhdfvH61&#10;eT5jdiRN9Cu8sifgCUw/Ia2KGg4ntPbA+o2DSUiIZtYIN0jfK1vsMVMbB8cy5pG6I6R2RG0SSQoF&#10;5i8vgDG7SEjVHeX1EyLnrwYG8FxANDABAR4oHLlqC/0cs8iYXbUF5hqv3b2pVFtgVdSkHrPW22J8&#10;7ShSW+hm1qapHS2oihpkR0iPOWUzuedtkbeFNp5ZAzygm8kpN0jHNT7YqaNweZHmE1KREM8xp9aO&#10;XFW20vlrHGOOkUB5ZY/rJyyks0bEBGQzuWbjoGZmrYkJa6AH9mmqqMrsSJ7odxV4ARL4OeZUVTbj&#10;8pLEmPWdtWiTiNdj1rhBjpzeRGpH/CYRZY6Elox6wjB37QhhzFPFhIz5BD47cquoxMyandQxPWY/&#10;Oxrpi6rlCb4CL+4nMJ01ZrtUsio7sXY0bruUEgbGMnUZCjyix8wgIdq9KXngKfYxCzyBn2MOVdls&#10;Z81XZcebyUcxZqtFRWNCisuLkjHLSJhIbZFQO0ruMS9Plc3t1KGqqBNtHNRrUWVf1Cg7QvcneK7x&#10;6KRO3u5N6wZJzCeE26UcnqCc1JlwjvkOtJbto5jU2R4SljSpI1VR4z1rQz+BRkKq2kLllf3IY8zh&#10;/gSFAo+bYw4m+vk5ZlKVne4an+KLmqzA02hRFarsqLNG+6ImdNYaonx3OdObet1Rx5i5zeT0pI7K&#10;DVJyCMbnE9zsiHCDHHhCrDvC96xl6Y6kSR1PepTqd8RP6qCMWVM7omNCDk9IyI6WOtGfo7aIY4Jm&#10;Zk2pRU31toi1qGIVFfM7SnKDlDeT+z3mQIT3sCscTbCPmUUC54uaMp8ge1tokWCIss4gtVjtSJ8d&#10;ZVdRG8bMxIShs4Y5f2mnN4kttC5P6LOjlie4SEiaT6C20MY8QZzox6qo1PRmsgIPVVvADOd18wyW&#10;R0FYmH671BjT7GJI0PgdCapsqXYkaVEDxszojuT5hIweM86YVQo8vIoa1478+YSkKqqryuZ1R7IC&#10;j/dFTZjUGTvRf6hukNL0Zl5MGOYTKG+LJjsKa0euBx7nBpnXY6Y3kzseeJ7uyI0Jeg88rMcszzEn&#10;9hN6569JVdmQFy3TIVgTE6jpzYmqqNPMMdvsCHEIbkV4bmetr6KazhrKmHV+R2FMSGLMtorq1o6k&#10;/QlB7SjYnzAZEtK2S+l36rTz+0t3jZf3J4zjCfwWWmRSp5veNDxB32N2s6M2JnQeeJTaIm/PmtIN&#10;0vHK7vsJ8aROwJipOWZ+k4iMBCc7IklCBwPXFJX1O1LuWVv+JhGCMXu6o5H7EySeMI3uKGbMkd9R&#10;2E/I9ragZtbimNAz5tghmO6sKTeJyN4Wmiqqop8Qdday+wlnj78QGwjBXyjOmIMqaqYHnsYhePIq&#10;auiVjagtzHyCIzpCakdJCjy93xFWRSVjQmJ2lIyExE0isUMwNtFvYsKwXYrrrJ0eLXrjoFRFVUzq&#10;0LWjMZtEsH4Cp8omnL+46U2mn8DzhG6TSLSZnNYd/X7DTPQr1RZc7Wh8Z02cWcPnmJXZUUOUj1ID&#10;Avz94jFB5gmdFjWa6JfcIPOyI8kXlfbA8/YnhH5H2tpRVo+Z0h01VdRQdxS7xksxgZ9jTuIJSD9B&#10;sWeNcnlRbBzcnc3kBgmZM2sTIMFlzMnbpRSu8UN2pESCrnYke2X32RE1qaOvHfHzCezMWttjRhkz&#10;7fJCT+qEm8klJJiO8vppRkBYQExAttDGuiOlL6rUT+CrqG7tiOisnT+H1GhQ4M29mdx3/iJdXqwh&#10;JKbA82tH3UT/CN1RjARNTIh36kR+RxYSIk84+/7PeTCYAwkcYx7pbSFNb+pV2dzM2tBPIOYTdN4W&#10;qk0iqWqLrscs6I7w7EjnbaGZWeO9ssXsiPY7GqY3EcbcEOXz3UECxRNi5y9uuxTtdzT0ExJrR4Pu&#10;iHL+YnvMKGP25hNwLaqqxyxnR6IvKub8leOLivodJVVRRbXFsI+ZVluESMgmyouZ3uyzI27jIK1F&#10;jecTmJ06eEyQfFFpN8hED7wMVTbpgUfPJzSM2XMIntY1XuP8payiRgo8cT6Bjgnr+x9kRwP7wuK1&#10;I0qVzVVRlWoL/fQmtnGQ4gmy7ijorMXZ0YRbaK0vKja9GfOE2OWl7TFLtSNObYEyZtr5C5lZE2OC&#10;xu/IU2Wf3vh5NlFeckxIUVukzqyRagv9Puahx0x4ZVObyTOyI31njVFl61xeRvkdTYSE3OnNs+//&#10;NDIglIwJE3TWJA88PiY0Ri9IFVU/qRNWUYPaka87oryyw/kElifoNw5iVdRele2uZH4IAUHSok7o&#10;BplUOxK1qJjf0enR22OI8nwxIWeiP66iambWEl1e5M3krvMXslPHaFEDlxdPi4oq8HR71jTzCSY7&#10;atwgmYl+pQJvKz1mve4owSvbEOWfbo0PCEuKCcNEf7ZXtsQTuEkdf8+azttiVD9hlMsL620BJVSq&#10;iqryO5I88JgeM9dPSJnelHvMbe1off/Xk8BgDiRwc8x2PkHDE7KqqIEvatBjzldlt4zZZEecQzC+&#10;cZBUWzy2qRG6e5NVW/QwSNrHrJ1Zy+4nxBP9aRsHY19UQ5RXJzuHBHdSh1dbkBsHJ1BbIC4vbhXV&#10;zif4vqiOa3zQY5a3SzFa1AliguT8Jc4n4HPMH6wLTW+OndSBMtpUMJgjJpTjCYmdtYEnUA7BFGN2&#10;qqh4TOC8skd01vydOscdT4izo15twe5P2DwAnUUstfj1WvZFnbazpukxv2aI8uXZLiLBvmeQ39kH&#10;3b05hdpC5XfUG8f3rvH+JhFip44TE1zG7GRHuC8qt0lEhYTU6U2ks9ZIj4J+At5jztAdoc5fgbeF&#10;gieoa0fGzOvZzQlhUDImuNlRKhKUfkeJqmzP20LfT4jnE6KZtd4emKkdjcqOPhc88CwS4ol+xu+I&#10;4QmyL6rGA0/vBinHhPXXkxHlQ6iiRtlR4G0x2uUl4AnIHHO/PyH2ylY5f+k7a9h2qaRNIvc/whR4&#10;jbeFPNGvyY4UMYGdY+4n+o30evXjtAFhaTFBXzvSuEFi/QSSMduYoNmpE/eYHQ88fPfmv42xBe5t&#10;McYhWLk/wdEdqaqocPvdJ+AJ49UWvRY1s3Z09t2URHm+mCDzBM3+hNzN5EokcLs3WVU2N8ecocCj&#10;eszMRH8zvWkLqZ7zl35Sx60dxX5H2Uig7bLDOWa2s3b72rREuTwSJLWF6awJMcGZY9bEBKx2pPLK&#10;JquoFy8cU9RhM3nk/NUP9TOu8ar5hK6fIPeYe5cX1tuCVeAN2VFyTKD3J4xzjXc3k0N2dHrzNVjR&#10;MnleZL/h3FrUTJeXrJgw9JhT9jHLquztbZfieYKfHblqC692lOr8NWJ68x6439mnKxxpkKCb3gQk&#10;AGPZEgxKIkGKCWVU2aqYQO1PoFxeaK/ssZM6ZHZEu0HGuqOpXeMRX9QuJqi8sumZtX4+AfPKPr3x&#10;Bmgo9wAJXRU1aCak7N6UHILz5pjj3ZvaTSLe9GaqL2q3hTarn8CoLRyeQFZROy2qPLMGdDmoHSVu&#10;oUU88MT5hDdXmO4IwL89GJSMCS4S/OaaTZAGnhC7vCj7CZJrfOCBN6qfEHllh67x8T7mybdLSbUj&#10;T23hdtY+2TyE5+MNpbZI5gn0fIIGCfEmkTgmwIzy5WY/kDBm42CrylYxZpUvKsYT3Dnm7H3MeBV1&#10;8k0iNibQSAg6a5S3hY8EXT8hMSZoeELolT3EhJYx33x9e0S5fO1I6jErPPBUCjx+k0hGFTVkzAqv&#10;bNcQ8qSBgdm9iWtRVdlRNNHP8YSwiho7f0kxIdkrW9NZo/2OJNf4bXSU4/CymNqRooqqQgIfEwQk&#10;jNhCi/KEtsecHRM6l5ekfcyMBx6jwBu1jzlgzHain9qpo2DMLk8wRPmHreZFM1VRKS2qIiYg2RE3&#10;xxz1mIMqaqbagtguNbi86Cb6tf2EL8D2GQytmgfG+e1Ev44x9zwh1KImxoTAIZipHbVVVN4Dr2fM&#10;mHF8P8rcUAVweYE8sAAM5mDMejfIyBc1kScEnbVmjpmZT3D3rHE95ngLbaPAG2KC45Wt0B1N5Ivq&#10;TPSHLi/xRL9+jhnrMU+2XUoxn2CI8pTSawZUxbMjziF45J61vCqq5JWN72NGVNndHDPvgZc00a/f&#10;n8Ds3ox1RzgStD3mTCQkLieHgHDjjfOnX5UJCHPFBEqVrVdbaHrM0kS/N715fCHv3kzax+w6BI+Z&#10;T0jKjqCttm3XeE3tCO0xKxiz7/y11Y7yAhjzNDNruUhgesxUFdWZ3mx0R7FDMD2f0GdHpnaEb5fK&#10;c3kh5hMab4ugdmS0Rs1jZHmfNs9vjQtGP+PW0ej1N580KlTbTesaaua//qoTZr+//nqbc8yOKvv0&#10;1puXq8fFAsICYkLmTp0OCR5jDjprUkw4fXxx2s+s0ars0ANP3Exu96zFfkcZWlQyO2qrqMefn/3w&#10;V2AaBmbwQ0EUCLg9PTZ0aAMf/wVU24xDQtoXROyzS3OwT+H7gFLdgB/qwidfnj3+C+Bn/c3H63vv&#10;r+6+B8/6HlSN2sLR+u67q5gxc35HHE8oRpR3vZ+g8bbAakeIB57lCZrpzdAhmHT+mnLPWpMdwXU/&#10;+dKYKT2/B1fTUH+45eCgPOPX+Stzbs+OIKZtjj8zQQOQoHJ5kb2yjev1ljvKC86OBq/s7PkEyTU+&#10;8MDzYoIGCdb5K44J4kQ/1lmjZtae/M1e+osX9+GqwT/MM994NdgMDLiYEM+s4TEB8qKSRHn2mOCQ&#10;5kF3NO1Ev3JmTaodydulaCTIHnh/P//xH5DYAMYuTh+bf+mNJHEnv7qAYOlyiirbn9QpTJTLI0FS&#10;ZSs88BBf1M0LuD3NY5cOPrsk9ydEvqgMT+A88FieEGyX8hizwxOgDffyG5PknL0yfh978aWOCVx2&#10;dHrrrcJEuTwSAi1q5/LiMWZ9TMjwRZWQoNgu5cysRf2EUIvaMOZebQF/gBTfZDvPd/dffR6wDhKc&#10;KmrSZvKjt0BWONc/C8U7a6jZkbdQR+MGmYGEJ6FXdhsTUrMjYo7ZImHQon4Ff27+4f/RFHD25R9+&#10;5priSNDUjjpV9ixEeb6YkNNjnkiVHbi8KJEQ9phjJAwza0Zz0aQ9ze0/rC81EiLdUcMTIC86P/nP&#10;jEdWPCbENngUY+b2Med21pSbRPD5BLrHDHx39Rhq8Mbe71C/RvKEMtJr5pczFxJy3CCl6U2+itpk&#10;R22P2Z3Uifes8RsHHQ+8lw8vNye7UuXcNkKlmEB74N1++/QIiPL3236H/PcvhgTNzJrVHWX3E6T9&#10;CXg/Qd9Za5sJFwYAUOYvpJGc937of7qEBE53NCNRno8nyM5fMWNu55gTY0LQT4hU2YECz92pg1ZR&#10;Xz5oCMBKfzkO6m/i2ZGmdnTnnSXQqrliAtpZ82NCMk9QZEek2sLXHQVIeHVsel4HUP8ZA90oJlAz&#10;a563BeRF8xLl+WICp0XVZ0eaKqrSA49zeYENhTUIKOEhMWZ8PmF2olweCZoeMxUT4uxoCjdIxuXl&#10;1UPTB0hWcSrvzH7+tfTs6NoSiPJ8SNA7f+VNbw7eFkpVtttZM17ZFQN5SJViAqLAAxFr3s/axquK&#10;8QRJbTFM9GfUjjrRUY7uaEBCxcCYG6ZGQqc7unN9CUS5fEwgkMC4QXKMGc2OEhmzkx0ZPjCv3H/M&#10;HVzGayUkeFVU2JIGBlDLeOPtu5g7JiBIyK6iSv0ETG0BGGgEofVr7Ak4qmxUgechYcI9ymPfd/f6&#10;BSIhIzuyquwmJqRsHKy10amuEXyfCAmk8xcEhMvT7yb80ZN8q7mRgOxPILWoSGeNc/7ittAalYT5&#10;0fVrshPQZ0dL6CjHH7sYEogqauZEv6aKSsysHaRQdLL7Tn+jCAl4TDi9DUR5ieloMSR0jHmEKnvc&#10;zFqjwNs829dBmQJ3nf8RUj+h5Qlgljz7W0XfQHEkcLqjKXZvUg7Bq5PaLd7qFZSyI9NPaDrKCxWu&#10;F0dCjvNXSo8ZnWPe35nJrV7upG+u0KJeu1wtjijP10+QkZBdO8J8UYEZH974WNINnuovi0hYVEd5&#10;AYxZzo5IJEi1owgJ62e1QDTVRRe/j8AT7ry7TKK8zJjg84SRqmyYpVxqSireql38CzxPOD/558I/&#10;1GJ4gmdvQS4d7MJCV0WNfVGBJ0AoqPM0xe8dgwQwHl7+v0pzIyHF70jaqWPbzM9rRlQcBeYHkjzh&#10;6Nrl6fEsbynph+4EEuIttIG3RadFrRlR0i9/0r9MzawtnCiX5wnERL9KgafyO6o1okkvdvI3I2LC&#10;0olyeSR0PWa5dqTRHYVqi6qpTr65U78ARcLSpNfMh547O/Jigr7H7GVHlRhMfatzvl+MhJ0gyvPF&#10;BG4LLYWEmCcMtaOqI8q5tlt4TYSEd2AUdgs/Z1vfsnhMyPE7anlCpMDbH8v1bf16C37foIq6K0S5&#10;fEzQMGZ9dvTyQAyoC97ksT/Kjwk7Q5TnQwKlyh4m+mXGXBtnY6/tFl7vImH5HeX4AObOjlJm1mx2&#10;VMtEW7jGE3zLHgnr+x8uv6M8IxKC7Chpz9qgyq5uXBPc2e18ixYJt6+Dg/J2fsJ2v2vxmEDtT4h1&#10;R4MCr6sdVVO67V6GUd/dImHniHJ5nuB21pzlCX0/QeQJdQB/1EXd+osNEu6+d2UELzv5VTwmUFVU&#10;XotaYbD42wWj+rtIlMvHBL1DcFQ7qjBYPAzgDa7uvr+LRLk8ErrsKLXHXGGwCzCA93jx6tGOvFP8&#10;bRbPjpLmmHd2Yf1O34nDfPPFkKCpovr7E2o0OMwrOdOnLoYEt3YUNRPizeQVBjNdiIP9sbMgAaqo&#10;TGdtXVXWB3sdZ/zgxZCgqR1B1WhTYTDjbTjkH10MCUTtyNMdgXl19a8+5Ns452cvjoSgs+Z6W1QY&#10;zHkTDv1nF0cC00849N9F/fxznkBxJJBqizlPof7segLFkRBoUdvsaKFO4vV+HM4JzIUER45a3UsP&#10;57ot+JMWR0LImGs0WPDtOKS3VhwJ4RzzIR12/awLPoFZkbDgc6lv7dBOYC4k1KTo0G7a0j/vTEhY&#10;+rHU93dwJzAHEg7ukOsH3oETqEjYgV9SfYsFTqAwEgp8ovoj6gnknEBFQs6p1dfs3wmURML+nV79&#10;RPtzAhUJ+/O7rJ9kzAlUJIw5vfra/TmBioT9+V3WTzLmBCoSxpxefe3+nEBFwv78LusnGXMCFQlj&#10;Tq++dn9OoCJhf36X9ZOMOYGKhDGnV1+7PydQkbA/v8v6ScacQEXCmNOrr92fE6hI2J/fZf0kY06g&#10;ImHM6dXX7s8JVCTsz++yfpIxJ1CRMOb06mv35wQqEvbnd1k/yZgTqEgYc3r1tftzAhUJ+/O7rJ9k&#10;zAlUJIw5vfra/TmBioT9+V3WTzLmBCoSxpxefe3+nEBFwv78LusnGXMCFQljTq++dn9OoCJhf36X&#10;9ZOMOYGKhDGnV1+7PydQkbA/v8v6ScacQEXCmNOrr92fE6hI2J/fZf0kY07g/wGkdaUKZsVy0gAA&#10;AABJRU5ErkJgglBLAwQKAAAAAAAAACEA0rm8DREvAAARLwAAFAAAAGRycy9tZWRpYS9pbWFnZTIu&#10;cG5niVBORw0KGgoAAAANSUhEUgAAAQMAAAEbCAIAAABRNnZqAAAAAXNSR0IArs4c6QAAAARnQU1B&#10;AACxjwv8YQUAAAAJcEhZcwAADsMAAA7DAcdvqGQAAC6mSURBVHhe7V37aybHsb3//89OnNhxbmLn&#10;JtdOnIdv/Fo/WD/wGhsHs4sQi1gEi0AIBIIFgX5Y8K3unkd1d3VV9cx8Pf2tSjTBxLK+2dacrTpV&#10;p0791y/2ZTdgN/DLL/9ll2A3YDcAN2BIsNfAbsDdgCHB3gO7AUOCvQN2A+MNWEywd8FuwGKCvQN2&#10;AxYT7B2wG8A3YNmRvQ92A5Yd2TtgN2DZkb0DdgOWHdk7YDeQ3oDxBHsn7AaMJ9g7YDdgPMHeAbsB&#10;4wn2DtgNGE+wd8BugLoBY8z2XtgNGGO2d8BuwBizvQN2A8aY7R2wG9iTMb+067cb6PYGWjJmQ0K3&#10;r4E9WNM5ZkBCOPZlN9DdDTSOCS9/eWlI6O4lsAeCG2iOBIgJBgZ79fq7gZ2QYGDo71W450/UDAkT&#10;SfAxIRz7shvo5gaaIQH+xCMYHAzuhtPNRdiD3PMb2AUJIwwcHiwy3PM3sJc/fnMkDKkRAoPVVXt5&#10;Ge71czRHQqgdTdnRy7uXL2+tyXCv38E+/vDNkJAw5jkmABI8GOzLbmDPG2iGBMyYMU9wMcHAsOcr&#10;YJ/tb6A5EjKeMCHBIoO9kzveQHMkUDzBgeHOH0uTdnwX7vdHN0cCExPuXryEY2C432/kXn/65kjg&#10;Y4IDw42BYa+34T5/bjMk4AZzVEgdeILLjnxMMDDc5/dxvz/7XkhIq6gDT5iQcHfjeg72ZTfQ6gaa&#10;IQFXUdPO2siYx4AACZI/BoZWr4F9zj5VVLqfEGVHgITba3eMQB/JW3rz/McjeVL6MZvFBKHHjLKj&#10;ISC4sGBgOJ6X6+zh20cdw7tCAmLMIUEKSLDIcAx4OP3szcsnnxzDk+4cE2iegBvMPiz4Kup0JiTc&#10;XsG/Pd5bvg9PDkg4/fytu5vnR/qHbRYTljDmOSYAEgwMfb9igISTz948//6vfT9m8emaISGf3hx4&#10;M+onTC2FODVykcEh4e7FJQSNI73oV/6xAxJOHrx5pNS5ORJKaouks5bwhBATBjDcvPJv1TH+ASck&#10;HCl1bo4EjdqC5AkjElxkuL0+xnfl1X7mCQknD964fHx81LkZEhKeMDfXMrVFgTEjJNy9uID4YJNu&#10;XUELI+H0s9/B76irxxMfphkSEt2RrLZAdHngCSE7Gs8F/IOBQfwFN/sGhARgC2+cP3qv2Udv8kHN&#10;kDDGBI4nCIw5QwKA4eKouzmb/Ao7+SE4JgAS4Lw4qq5zMyRoesylztpMl1FAcDCA6rXLlEyR0QEa&#10;kpgASHj68I9H9PfUzkiYO2thZg1pUaMec0QSIEHyMAhIcOfcyfXsa9cbyGOCo85PPt31oSo+vBkS&#10;MGOmFHg5DLDaAlVRo7AwIMGDwXFo+9rtBvKYAEg4Iuq8CxJ4VTYSXGC1RVw7ysMCgMHXK8xUbx8w&#10;kEhw1PlIus7dIMEN9afzCWP5aOAJiDEn2ZGLCXc3z/w5N9qwCxRoJHz625NPf3sU1Lk5EsSJfizC&#10;E2MCyo4GJFw/u7t+Zq239mAoxQRAwtOHf+ifOjdHQqnHzMWEUj9hIs0QEMJxMLi9PoNjmVJjMDBI&#10;ADD0L9huhoRtO2tMdjQg4fb6KQDDMqVmeGCyI0AC/NvOu87NkJCoLWIh6uT8xcwnRA1mopA6ZUch&#10;JgASwrGaUhswkFVU12LzVAHO+aOuBdvNkEDHhLifUGLMeXY0xgTUUqCRcPX09uoUEqf+89Q27+vh&#10;PkVEwsmnv3lx8dPhHmDlT26GBDomwAuKwFCe3lT0ExgkABjgGI1e+a7w/7mEhN8AEnqmzt0gQT2f&#10;UOqsSUg4ub06ge+x4HAgPEhIgATJgeGq165zV0goKfDyfsLIE6IqalQ7GqiCz478cUi4vXwC/2vM&#10;4RBgkJDgYODOg06pc3MkTIs3x7U6xelNTm1B1o4SJHjGnCLBgeEF4AGYtOn2NgWEhIQhJgAY+uw6&#10;N0cC109gvS1IER7VWYtqR3lMcEh4HI43YjB1xjaA4PsJQ0D49DdPPnGRoUPqvAsSeAWeRnekyY6S&#10;mHB6ewkBYYgJDgkXcH6GEGHJ0iZQkGLCkB0BEuB46tzX30HNkEDPJ1B+R0UkxANrqTA7Y8y+pVDI&#10;joawcPEzgOHFxX8AIabrXokHCQlzdhTA0Bt1bo4E2dtCNccczydgBd7UY2aQ4LMjHxMCEtx5/pOr&#10;tJqLzFJAOCQ8mI6bWRvO0FkbGbNPkFyO9OANP3/by1czJIz9BP30ZsV8wig6QrqjocdM8wRPFSIk&#10;/ASZK4ABVJOGh2XvJkICggHqMQeqEGDgz+tdUee9kDCMKFA9Zg1PSHrMJBKymDDzBBwTfEDwMSEg&#10;AYyr4BgeavEgMeYhO8JIADDAzdd+0IG+vzkShtpR5vIya1FHJMyS7LLagusnBMYcmglTPwExZhcW&#10;xtTIgQEj4Yebczjfez5t3kqqd68eCS4sPP2yF+q8CxJ0+xM0/YRBd4Riwg3PE56EfgLKjqiY4GDg&#10;kODPI4gVVm8V0VCPhNcBCXCunjwQf3iDb2iOhCU8gfW2GIf6q2tHGWOes6MYCTfPHt08+w4g4fvT&#10;FiLo11JZO0LZkYsJcDqhzjsjgfK2WFc7Gid1CmqLtJ8wJkgzY/Y8IYoJAxKefXvz7Nvrs28gXMAP&#10;typTAghlTEhIswPDx11Q5+ZI4HxRV2pRebWFpwqgs0izo7mKihgzQoILCD4muANIcGC4PvsajiMS&#10;rvB60yB29/8R9TFhyI4ACT1Q552RwM0ncIxZ02Mma0dlJGDGTGZHQ0yYkXD99Ct/HgJCILY4LnGP&#10;94UqY0JSOwoxAY6jzrsqXzpGgoYxL9Qd5f2EuHbEIQECQjhfXz+F45DgzumXcK5Ov4TQAWHnHnq2&#10;SjEh7awFkjAhAcBwdbIndd4ZCfOkjmI+AaktFsUEOjsKtaNQQp36CRxPmLKjEQkeDB4GV6dfXJ1+&#10;fnUC5zOHipA+3Q9bbwkJdD8BgwGo844asGZI0Ez0CzyB0B1VzyeUGHMAw49DZ42OCd95kkBkRygm&#10;ABK+8EjwYIDz5AEIbOAfAD8+g3pl50jrs6OhdhSyo3B27Do3Q4JGbVE/x7wGCUlnDccELU8I2dGc&#10;IPmYQCHhyadgcwL7NS4ffwxnDBcnr1ISVR8TciT8+snHv4a/L3YpDzRHgqsdbafK5ib6SQVeYMyU&#10;2oLqMYfOWql2FMEAJ0h5THBI+HRCwuXjj9z5+cNwIIC8Apx7i5jgkLAXdW6GhG2zo4QnEM5fRD+B&#10;mk/AWlQdTwjZEcGYR54gxwQPg4CEf8O5+M//+fNBOD5ofAHM22VT4Od3JFXaegUekR0BEuBAMtk+&#10;LDRDguRtkTPmZbqjWW2RTW/6MZ1iP6EuJmAkVGdHHBJ++uDCnX+58+M/n7vzD/jnAA9HNpw6EKwJ&#10;nu+KEOgrXkClAQgSIBnW58Bf5PXZUVo7CjCAA+ZI7alzx0jIqqiVjJlEQs6Yse6IZ8xDjxnVjhKS&#10;MJaP5uwI6LJnzMXs6N8XSUxIkfAPQMLzH/7uz/vD+f798+//BuTy+ffvO5BAYHnyCaRYvtn3CKi/&#10;6yGCHyagxS2xhr29NdNh4LtzdwMvuguqlycAPPjzAggBivBZ54/ePfv6T0+/+D0sIffnd+AL78+b&#10;EhLkKuqEBPgH+AM2DgvNkRDrjrhNIstiQlFtEXrMuRY19JiD2kKoHQW1RQkJvpA6VVFD7QgjITDm&#10;QJqn7MglSFF2hJAQAoI/JBIcGODvY3/ePf9uOM+++193vv3LfL758zM46P933z/+J+5fffM/cNwr&#10;/vCPMFfpzpfh/Lc/v4dX37397gQATCdGAjepk86s5f0EXz4awoKjzpePW4KhORJitUU8vRlXUTVI&#10;iBizxuUlIEGcT1CpLZLC0dxSyGKCo8uodoQYMxcTPBICGBIkAAbCmZDw3ogEDwMSCe51/xO87uN5&#10;5+zrd86+ens4D9/2MPBngMEEBoyEKRrgmOACgjSzVoOEj3795KPW1LkZEjSMWb9dquyLyvCEOSaU&#10;akcuJriWgrbHHGVHY0zAjDnEBJcglZDgYsIQFjxjTmMCg4S/RjFh+js+RYIPCP5v/RQJXyEkACQG&#10;JEwBoT4mzAOcxenNXIuK+glzQAAkwGlJnZshQcOYVzp/+U0ic3aUeVvIPeYxO6K1qKkCj4oJUz/B&#10;t9WI7Mj1E3BMkLIjEQkhLEzZTikmSEh4iJCwNjsipzcjb4swvZmoLaLsyCPBU+dGMvjmSJDnEzSq&#10;7MVqi7qZtbifgBlzSXeE1BYzEqiYMFZRGcZczo4CY455QjEm/MXHhBAW4uwIxwSMhOrsqIIxV8WE&#10;xx/96nkr6twcCdtuEqnqMdNVVHlmLZ5PyPsJg+5o5AlBaoHVFhwSmJjgq6hk7QjzhCQmvMvyBEeL&#10;Z54gZ0chQRIZc8IT8tQoGMenE/1iTAAkQGRoQ513RkJTVTaXHc0T/V56xDBmrEUNPCHpJ+RIoKqo&#10;pc5ade2oKjvSIWHOjnIkkIw5iQng9UKCIUmQiv0EV0Hy2REcAEObrnM3SOAm+jd1CNbMMbMza7wq&#10;eyykBp4QFHhMTFhYRYWcYcyOlEiQsiPMmDmesBgJOU+gdUcJDAAJcCDGHrqi2hwJjifo9jFn6wal&#10;3ZsVDsGJB17m8kKqsnPGjOYTBt2RZ8xOmJ0jgdQdZWoLMiaknbW8ihr3E3AzAf55rh3VxgTfT/DN&#10;hLGfwFZRFbUjNL2pjQmAhAbUuRkSsBtkCQl6h2Byp86yfsLYWVuiRSWzI53uaFDgiUgga0dDjznq&#10;JwiMOdSOYiTgfoK2iroWCbWMOcSEBtS5ORLimMA5f3ExQVM74lzjCQ887aQOnk8oxISJLk/zCXw/&#10;ASvwyH5Cprbw2VHcTyj2mEPhaG4k04x5rh3xnTWyxzwyZi4maBhz2k+YYBD+Abqih8uRdkFClCCh&#10;/Qn6HrMGCYwqe2ozF5y/uEkdUW0RYoLEE6piAq07ClXUkSeIaosDVlHLtaPZDXJJPyFGwmueOh/q&#10;qxkS9JM6GjfIxUgoK/BKWtSyt8VYOMJVVGZSh55PkBR4otqCqqIWecKB+gkatUUZCeNQf95ZS5Dw&#10;+MPXgIMdCAo7I4FyjR87a5nuqFKLKrnGJw7Bfoh5FOExjBnHBDSzNkz0i521UYGHYwKntiAVeGPh&#10;qD4moOZarDuieYLYT3iL0qJyVVSCJ8xI4LOj1x5/9BoQ7gN1nZsjQfY70vSYNdulEiSU/I70nbVQ&#10;Oyr0E0Zvi3GiH2tRcRU1QYKuilpQZeuyo0h3FCEh7jGPCjysO1L2ExKeoFRbFCd1cDMBhQWHBAgL&#10;IE0/RFhojoTSnrVhOTlKjTQuL7kWVZjUQVpUZo6Z66wVGPMcE3IFXuiszXPMKt3RIET12ZEGCbh2&#10;tKCKSuuONkSChjEjVfbYVouQ8KFDwoGo815IGAqpXHZUsT8BbRJh3CC56c3Y5UWe6A+6o1yL6kcU&#10;6DnmSiSgmTVWlS0y5notKt9jjkYU5jEdelJnWCMyS7JJN8hRjppmR6HHPJ4hJgAY3HKqrb+aI6E0&#10;n+CmN0v9BGWPWaNFLTFmzaROaWYNqy3USBjUFrrsKJvUKfeYc90RrqKWGbO2n/BWPKxDIkHJE+TO&#10;Ws6YXUzwB/7G2RYLOyNhdv7K1RZrYwLZTyjNMQ+2X+MmEcb5S+l3hKuoVHak0KJOc8yFmbXQT6DU&#10;FkR2VKO2mLWoyh6zRnekqaJKjHmEASBhc+rcDRI2iAl6tcWwhTbasyZP9OeqbJQdPX3ovS2mmBAh&#10;wc+sVastdEgI05t4gJOcWauZT+BV2UR2NCJhmN7ktktVqS2SztoUEMI/bEudO0TC4n5Ckh0pO2uS&#10;V3bqd8R31qZRZqmzptCizqpseXoTzSXTM2v6HvOCOeaK2hGLBB1jniLDR6/BbPpWOdIuSAC6nG2X&#10;ymPCWrWFsp9A7lmrmmNOOmtYlV2e3lRkR/OkDtdjHgPCUDvKZ9Zq1RYYCb52FCnw2In+QW2h3TiY&#10;zSdIjBllRyEsbEidmyOB87YouUHmO3UW95h1+xMW1I6G7Ij0tmD6CbqJfk6LmtpbFCZ1qOwonuif&#10;55irpzcrdEdVtSOGMU+ZEgxIbRIWmiOBqx2VdEeb1I5OCptExpggqy3Y6c3UDRLPMT9YxhMYb4us&#10;drSaJ2jnEypjwlxFlb2yscXLNKZD9BPiyOCo8xY2gc2RUJpjVtSOCNd4rrMm8YSC2kLaLlWY3sTz&#10;CfT0Js2YpTlmRm1RnmNe1VnzlkfY7yjJjqr6CesUeKifMDcTEt7sqfPf14eFbpAwu0EWdUdoUofM&#10;jjSMuewaL6uyS2qLaJPI2FmLYgLqMSfOXz47KuiOmDnmmpig4wlMTJAndVpVUb3agjiOOp+uBENz&#10;JHC6o5LLS76PWYMExuUl9zuq3SRC9JjjKmo+0R/HhFWMOZ/on7OjCuev0kT/Wp6gnOgv647iOWaf&#10;IHExAbABJOfYkLDC5aWcHaF9zAt3b4aJft7vqMQTRFW25PxVP6lTdnnhPfDK05uM35FcOyoz5sPz&#10;hJk6P324BgzNYgKe3ixN6ggxQVJl++xI2ExeVuDVbRzMYkLKEzboJ+jcIJPaUdZW+xbrjmqRIKqy&#10;9Q7BGgXeWEVFxhYiY56Q4GadV1DnZkjAHnj8HHOxs6ZCQnVMSPsJqcvL3FnLdUfiTh3ZK3uRB977&#10;dd4WDgzUHLPS+UuOCRqeoPFFrVBbkIRhDXVuhgTJF1Whyq5EAskTdJvJF/UTKF/UYc8a4xCsQoJm&#10;jlnwRZV0R7QHXu6VrZnoX9xZq+wx5+wZZp2vni7LkZohQTO9qfe2WNxZK2tRx9pR2SGYdXlJZ9ai&#10;SR0CCQq1ha7HLE5vbpsdJcbxei3qFgq8Uu0IQeLs4dudI0ETE7bdOFjlbRHvY+Ycggv7mFMFXml/&#10;wugQrEWCen9CcVJHV0XF3hZ8P4HYn1ChO2JdXviY4CtIZBU1/j9hbmQBGJrFBA1jFpAg7WPW9xOw&#10;FpXaqaP1wBNd48cttPnMmgIJNVrU2fnrPFmeEDl/rZ9P0GRH5HxC2QOvPNGfTuooYOAF20CdYZNQ&#10;3VczJNDZEbdTh9supcmOlDGBUlvI+xO+RjNrh3II1u3UqXII1nlbVPcTElU2hwRCi5pP9JdqR7qY&#10;4LrOP/6zDge//LIzEuZJHW4+YeislRkz6ieoNol4vyNGbVHwO/IT/VhtQU5vbuaVvSkSVswnJD1m&#10;Rm2h2C6FsqNVM2tCmgTU+bqOOjdHwpLpzbzHrPG2UMYEaj6hrnZE7t6UNolU9Zi56c0Vqmxai4p1&#10;R5Qqm5nU4VTZNYx5jAmlOWYNW4CtWVVhoTkSuB7ztoyZcXnBagv9pI5mk0gyx5z3E9KNg4sUeKGf&#10;gKc3Yy3qKgUeP6mjqR1VurxosyMtY0Zd5wrq3AwJCWMmJ3X0quzEIZjcTC7NMQ8uL8tiQuAJUWdt&#10;1B19PloeTa7xC+eYa7KjWHcUIaG2dpRN6sibRA7VWVsTExx1fvCGnjrvhYS5zbzIF5XMjvRqi5wn&#10;zJtEnCq7LjvyWtR0PqHk/LXJnjXslS1O9K/pJyi30FZM6qziCWrGPIUFPXXuBgnzfELRA0/qMUuu&#10;8YnfEeP8pWXMuVc2kx2RfkcfLsuOhjUieAstnt4kYoLEmLUuL5VV1EyBR8ys1fiiahhC9D2OOp9p&#10;CEMzJNTv3uSqqCv3J+CYoHeDZP2OsAdetkkE9ZjT+QSV2oLeTE66vHi/o2J2pOknYNf4ZWqLyiqq&#10;W0g+HS89WqTAK4FESZ33QoJiol/jBjlsHCR5gnJmTd9PEHbqDBYvDgaTa7w80a9CQsVEP7VxcJaj&#10;1vYTlFrUrbKjtMe8kifM1PnsGzEsNEMCVlss1KKqZtYEVXY+0a/3tlDGhNLGQTo7knZvMr6oeHqT&#10;mdTR8QR6Zk3pbVFWW2RukCxPWK3AKzShPXW+5cHQDAl0dlTVYz4MEqZlIoMNXnmOGU9vZrUj2iG4&#10;rEVVqC023ccsbZc6+GZyzXzCoZAAweHip391ggRJgafoMVduHGT8jqh+wvJJHXJmTekGKTJmMiZQ&#10;GwcPosATsyNyf8JiD7wDIsE5bLPUeeeYEKstVm6X4hV4p7e0V7bEE+adOiE7KqgtaJcXrMCr9raQ&#10;FHh0dpQp8HRe2Tu4xpe30I6kmXeDrK0jwYI5Jiw0R0K8P4HKjvIqau78pVFbSIxZuT8hnVkrIoGa&#10;6Mc95pgnKLIjHRIS1/gtpjc5X9TFGwcHtcWWbpA6aSoGDCyCKYFhLySQnbUGkzr1jDn1RS1uEhlr&#10;R/nGQdxj3qaKmu3eZHrMYR8z5Yta2kLL708g5hOSHjPnbVGFhNTvqL6zlsSNkwdvwl++JBiaIWFb&#10;nrBYlc27xjt7C4kxF5y/Usac84SQHVF71greFnNMkKuoExLymFBGQmmOmUNCpQfe7PxVnmOu2bNW&#10;mxHl33/x0wf7IkEzvSn4ohK1o8gDj98kwrtBlnfq0DyhNJ8w7d7UalFVVVRZi6qMCbp+QrI/IdId&#10;kT3mCt2RqopKaFHdUinlzBqPFogzYICSg6FZTJB6zPNE/+htUb17UzOzJmdH5TlmzJhLVVRSbcE5&#10;BK/orOHN5O+dC5vJV3hbbKrAW6U7qicGJCpI6twcCbIqW+PyUvbAU3XWcg+8WIHHTW8qsyPsgRd4&#10;QvUmkfJEP95Cm8wnUD3mkSSA1wu8BON550x2eaEUeLIvqnJ6M5/UYaqoggdeVdbUBxKGSZ1BbRHX&#10;juIqavV2KV6BF7bQIm+LqHak2TgY+6LGkmzQos6q7NkhuFw7wvuYt/TAy3VHgSfInbV5C2319GZF&#10;j3nFTh3VOL8ICZcdXe+ZHUkT/Qqv7C14QsnlpTYmpMMJ3uwIb5fKY0L17k1dj1l0eSkjQfZFFTtr&#10;pAfe4o2Dku5oi+xod8aMkVCrO1rWT8icv3xAgOOGmNM55uDyMvqiyqpskTErHYLF3Zu+x0xrUcu6&#10;owWTOlpV9traEcETtDNrGyRIropaECA14wn6mbXifIKktli2hTadWUvdINPaEd6zhuYTaOcv2eVF&#10;mk8QkUD5oibC7LmfoKkdYVU2tZlcnmOujAnlKurm/YQeOmt0TKA2k2s2Dmpm1kJMAHoQTqii6rIj&#10;eWYN147w/oSpipo7f9Gu8VLtiHH+wrUjZuNgbWct2yQiV1ErVNlLecIGAaFPtcWQIFGMeauYIKkt&#10;BpcXrDvis6Ncd5TPrCVICDEhbJc6EE+gakfFfczl2pF2k8hatYUqO6J1R+sYczcKPLrHzCEh270p&#10;eeBp9jHzPGHsMXM8Id9CK+5PoCb6q2pH9BZaMiYs3b25aj5hK7XFWq9spnDUnyqb26lTqqJutHFQ&#10;r0WVfVGz7IjenyBXUVU8QVZbzNmR06IWeYIuJlT3mDXZUY3f0dYxoatJHamKmu9Zm/sJZSRUqy1k&#10;r2zdxkGCJ8wKPG6OucLbgtGiZgo8cTN5zUR/tQJPg4R8Uqdqu9QqqQVY8vQzvanXHeVqixwJZVW2&#10;yg1ScgjG2dFcO9JsHGR0R9WMuYwEaVInigm1fkeZB57MmDW6o3JM0CvwFvUTep3oX6K2qEHCvFNH&#10;cv5KGDPevSnXjsJ2KWUVldqzVuUGKW8mF2tHy2KC0ttinUPwQb0t1Aape/UTFM5fFd4Wz+9uZpNg&#10;GNLzJ0PC3FmjnL+005t4fwJyCMY8Yc6Ocm+LivmE8hba4PwVOmtJPyHXHdXHhLWTOounN7dnzB06&#10;f0laVAVPkGpHkhaVc/7SbKHNXV4CEsTa0erdm5zfEeUQvKCKqp/olxV4nC9q1aROPL1ZXUW9t26Q&#10;Gg+80qROvFNH5gli7UjrBqmqHVXMJyyd1KHVFlSPWd6ps1iLunFMqFqu0yw70sSE0vTmRlVU12NG&#10;SFg4x5yrLbBrPO0G6TtrJGPmdEcbMWaswNOoLTKH4GR/wmZIkGtHa2KCkihPNaWdkbDU72iLif5k&#10;k4iswMsndSKeEM8xb7VnjdEdlV3jidoRxZhLc8wJT6hGAjnHrOknbLNnzfXX1ES5PRLofkKsO1q5&#10;P0HiCdvojnLGnPGEtJ/AucZLuiPR70jcTK7THdEbBw+qypZdXpbtWfPbpf4hNhCSb2geE+Iq6tqY&#10;EHXW9GqLZQ7BmDGHKmrOmCE72swXVefyIs6sbet3tFiVXd44mFdR1/kddb5xUOoxKyZ1yrWjNZtE&#10;an1R+T1rtALPT2+SfkfifILXotJqC6VXts7bglHgbdpZW6pFhR6zts0M84O1AQG+v3lM0O9Zyyb6&#10;K+cTGDdIqZ+AdUecB17UWSvzhIVVVF1MSDeJZLoj3E/QMWZOd6TRonL9hENP9B/PZnKHhIUza1sg&#10;Ia8d6bdLaVzjp+xIWUXV1Y44BR61U4dQ4Ek9ZmYzud7bYti9yTl/rVBl/0qcUXZE+ep0QUDYPyZQ&#10;W2iLLi+SV7bUT+CrqLh2VNCielNU7IG372byuMdcdHn5yzO3P0GuHY0T/St0RzkSMucvFglj7Yje&#10;vSkjAdLIZTDYAwkcY17pbSFNb+pV2cs3kwNPwPsT1vuiMjyBVFvk8wnafoLO20KzXepg2RHrBumJ&#10;8s3xIKHEE3LnL267VNnvaLECb9QdlZ2/SvsTVk1vqnrM8nyC6IEnubwwkzpJdrRujlmltli0XWoZ&#10;UW7fT5BU2dzGwbIWNZ9PYJy/6JgQeEJZd8S5QaIttMNEP+OBV63KLjt/4X3Mqe7owK7xb52u0x2p&#10;3CDpVWvcKDMEtMXRIPyHzWtHJVU2V0VVqi3W9RNKPIGeT2B26uTZ0cLaUdnviPLAE9wgA1XQ1Y6S&#10;SZ2ox7y4drTENV7bWfvotcVEueeYUONtUT2zVlbgaecTcI85jwmeJ+Dmmpvop9wgFfMJNVVUZs8a&#10;7idodm9CX3k6y/YxL9aiLlTgPf/h/ZUBoWVM2KCzJnng8TEhuEHqFHh1zl/xWvJTvD8hZ8zpfALD&#10;E3Su8Yoq6rx7UzfHvKEbZF3tSEICxZiBeKwhyvvFhCUT/deAgXDGNvOGCrxl+5ix2sIjIZ3ojxR4&#10;hMvLEBN0e9Y08wljdsRO9McxQd4kUjmz9hnoscMpivAQT5B1RxotKvhwrg8IPcWEeVJnsVe2xBO4&#10;SZ14PkHrbbGin7DK5QXPrIm6o1pfVMkDj1Flc/2EJTxBRMLTh3/YBAZ7IIGbYw7zCRqesKiKmvii&#10;DvMJeAut3vmL8EWVHIIrXeN/BBVqOCXdEfZFneaYt9izxmVHi/sJGgVeZXYERPny5OiQgCd1eLVF&#10;ceOglB0tU2XjKqpDQuqLivasZT1mkjHnPGHz2lGICaQCr+T8pVdb4EmdZfsTlIx57aTOJkS5PU+Q&#10;GLMiO5KQIGVHCWMueFuUHYI1c8xJP2FwgyQ2iVTxBFmLytaOZrVFzJgxT8BzzNXOXxqXl/KeNa0q&#10;O+onOKJ8e71VQGiZHYVnBvldOCu9LTQ7dUiXl3yTiNRZQ1toUUwg5hMoLWrZK3vkCaoeM+0GidUW&#10;sctL0TVew5gX6I40zl8anlCRHV2dfrEhDBojAVujViFB6XdUmR0xc8xavyPG2yLaOLi1Q/DfBA+8&#10;ordFbWfNZ0fVnbWDTfSPVVToeGwLg2NBwrIqquR3xGyX4mpH+T7mYXqTiQnlKuq/Vf0EeZOIMiZw&#10;e9YoBZ6f3pTnmDXZkSYm8HPMo8sLSK8vn7zaSNDXjjRukJWTOq7HrNmpk/eYsQKv1tuCQ4JUO1Lu&#10;T8DTm7rO2kGcvzarHT3/foOOcg6kbnRHnPNXHhMWbybPHYLxpM6IBG73Ju8az8wxVyvwyj1m7Isq&#10;euBpVdlnD4EheJJQvZm8vHGQ20y+pHa0OVHus3YkxAQ0x6yJCRJjjmpHsxaVqaLePENDzPNEf9Zj&#10;nnVHq+YTpI2DpMsL7/zF8YQ5O6qOCeX9CTMSNC4vKWPOt0tdnXy+eV7UhRZ1qcvLopgw95hr9jHL&#10;quxV8wmMy4ukwIv7CVhtQTBmfT+B3y6l8baoZMxqr+xDEOX+YkIjVfaa/Qkll5cECaWZNTo7UjHm&#10;zCvb145oh2B2ol+zmVyqojKTOoPaohIJOq9siA8vDkCU2yNh7DHHzYR4jllw/pIcgpfNMVMT/RxP&#10;yOeYsRskuXGQcY1fo8Ar9xOUuzeVCjy5iqrZLrW2dgTgP1BetG92NDfXhgTJMebYFzXbs6bqMas2&#10;iUwrmSfRUbyZXO4nZLqj1DU+38dMbxxUdda4HrOowFvj8qL0wCsz5k+htRxOGQmKfcxuRvn26tVA&#10;wpqNg0PtSMWY5zlmZvcmxRPwHDPnd8TvY2amN0nnr/VV1GQ+we9PSHhCydviq3fARnc4D9/W9RM0&#10;PIHTHVX5HU2M+XBEeb/sqDSfoPDAk2KC7zEzMYGbYw4xgaqiypvJM69szcxaldoiiwkMT3BIKG6X&#10;qu0xb9hZy/esvf4EosEcEFBbLXaD9EQZ/iY97NfO/YS1vqg3sE0nHE8S4Agxge8nrNhCS0/qYAVe&#10;dUyYd+rU9JgrGPPmPGGZ3xGrwPNE+fFhQeB/enMkrIgJRHbEzTFn2VFSRV2otihslxq8LUi/I27P&#10;muSVLfodKXhCSYsaZ0fazprs8sJ54CGXl7GzRoYFb/QCkzpQImsAg72QoHODzHxRK3lC0lkLc8yl&#10;mPDTaPTyY/0W2qR2hL2yBy0qozta0U/AkzqzKjtzeamf6Od7zOtcXggklGOCJ8pbSq8ZUO0cE+Ls&#10;qFRFTYaYoa2m6awxjFmqHclV1JJrvOiBVzHRX9Yd5WoL5T5mTnek7TEvREI+nyDHhKuTz9oEhL1i&#10;Qmk+Qa+22BAJ43yCvHuzah+ztFNHy5jF7EhRO/pmFuGdfT2RZigcodqR1jVeUztSTvTnjDnSorYh&#10;yv3Vjupm1hYjodxjLlVR0fSm1x0VOmszT8DTm+VJnSq/I7p2VKVF/TMuKJ2DNOPRu+5/v3v3mcOJ&#10;02IASDIFntLbQqPA02hRo/LRi4ufmwWE/WPC0trRiIR8pw7jBklPb1JaVG73Jt4kQm4mL/kdVWtR&#10;mewoVFFBn3zx07+AacCaEqi4w5qfm/NHQHgcHbo+g5Kas8a5e+GGBPVfL+/APujuxYXbaX15ApVl&#10;AD94mV0+/hhqWYAfB5gvprl+6C4PDeZTsHgZXF6UDsGcFrUZUe4vJtT1EzTeFmTtKPfAC35H+n3M&#10;uSo7c/7acs+ay47c6/74Y5hXvD77Bl5NoP7uLV/hC63HReE7AV8XcG/g8gQ98vNH70Em45CgcHnR&#10;dNYadJQ7mE/gqqilLbTK+QTJNZ6LCRok4N2bgTGLDsE4O9Ip8P7zQXjpb559B68a/MW86xtfARkp&#10;JuRqi2JMaEmUd48JpO5oi/0JQnZU4gmx7qhuuxTevcnMrNGdtcufP4TEBhjIi4vH8De98zo4zq8t&#10;YoLjCY2JcnskbOvyomHMZD+BdwjmZ9ZyVXbOE5LtUnRMgInnm/PvXZLz4rKBjqANspQxQcqOXm9M&#10;lNsjAT7Rg2GbnToLfFEzh+BoM3mgChokFPYxp1rU4G0xqi1OPnMp/sV/QBVyvH/r84hCSEBV1EyL&#10;yiMB7Mza4LYDnkCaHUULdTRukAuQcJJ6ZRecv9IeM6fAQy4vAxKm7Oiz8S/+Uy8nrqne7PUurPtc&#10;GgmcV3baWduFKO8XE7gttPpJnUVImH1Rpc3kdRP988wa1FJC2nNoMf26l/Yg/7USCYza4urJg4M8&#10;me6H7qW2UDBmbh+zhidIaoskO8KbRGjGXOwxO757+RgKi3WVe91v6Fi+ayVP2Iso9xITqOnNxa7x&#10;fBU1ZEehdoQndVI3SGnj4NxZuzn/4fb66bFUOQ+NKCkmlL0t/JQCkKhDPyH/85vFBM3M2sp+whqH&#10;YFU/IUgtPACgzH+772+ut0+XkMBN6uxIlPeLCUscgpVaVH5SJ1NlR/sTFEg4f+QJQCORcG8vuvg8&#10;dHakqB3BAh5fTd75a6+YUDXRv0mPWVM7oquoMNjpel73oP6z5mVUxoR8H/O+RHm/mMDtWdNnR5ra&#10;kdIDj3N5AVJhQUAJD4kx0/MJjihXCQSVT1P/bc1jgh4JmcuLamZtE5eX5z/Afl+n4rQv9Q3UZ0eu&#10;n7A7UW4fE+jlCZzz17LpzWpVNt696bIjw4D65Y++UYoJhAIPRKzLPusQ/1WzmAAPz6otZlV2vmdN&#10;5AlQNcq9LZS6oxkJhoE1b5gSCZPaohOi3D4m0Eioigkqv6PZ5YXkCfRmcscH9pT7r3kDe/lvJSSk&#10;VVRwOejl0f1z7BwTdJ01ZRVV6idQagvAQA8lvK7eiWUPg1TZpAIvQoLbo9wHUT6GmHB3A3Wb8eRg&#10;8OWj3PmrhjFbbXTZS0/+VzQSCgo8KExv+NGb/KidYwK1P6FGbcE5f3HZkVNJvLQm8Sav0PBD9NlR&#10;Dx3l/E/eDAn0pM7SiX7NTp3CnrV7KRTd8pUv/CwlEmDW2UkV+/tqhoSRMa9QZSPGrNGiEjEBjFNf&#10;1UGZ3V8tqZ8w8ARY0r77o5IP0BwJnO5oi92bRYfgp9YtPugrKMUE10/wHeVOB7WbI4HrMZcm+gt0&#10;OWXMxdrRKzwzedCXu+qHa3RHMCJb9TNbfnOHSFjQWQuu8dR2KWDGB97F0vK31fNniUjoqqPcAWOW&#10;s6MiEog9a7kHHsqOYJeCFYiagYfnCfBv+yTK+/UTZAXeWEWtnt6M5hP8vb/6c/TNXnTxg3iecPn4&#10;E/En7PsN3WRHkb3FGBaKnbWxikrFBBcKbJ6m+WvFIAGMh7slyr3EBGp/gqazVkbCzbllRM1R4D6Q&#10;4Qmg8N3lkao+dOeYoEPCUDsq9xNGumwZUdUvf9NvLiHh/NFuZl5Vf75mSKAn+nUKPNUWWqsRVf3i&#10;N/9mEgn9E+X9siO5dlSTHY0KPNNUb/5m1/5AEgm9Sa+ZP1SzmADPQI+tDQmS26mj7zFHagsjBrVv&#10;7SG+P0fCURDl/WKCvD8hjwk5T5gZc/9FiUO8dh3+zBwJR0GU90PCEr+j0vTmq2O53uGbXftISRW1&#10;847yUfSYVV7Z98SAuvZ13PH7cUyA5Wudd5Q7QEJJla3YszapLaxxtuMbX/pojIT+O8o7ImFkzKVN&#10;IgokhH6ClYk6hAHurJ09fPsYyVuz2lHST1C4xs9zzLMq29y4+oQBRgI4KHf7kB1WUTMk5LqjTHRk&#10;MOj5DQvZ0bF0lDvJju5c9BwPElywuzdtAL9nHHjd0ennb3m7kKP8apYd0TxhVlvwWlSDQfdvFyDh&#10;GIly+36CZgttocdsMOgeBvCAZ8cgve6QJ5DZEYUEg8ExwACeEXaWHsmT0o/ZPDuSJ/rn6c1jLMYd&#10;9dtwnx++GRI0VdR4k4hFg/v8Yjb/szdDgtRZm4WoXm1hMGj+KtzzD9wFCUASmM6aweCev5P7/PGb&#10;IUFTO/L9BIsG+7wJ9/1TmyFhzI44Bd6tweC+v4/7/fmbI6GkwAOeYNFgv/fAPrk5Esoza/bLsBvY&#10;8QaaI6Ews7bjFdhH2w3ADTRHwhAThtpRkN+ZbaO9i7vfwF5IQHJUcy/d/S2wB9ghJiTZkcHA3sI+&#10;bmDvmNDHLdhT2A3sigS7fruBbm5gLyTYZoNuXgF7EH8DOyHBbt9uoLMb2AMJnV2BPY7dwE4xwS7e&#10;bqC/G2gcE/q7AHsiu4E9eILdut1ApzfQMiZ0egX2WHYDjXmCXbjdQL83YDGh39+NPVnLGzAktLxt&#10;+6x+b8CQ0O/vxp6s5Q0YElretn1WvzdgSOj3d2NP1vIGDAktb9s+q98bMCT0+7uxJ2t5A4aElrdt&#10;n9XvDRgS+v3d2JO1vAFDQsvbts/q9wYMCf3+buzJWt6AIaHlbdtn9XsDhoR+fzf2ZC1vwJDQ8rbt&#10;s/q9AUNCv78be7KWN2BIaHnb9ln93oAhod/fjT1ZyxswJLS8bfusfm/AkNDv78aerOUNGBJa3rZ9&#10;Vr83YEjo93djT9byBgwJLW/bPqvfGzAk9Pu7sSdreQOGhJa3bZ/V7w0YEvr93diTtbwBQ0LL27bP&#10;6vcG/h+jvxnMt9npAgAAAABJRU5ErkJgglBLAQItABQABgAIAAAAIQCxgme2CgEAABMCAAATAAAA&#10;AAAAAAAAAAAAAAAAAABbQ29udGVudF9UeXBlc10ueG1sUEsBAi0AFAAGAAgAAAAhADj9If/WAAAA&#10;lAEAAAsAAAAAAAAAAAAAAAAAOwEAAF9yZWxzLy5yZWxzUEsBAi0AFAAGAAgAAAAhAPxpbmH8BQAA&#10;cxgAAA4AAAAAAAAAAAAAAAAAOgIAAGRycy9lMm9Eb2MueG1sUEsBAi0AFAAGAAgAAAAhAC5s8ADF&#10;AAAApQEAABkAAAAAAAAAAAAAAAAAYggAAGRycy9fcmVscy9lMm9Eb2MueG1sLnJlbHNQSwECLQAU&#10;AAYACAAAACEAk8kQsuAAAAAJAQAADwAAAAAAAAAAAAAAAABeCQAAZHJzL2Rvd25yZXYueG1sUEsB&#10;Ai0ACgAAAAAAAAAhACqgnIDgMAAA4DAAABQAAAAAAAAAAAAAAAAAawoAAGRycy9tZWRpYS9pbWFn&#10;ZTEucG5nUEsBAi0ACgAAAAAAAAAhANK5vA0RLwAAES8AABQAAAAAAAAAAAAAAAAAfTsAAGRycy9t&#10;ZWRpYS9pbWFnZTIucG5nUEsFBgAAAAAHAAcAvgEAAMBqAAAAAA==&#10;">
                <v:shape id="Picture 2" o:spid="_x0000_s1037" type="#_x0000_t75" style="position:absolute;left:4832;top:-963;width:21752;height:249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jIF3EAAAA3QAAAA8AAABkcnMvZG93bnJldi54bWxEj1FrwjAUhd8H+w/hDvY205UwRzUtMpAJ&#10;Q5h1+Hxprm2xuSlJ1O7fm8HAx8M55zucZTXZQVzIh96xhtdZBoK4cabnVsPPfv3yDiJEZIODY9Lw&#10;SwGq8vFhiYVxV97RpY6tSBAOBWroYhwLKUPTkcUwcyNx8o7OW4xJ+lYaj9cEt4PMs+xNWuw5LXQ4&#10;0kdHzak+Ww2ovlSj1GY6IPs55+3qc5t/a/38NK0WICJN8R7+b2+MhjybK/h7k5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jIF3EAAAA3QAAAA8AAAAAAAAAAAAAAAAA&#10;nwIAAGRycy9kb3ducmV2LnhtbFBLBQYAAAAABAAEAPcAAACQAwAAAAA=&#10;">
                  <v:imagedata r:id="rId144" o:title=""/>
                </v:shape>
                <v:shape id="Picture 2" o:spid="_x0000_s1038" type="#_x0000_t75" style="position:absolute;left:76948;top:19506;width:21752;height:249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HSPFAAAA3QAAAA8AAABkcnMvZG93bnJldi54bWxEj91qwkAUhO+FvsNyCt7VTQP+pa5SRUEQ&#10;gto+wCF7mqTNng3Z1SQ+vSsUvBxm5htmsepMJa7UuNKygvdRBII4s7rkXMH31+5tBsJ5ZI2VZVLQ&#10;k4PV8mWwwETblk90PftcBAi7BBUU3teJlC4ryKAb2Zo4eD+2MeiDbHKpG2wD3FQyjqKJNFhyWCiw&#10;pk1B2d/5YhSk7Twu07HZ3o49H9Lf+Uavfa/U8LX7/ADhqfPP8H97rxXE0XQMjzfh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R0jxQAAAN0AAAAPAAAAAAAAAAAAAAAA&#10;AJ8CAABkcnMvZG93bnJldi54bWxQSwUGAAAAAAQABAD3AAAAkQMAAAAA&#10;">
                  <v:imagedata r:id="rId145" o:title="" grayscale="t"/>
                </v:shape>
                <v:line id="Прямая соединительная линия 2076" o:spid="_x0000_s1039" style="position:absolute;flip:y;visibility:visible;mso-wrap-style:square" from="0,17730" to="100298,2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AgdccAAADdAAAADwAAAGRycy9kb3ducmV2LnhtbESPQWvCQBSE7wX/w/IEb3VjDrakboII&#10;oigItQXt7TX7mg1m38bsatJ/3y0Uehxm5htmUQy2EXfqfO1YwWyagCAuna65UvD+tn58BuEDssbG&#10;MSn4Jg9FPnpYYKZdz690P4ZKRAj7DBWYENpMSl8asuinriWO3pfrLIYou0rqDvsIt41Mk2QuLdYc&#10;Fwy2tDJUXo43q6C/7IybHc5t+rl0++uH3TSb1UmpyXhYvoAINIT/8F97qxWkydMcft/EJy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0CB1xwAAAN0AAAAPAAAAAAAA&#10;AAAAAAAAAKECAABkcnMvZG93bnJldi54bWxQSwUGAAAAAAQABAD5AAAAlQMAAAAA&#10;" strokecolor="#58acc8" strokeweight="4.5pt"/>
                <v:rect id="Прямоугольник 2077" o:spid="_x0000_s1040" style="position:absolute;left:-1339;top:25344;width:79014;height:23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pRscA&#10;AADdAAAADwAAAGRycy9kb3ducmV2LnhtbESPT2vCQBTE7wW/w/IEL6Vu9KAlzUZEEEMRpPHP+ZF9&#10;TUKzb2N2TdJv3y0Uehxm5jdMshlNI3rqXG1ZwWIegSAurK65VHA5719eQTiPrLGxTAq+ycEmnTwl&#10;GGs78Af1uS9FgLCLUUHlfRtL6YqKDLq5bYmD92k7gz7IrpS6wyHATSOXUbSSBmsOCxW2tKuo+Mof&#10;RsFQnPrb+XiQp+dbZvme3Xf59V2p2XTcvoHwNPr/8F870wqW0XoNv2/CE5D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LaUbHAAAA3QAAAA8AAAAAAAAAAAAAAAAAmAIAAGRy&#10;cy9kb3ducmV2LnhtbFBLBQYAAAAABAAEAPUAAACMAwAAAAA=&#10;" filled="f" stroked="f">
                  <v:textbox>
                    <w:txbxContent>
                      <w:p>
                        <w:pPr>
                          <w:pStyle w:val="a5"/>
                          <w:numPr>
                            <w:ilvl w:val="0"/>
                            <w:numId w:val="41"/>
                          </w:numPr>
                          <w:tabs>
                            <w:tab w:val="clear" w:pos="720"/>
                            <w:tab w:val="num" w:pos="993"/>
                          </w:tabs>
                          <w:spacing w:after="0" w:line="240" w:lineRule="auto"/>
                          <w:ind w:left="426" w:hanging="437"/>
                          <w:jc w:val="both"/>
                          <w:textAlignment w:val="baseline"/>
                          <w:rPr>
                            <w:rFonts w:ascii="Times New Roman" w:eastAsia="Times New Roman" w:hAnsi="Times New Roman"/>
                            <w:sz w:val="18"/>
                            <w:szCs w:val="18"/>
                          </w:rPr>
                        </w:pPr>
                        <w:r>
                          <w:rPr>
                            <w:rFonts w:ascii="Times New Roman" w:hAnsi="Times New Roman"/>
                            <w:color w:val="000000" w:themeColor="text1"/>
                            <w:kern w:val="24"/>
                            <w:sz w:val="18"/>
                            <w:szCs w:val="18"/>
                          </w:rPr>
                          <w:t>Уменьшение числа аудиторских организаций, осуществляющих обязательный аудит бухгалтерской (финансовой) отчетности общественно значимых организаций (</w:t>
                        </w:r>
                        <w:proofErr w:type="gramStart"/>
                        <w:r>
                          <w:rPr>
                            <w:rFonts w:ascii="Times New Roman" w:hAnsi="Times New Roman"/>
                            <w:color w:val="000000" w:themeColor="text1"/>
                            <w:kern w:val="24"/>
                            <w:sz w:val="18"/>
                            <w:szCs w:val="18"/>
                          </w:rPr>
                          <w:t>на конец</w:t>
                        </w:r>
                        <w:proofErr w:type="gramEnd"/>
                        <w:r>
                          <w:rPr>
                            <w:rFonts w:ascii="Times New Roman" w:hAnsi="Times New Roman"/>
                            <w:color w:val="000000" w:themeColor="text1"/>
                            <w:kern w:val="24"/>
                            <w:sz w:val="18"/>
                            <w:szCs w:val="18"/>
                          </w:rPr>
                          <w:t xml:space="preserve"> 2012 года – 1033, 2013 года – 924, 2014 года – 800 и 2015 года – 743 </w:t>
                        </w:r>
                        <w:r>
                          <w:rPr>
                            <w:rFonts w:ascii="Times New Roman" w:hAnsi="Times New Roman"/>
                            <w:color w:val="000000"/>
                            <w:kern w:val="24"/>
                            <w:sz w:val="18"/>
                            <w:szCs w:val="18"/>
                          </w:rPr>
                          <w:t>аудиторских организаций)</w:t>
                        </w:r>
                      </w:p>
                      <w:p>
                        <w:pPr>
                          <w:pStyle w:val="a5"/>
                          <w:numPr>
                            <w:ilvl w:val="0"/>
                            <w:numId w:val="41"/>
                          </w:numPr>
                          <w:tabs>
                            <w:tab w:val="clear" w:pos="720"/>
                            <w:tab w:val="num" w:pos="993"/>
                          </w:tabs>
                          <w:spacing w:after="0" w:line="240" w:lineRule="auto"/>
                          <w:ind w:left="426" w:hanging="437"/>
                          <w:jc w:val="both"/>
                          <w:textAlignment w:val="baseline"/>
                          <w:rPr>
                            <w:rFonts w:ascii="Times New Roman" w:eastAsia="Times New Roman" w:hAnsi="Times New Roman"/>
                            <w:sz w:val="18"/>
                            <w:szCs w:val="18"/>
                          </w:rPr>
                        </w:pPr>
                        <w:r>
                          <w:rPr>
                            <w:rFonts w:ascii="Times New Roman" w:hAnsi="Times New Roman"/>
                            <w:color w:val="000000" w:themeColor="text1"/>
                            <w:kern w:val="24"/>
                            <w:sz w:val="18"/>
                            <w:szCs w:val="18"/>
                          </w:rPr>
                          <w:t xml:space="preserve">Требования Федерального закона </w:t>
                        </w:r>
                        <w:r>
                          <w:rPr>
                            <w:rFonts w:ascii="Times New Roman" w:hAnsi="Times New Roman"/>
                            <w:sz w:val="18"/>
                            <w:szCs w:val="18"/>
                          </w:rPr>
                          <w:t xml:space="preserve">от 26 декабря 2008 г. </w:t>
                        </w:r>
                        <w:r>
                          <w:rPr>
                            <w:rFonts w:ascii="Times New Roman" w:hAnsi="Times New Roman"/>
                            <w:color w:val="000000" w:themeColor="text1"/>
                            <w:kern w:val="24"/>
                            <w:sz w:val="18"/>
                            <w:szCs w:val="18"/>
                          </w:rPr>
                          <w:t xml:space="preserve">№ 294-ФЗ </w:t>
                        </w:r>
                        <w:r>
                          <w:rPr>
                            <w:rFonts w:ascii="Times New Roman" w:hAnsi="Times New Roman"/>
                            <w:sz w:val="18"/>
                            <w:szCs w:val="18"/>
                          </w:rPr>
                          <w:t>«О защите прав юридических лиц и индивидуальных предпринимателей при осуществлении государственного контроля (надзора) и муниципального контроля»</w:t>
                        </w:r>
                        <w:r>
                          <w:rPr>
                            <w:rFonts w:ascii="Times New Roman" w:hAnsi="Times New Roman"/>
                            <w:color w:val="000000" w:themeColor="text1"/>
                            <w:kern w:val="24"/>
                            <w:sz w:val="18"/>
                            <w:szCs w:val="18"/>
                          </w:rPr>
                          <w:t>, устанавливающего периодичность проведения проверок один раз в 3 года.</w:t>
                        </w:r>
                      </w:p>
                    </w:txbxContent>
                  </v:textbox>
                </v:rect>
                <v:rect id="Прямоугольник 2078" o:spid="_x0000_s1041" style="position:absolute;left:26573;top:633;width:71247;height:18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9NMQA&#10;AADdAAAADwAAAGRycy9kb3ducmV2LnhtbERPTWuDQBC9F/IflgnkUpo1HtpgsglFCJVQkJo058Gd&#10;qNSdVXer9t93D4UeH+97f5xNK0YaXGNZwWYdgSAurW64UnC9nJ62IJxH1thaJgU/5OB4WDzsMdF2&#10;4g8aC1+JEMIuQQW1910ipStrMujWtiMO3N0OBn2AQyX1gFMIN62Mo+hZGmw4NNTYUVpT+VV8GwVT&#10;mY+3y/ubzB9vmeU+69Pi86zUajm/7kB4mv2/+M+daQVx9BLmhjfh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U/TTEAAAA3QAAAA8AAAAAAAAAAAAAAAAAmAIAAGRycy9k&#10;b3ducmV2LnhtbFBLBQYAAAAABAAEAPUAAACJAwAAAAA=&#10;" filled="f" stroked="f">
                  <v:textbox>
                    <w:txbxContent>
                      <w:p>
                        <w:pPr>
                          <w:pStyle w:val="aff"/>
                          <w:spacing w:before="0" w:beforeAutospacing="0" w:after="0"/>
                          <w:jc w:val="both"/>
                          <w:textAlignment w:val="baseline"/>
                          <w:rPr>
                            <w:sz w:val="18"/>
                            <w:szCs w:val="18"/>
                          </w:rPr>
                        </w:pPr>
                        <w:r>
                          <w:rPr>
                            <w:color w:val="000000" w:themeColor="text1"/>
                            <w:kern w:val="24"/>
                            <w:sz w:val="18"/>
                            <w:szCs w:val="18"/>
                          </w:rPr>
                          <w:t xml:space="preserve">До 1 сентября 2016 года подготовлены и направлены в соответствующие органы прокуратуры проекты планов проверок на 2017 год (в разрезе ЦАФК и ТОФК), которые </w:t>
                        </w:r>
                        <w:r>
                          <w:rPr>
                            <w:sz w:val="18"/>
                            <w:szCs w:val="18"/>
                          </w:rPr>
                          <w:t xml:space="preserve">своевременно размещены на сайтах </w:t>
                        </w:r>
                        <w:r>
                          <w:rPr>
                            <w:color w:val="000000" w:themeColor="text1"/>
                            <w:kern w:val="24"/>
                            <w:sz w:val="18"/>
                            <w:szCs w:val="18"/>
                          </w:rPr>
                          <w:t xml:space="preserve">соответствующих органов прокуратуры </w:t>
                        </w:r>
                        <w:r>
                          <w:rPr>
                            <w:sz w:val="18"/>
                            <w:szCs w:val="18"/>
                          </w:rPr>
                          <w:t>и Федерального казначейства.</w:t>
                        </w:r>
                      </w:p>
                      <w:p>
                        <w:pPr>
                          <w:pStyle w:val="aff"/>
                          <w:spacing w:before="0" w:beforeAutospacing="0" w:after="0"/>
                          <w:jc w:val="both"/>
                          <w:textAlignment w:val="baseline"/>
                          <w:rPr>
                            <w:sz w:val="18"/>
                            <w:szCs w:val="18"/>
                          </w:rPr>
                        </w:pPr>
                        <w:r>
                          <w:rPr>
                            <w:sz w:val="18"/>
                            <w:szCs w:val="18"/>
                          </w:rPr>
                          <w:t>Н</w:t>
                        </w:r>
                        <w:r>
                          <w:rPr>
                            <w:color w:val="000000" w:themeColor="text1"/>
                            <w:kern w:val="24"/>
                            <w:sz w:val="18"/>
                            <w:szCs w:val="18"/>
                          </w:rPr>
                          <w:t>а 2017 год предусмотрено проведение 260 проверок внешнего контроля качества работы аудиторских организаций.</w:t>
                        </w:r>
                      </w:p>
                    </w:txbxContent>
                  </v:textbox>
                </v:rect>
                <w10:wrap type="square"/>
              </v:group>
            </w:pict>
          </mc:Fallback>
        </mc:AlternateContent>
      </w:r>
      <w:r>
        <w:rPr>
          <w:rFonts w:ascii="Times New Roman" w:hAnsi="Times New Roman"/>
          <w:color w:val="000000" w:themeColor="text1"/>
          <w:sz w:val="28"/>
          <w:szCs w:val="28"/>
        </w:rPr>
        <w:t>Рисунок 19</w:t>
      </w:r>
    </w:p>
    <w:p>
      <w:pPr>
        <w:ind w:firstLine="709"/>
        <w:jc w:val="right"/>
        <w:rPr>
          <w:rFonts w:ascii="Times New Roman" w:hAnsi="Times New Roman"/>
          <w:color w:val="000000" w:themeColor="text1"/>
          <w:szCs w:val="28"/>
        </w:rPr>
      </w:pPr>
    </w:p>
    <w:p>
      <w:pPr>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Информация о Планах проверок, обновленный перечень актов, которыми Федеральное казначейство руководствуется в своей деятельности и перечень НПА, содержащих обязательные требования, оценка соблюдения которых является предметом надзора в сфере ВККР АО, размещены на </w:t>
      </w:r>
      <w:r>
        <w:rPr>
          <w:rFonts w:ascii="Times New Roman" w:eastAsiaTheme="minorHAnsi" w:hAnsi="Times New Roman"/>
          <w:color w:val="000000" w:themeColor="text1"/>
          <w:sz w:val="28"/>
          <w:szCs w:val="28"/>
        </w:rPr>
        <w:t xml:space="preserve">Официальном сайте </w:t>
      </w:r>
      <w:hyperlink r:id="rId146" w:history="1">
        <w:r>
          <w:rPr>
            <w:rFonts w:ascii="Times New Roman" w:eastAsiaTheme="minorHAnsi" w:hAnsi="Times New Roman"/>
            <w:color w:val="000000" w:themeColor="text1"/>
            <w:sz w:val="28"/>
            <w:szCs w:val="28"/>
          </w:rPr>
          <w:t>www.roskazna.ru</w:t>
        </w:r>
      </w:hyperlink>
      <w:r>
        <w:rPr>
          <w:rFonts w:ascii="Times New Roman" w:hAnsi="Times New Roman"/>
          <w:color w:val="000000" w:themeColor="text1"/>
          <w:sz w:val="28"/>
          <w:szCs w:val="28"/>
        </w:rPr>
        <w:t>.</w:t>
      </w:r>
    </w:p>
    <w:p>
      <w:pPr>
        <w:pStyle w:val="3"/>
        <w:keepNext w:val="0"/>
        <w:keepLines w:val="0"/>
        <w:spacing w:before="120" w:after="120" w:line="240" w:lineRule="auto"/>
        <w:ind w:firstLine="709"/>
        <w:jc w:val="both"/>
        <w:rPr>
          <w:rFonts w:ascii="Times New Roman" w:hAnsi="Times New Roman" w:cs="Times New Roman"/>
          <w:i/>
          <w:color w:val="000000" w:themeColor="text1"/>
          <w:sz w:val="28"/>
          <w:szCs w:val="28"/>
        </w:rPr>
      </w:pPr>
      <w:r>
        <w:rPr>
          <w:rFonts w:ascii="Times New Roman" w:eastAsia="Calibri" w:hAnsi="Times New Roman" w:cs="Times New Roman"/>
          <w:bCs w:val="0"/>
          <w:color w:val="000000" w:themeColor="text1"/>
          <w:sz w:val="28"/>
          <w:szCs w:val="28"/>
        </w:rPr>
        <w:t>3.2.2. </w:t>
      </w:r>
      <w:r>
        <w:rPr>
          <w:rFonts w:ascii="Times New Roman" w:hAnsi="Times New Roman" w:cs="Times New Roman"/>
          <w:color w:val="000000" w:themeColor="text1"/>
          <w:sz w:val="28"/>
          <w:szCs w:val="28"/>
        </w:rPr>
        <w:t>Совершенствование функции по внешнему контролю качества работы аудиторских организаций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ВККР АО является одним из важнейших элементов системы обеспечения качества аудиторских услуг. Наличие независимого </w:t>
      </w:r>
      <w:r>
        <w:rPr>
          <w:rFonts w:ascii="Times New Roman" w:hAnsi="Times New Roman"/>
          <w:color w:val="000000" w:themeColor="text1"/>
          <w:sz w:val="28"/>
          <w:szCs w:val="28"/>
        </w:rPr>
        <w:br/>
        <w:t xml:space="preserve">от аудиторской профессии государственного органа, уполномоченного </w:t>
      </w:r>
      <w:r>
        <w:rPr>
          <w:rFonts w:ascii="Times New Roman" w:hAnsi="Times New Roman"/>
          <w:color w:val="000000" w:themeColor="text1"/>
          <w:sz w:val="28"/>
          <w:szCs w:val="28"/>
        </w:rPr>
        <w:br/>
        <w:t xml:space="preserve">на осуществление функции по внешнему контролю качества аудиторской деятельности в отношении аудиторских организаций, оказывающих услуги общественно значимым хозяйствующим субъектам, является одним </w:t>
      </w:r>
      <w:r>
        <w:rPr>
          <w:rFonts w:ascii="Times New Roman" w:hAnsi="Times New Roman"/>
          <w:color w:val="000000" w:themeColor="text1"/>
          <w:sz w:val="28"/>
          <w:szCs w:val="28"/>
        </w:rPr>
        <w:br/>
        <w:t xml:space="preserve">из ключевых требований к эффективной системе регулирования аудиторской деятельности, обеспечивающей прозрачность экономики благодаря заслуживающему доверия, независимому подтверждению достоверности финансовой отчетности хозяйствующих субъектов.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Функция ВККР</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АО осуществляется уполномоченным государственным органом в Российской Федерации с 2012 года, постоянно совершенствуясь, в том числе благодаря изменениям в экономике и иных сферах.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этой связи в 2016 году был предпринят комплекс правовых </w:t>
      </w:r>
      <w:r>
        <w:rPr>
          <w:rFonts w:ascii="Times New Roman" w:hAnsi="Times New Roman"/>
          <w:color w:val="000000" w:themeColor="text1"/>
          <w:sz w:val="28"/>
          <w:szCs w:val="28"/>
        </w:rPr>
        <w:br/>
        <w:t>и организационно-распорядительных мер, наиболее значимыми из которых являются следующие.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Во исполнение Плана мероприятий по исполнению поручения Президента Российской Федерации от 19 декабря 2015</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г. №</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Пр-2629, утвержденного Минфином России 19 февраля 2016 года: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подготовлены и направлены в Минфин России предложения</w:t>
      </w:r>
      <w:r>
        <w:rPr>
          <w:rFonts w:ascii="Times New Roman" w:hAnsi="Times New Roman"/>
          <w:color w:val="000000" w:themeColor="text1"/>
          <w:sz w:val="28"/>
          <w:szCs w:val="28"/>
        </w:rPr>
        <w:br/>
        <w:t>в проект концепции дальнейшего развития аудиторской деятельности</w:t>
      </w:r>
      <w:r>
        <w:rPr>
          <w:rFonts w:ascii="Times New Roman" w:hAnsi="Times New Roman"/>
          <w:color w:val="000000" w:themeColor="text1"/>
          <w:sz w:val="28"/>
          <w:szCs w:val="28"/>
        </w:rPr>
        <w:br/>
        <w:t>в Российской Федерации (одобрена Советом по аудиторской деятельности 23 июня 2016 года). Подготовлены предложения по разработке плана реализации Концепции дальнейшего развития аудиторской деятельности Российской Федерации;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в рамках совершенствования института ответственности аудиторов и аудиторских организаций за нарушение НПА Российской Федерации, регулирующих аудиторскую деятельность, в том числе в части ответственности за выдачу заведомо ложных аудиторских заключений, было принято участие в работе по обсуждению проекта федерального </w:t>
      </w:r>
      <w:r>
        <w:rPr>
          <w:rFonts w:ascii="Times New Roman" w:hAnsi="Times New Roman"/>
          <w:color w:val="000000" w:themeColor="text1"/>
          <w:sz w:val="28"/>
          <w:szCs w:val="28"/>
        </w:rPr>
        <w:lastRenderedPageBreak/>
        <w:t>закона №</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957581-6 «Кодекс Российской Федерации об административных правонарушениях», а также разработаны и направлены в Минфин России предложения о внесении изменений в Уголовный кодекс Российской Федерации;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подготовлен Временный классификатор нарушений и недостатков, выявляемых в ходе внешнего контроля качества работы аудиторских организаций, аудиторов (одобрен Советом по аудиторской деятельности </w:t>
      </w:r>
      <w:r>
        <w:rPr>
          <w:rFonts w:ascii="Times New Roman" w:hAnsi="Times New Roman"/>
          <w:color w:val="000000" w:themeColor="text1"/>
          <w:sz w:val="28"/>
          <w:szCs w:val="28"/>
        </w:rPr>
        <w:br/>
        <w:t>15 декабря 2016 года). Для целей работы над документом с привлечением представителей профессионального сообщества и саморегулируемых организаций аудиторов приказом Федерального казначейства от 21 октября 2016</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г. №</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388 была создана рабочая группа, которая продолжает свою работу и готовит предложения по дополнению указанного классификатора </w:t>
      </w:r>
      <w:r>
        <w:rPr>
          <w:rFonts w:ascii="Times New Roman" w:hAnsi="Times New Roman"/>
          <w:color w:val="000000" w:themeColor="text1"/>
          <w:sz w:val="28"/>
          <w:szCs w:val="28"/>
        </w:rPr>
        <w:br/>
        <w:t>с учетом требований Международных стандартов аудита.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В 2016 году подготовлены и направлены в Минфин России предложения по совершенствованию НПА, регулирующих аудиторскую деятельность: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проект приказа Минфина России «О внесении изменений в приказ Министерства финансов Российской Федерации от 11 января 2013</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г. №</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 xml:space="preserve">3н «Об утверждении Административного регламента исполнения Федеральной службой финансово-бюджетного надзора государственной функции </w:t>
      </w:r>
      <w:r>
        <w:rPr>
          <w:rFonts w:ascii="Times New Roman" w:hAnsi="Times New Roman"/>
          <w:color w:val="000000" w:themeColor="text1"/>
          <w:sz w:val="28"/>
          <w:szCs w:val="28"/>
        </w:rPr>
        <w:br/>
        <w:t xml:space="preserve">по внешнему контролю качества работы аудиторских организаций, определенных Федеральным законом </w:t>
      </w:r>
      <w:r>
        <w:rPr>
          <w:rFonts w:ascii="Times New Roman" w:hAnsi="Times New Roman"/>
          <w:color w:val="000000" w:themeColor="text1"/>
          <w:sz w:val="28"/>
        </w:rPr>
        <w:t>№ 307-ФЗ</w:t>
      </w:r>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предложения по внесению изменений в Федеральный закон </w:t>
      </w:r>
      <w:r>
        <w:rPr>
          <w:rFonts w:ascii="Times New Roman" w:hAnsi="Times New Roman"/>
          <w:color w:val="000000" w:themeColor="text1"/>
          <w:sz w:val="28"/>
          <w:szCs w:val="28"/>
        </w:rPr>
        <w:br/>
      </w:r>
      <w:r>
        <w:rPr>
          <w:rFonts w:ascii="Times New Roman" w:hAnsi="Times New Roman"/>
          <w:color w:val="000000" w:themeColor="text1"/>
          <w:sz w:val="28"/>
        </w:rPr>
        <w:t>№ 307-ФЗ</w:t>
      </w:r>
      <w:r>
        <w:rPr>
          <w:rFonts w:ascii="Times New Roman" w:hAnsi="Times New Roman"/>
          <w:color w:val="000000" w:themeColor="text1"/>
          <w:sz w:val="28"/>
          <w:szCs w:val="28"/>
        </w:rPr>
        <w:t xml:space="preserve"> и Федеральный закон от 26 декабря 2008 г. № 294-ФЗ «О защите прав юридических лиц и индивидуальных предпринимателей </w:t>
      </w:r>
      <w:r>
        <w:rPr>
          <w:rFonts w:ascii="Times New Roman" w:hAnsi="Times New Roman"/>
          <w:color w:val="000000" w:themeColor="text1"/>
          <w:sz w:val="28"/>
          <w:szCs w:val="28"/>
        </w:rPr>
        <w:br/>
        <w:t xml:space="preserve">при осуществлении государственного контроля (надзора) и муниципального контроля». Правительством Российской Федерации в Государственную Думу Федерального собрания Российской Федерации внесен соответствующий проект (№ 1132191-6), который был принят в первом чтении. Указанный законопроект направлен на повышение результативности ВККР АО и включение основной части норм, определяющих организацию и проведение проверок, в отраслевое законодательство. В соответствии с письмом Аппарата Правительства Российской Федерации от 12 декабря 2016 г. № П13-63079 подготовлены предложения по внесению изменений в законопроект, направленные </w:t>
      </w:r>
      <w:r>
        <w:rPr>
          <w:rFonts w:ascii="Times New Roman" w:hAnsi="Times New Roman"/>
          <w:color w:val="000000" w:themeColor="text1"/>
          <w:sz w:val="28"/>
          <w:szCs w:val="28"/>
        </w:rPr>
        <w:br/>
        <w:t xml:space="preserve">на </w:t>
      </w:r>
      <w:r>
        <w:rPr>
          <w:rFonts w:ascii="Times New Roman" w:hAnsi="Times New Roman"/>
          <w:bCs/>
          <w:color w:val="000000" w:themeColor="text1"/>
          <w:sz w:val="28"/>
          <w:szCs w:val="28"/>
        </w:rPr>
        <w:t>обеспечение единообразного применения норм федеральных законов</w:t>
      </w:r>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заключение о рассмотрении предложений Банка России </w:t>
      </w:r>
      <w:r>
        <w:rPr>
          <w:rFonts w:ascii="Times New Roman" w:hAnsi="Times New Roman"/>
          <w:color w:val="000000" w:themeColor="text1"/>
          <w:sz w:val="28"/>
          <w:szCs w:val="28"/>
        </w:rPr>
        <w:br/>
        <w:t xml:space="preserve">по внесению изменений в </w:t>
      </w:r>
      <w:r>
        <w:rPr>
          <w:rFonts w:ascii="Times New Roman" w:hAnsi="Times New Roman"/>
          <w:color w:val="000000" w:themeColor="text1"/>
          <w:sz w:val="28"/>
        </w:rPr>
        <w:t>Федеральный закон № 307-ФЗ</w:t>
      </w:r>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предложения в части введения института погашения мер воздействия, примененных в отношении аудиторской организации, </w:t>
      </w:r>
      <w:r>
        <w:rPr>
          <w:rFonts w:ascii="Times New Roman" w:hAnsi="Times New Roman"/>
          <w:color w:val="000000" w:themeColor="text1"/>
          <w:sz w:val="28"/>
          <w:szCs w:val="28"/>
        </w:rPr>
        <w:lastRenderedPageBreak/>
        <w:t xml:space="preserve">аудитора (решение по вопросу введения института погашения мер воздействия приняты на заседании Рабочего органа Совета по аудиторской деятельности 5 июля 2016 года и Совета по аудиторской деятельности </w:t>
      </w:r>
      <w:r>
        <w:rPr>
          <w:rFonts w:ascii="Times New Roman" w:hAnsi="Times New Roman"/>
          <w:color w:val="000000" w:themeColor="text1"/>
          <w:sz w:val="28"/>
          <w:szCs w:val="28"/>
        </w:rPr>
        <w:br/>
        <w:t xml:space="preserve">22 сентября 2016 года);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 порядка применения Федеральным казначейством мер воздействия в отношении аудиторских организаций (одобрен 7 февраля 2017 года Рабочим органом Совета по аудиторской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Во исполнение поручений Правительства Российской Федерации, Генеральной прокуратуры Российской Федерации и обращений иных государственных органов проведена работа по следующим значимым направлениям осуществления ВККР АО, в том числе с привлечением </w:t>
      </w:r>
      <w:r>
        <w:rPr>
          <w:rFonts w:ascii="Times New Roman" w:hAnsi="Times New Roman"/>
          <w:color w:val="000000" w:themeColor="text1"/>
          <w:sz w:val="28"/>
          <w:szCs w:val="28"/>
        </w:rPr>
        <w:br/>
        <w:t>по ряду вопросов представителей аудиторского сообщества – саморегулируемых организаций аудиторов: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издан приказ Федерального казначейства от 27 октября 2016 г. № 403 «О создании Рабочей группы по подготовке перечня правовых актов и их отдельных частей (положений), содержащих обязательные требования, соблюдение которых оценивается при осуществлении внешнего контроля качества работы аудиторских организаций, указанных в части 3 статьи 5 Федерального закона № 307-ФЗ, а также подготовлен и размещен </w:t>
      </w:r>
      <w:r>
        <w:rPr>
          <w:rFonts w:ascii="Times New Roman" w:hAnsi="Times New Roman"/>
          <w:color w:val="000000" w:themeColor="text1"/>
          <w:sz w:val="28"/>
          <w:szCs w:val="28"/>
        </w:rPr>
        <w:br/>
        <w:t xml:space="preserve">на </w:t>
      </w:r>
      <w:r>
        <w:rPr>
          <w:rFonts w:ascii="Times New Roman" w:eastAsiaTheme="minorHAnsi" w:hAnsi="Times New Roman"/>
          <w:color w:val="000000" w:themeColor="text1"/>
          <w:sz w:val="28"/>
          <w:szCs w:val="28"/>
        </w:rPr>
        <w:t xml:space="preserve">Официальном сайте </w:t>
      </w:r>
      <w:hyperlink r:id="rId147" w:history="1">
        <w:r>
          <w:rPr>
            <w:rFonts w:ascii="Times New Roman" w:eastAsiaTheme="minorHAnsi" w:hAnsi="Times New Roman"/>
            <w:color w:val="000000" w:themeColor="text1"/>
            <w:sz w:val="28"/>
            <w:szCs w:val="28"/>
          </w:rPr>
          <w:t>www.roskazna.ru</w:t>
        </w:r>
      </w:hyperlink>
      <w:r>
        <w:rPr>
          <w:rFonts w:ascii="Times New Roman" w:hAnsi="Times New Roman"/>
          <w:color w:val="000000" w:themeColor="text1"/>
          <w:sz w:val="28"/>
          <w:szCs w:val="28"/>
        </w:rPr>
        <w:t xml:space="preserve"> соответствующий перечень;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соответствии с письмом Аппарата Правительства Российской Федерации от 14 октября 2016 г. № П36-51424 подготовлена информация </w:t>
      </w:r>
      <w:r>
        <w:rPr>
          <w:rFonts w:ascii="Times New Roman" w:hAnsi="Times New Roman"/>
          <w:color w:val="000000" w:themeColor="text1"/>
          <w:sz w:val="28"/>
          <w:szCs w:val="28"/>
        </w:rPr>
        <w:br/>
        <w:t>по совершенствованию контрольно-надзорной деятельности в Российской Федерации на 2016–2017 годы в части механизма досудебного (внесудебного) разрешения споров, возникающий в ходе и по итогам проведения мероприятий по контролю;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направлены письма в Минэкономразвития России о ходе исполнения мероприятий, предусмотренных «дорожной картой» </w:t>
      </w:r>
      <w:r>
        <w:rPr>
          <w:rFonts w:ascii="Times New Roman" w:hAnsi="Times New Roman"/>
          <w:color w:val="000000" w:themeColor="text1"/>
          <w:sz w:val="28"/>
          <w:szCs w:val="28"/>
        </w:rPr>
        <w:br/>
        <w:t>по совершенствованию контрольно-надзорной деятельности в Российской Федерации на 2016–2017 годы.</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Федеральное казначейство в течение 2016 года осуществляло взаимодействие с Министерством финансов Российской Федерации </w:t>
      </w:r>
      <w:r>
        <w:rPr>
          <w:rFonts w:ascii="Times New Roman" w:hAnsi="Times New Roman"/>
          <w:color w:val="000000" w:themeColor="text1"/>
          <w:sz w:val="28"/>
          <w:szCs w:val="28"/>
        </w:rPr>
        <w:br/>
        <w:t xml:space="preserve">по вопросам правового обеспечения ВККР АО. Представители Федерального казначейства на регулярной основе принимали участие </w:t>
      </w:r>
      <w:r>
        <w:rPr>
          <w:rFonts w:ascii="Times New Roman" w:hAnsi="Times New Roman"/>
          <w:color w:val="000000" w:themeColor="text1"/>
          <w:sz w:val="28"/>
          <w:szCs w:val="28"/>
        </w:rPr>
        <w:br/>
        <w:t xml:space="preserve">в заседаниях Совета по аудиторской деятельности и его рабочего органа.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оперативного получения информации в рамках осуществления ВККР АО согласованы проекты технологических карт межведомственного взаимодействия в электронном виде с ФНС России </w:t>
      </w:r>
      <w:r>
        <w:rPr>
          <w:rFonts w:ascii="Times New Roman" w:hAnsi="Times New Roman"/>
          <w:color w:val="000000" w:themeColor="text1"/>
          <w:sz w:val="28"/>
          <w:szCs w:val="28"/>
        </w:rPr>
        <w:br/>
        <w:t xml:space="preserve">и Росстатом России. Согласованные проекты технологических карт </w:t>
      </w:r>
      <w:r>
        <w:rPr>
          <w:rFonts w:ascii="Times New Roman" w:hAnsi="Times New Roman"/>
          <w:color w:val="000000" w:themeColor="text1"/>
          <w:sz w:val="28"/>
          <w:szCs w:val="28"/>
        </w:rPr>
        <w:lastRenderedPageBreak/>
        <w:t xml:space="preserve">направлены на экспертизу в Минэкономразвития России и </w:t>
      </w:r>
      <w:proofErr w:type="spellStart"/>
      <w:r>
        <w:rPr>
          <w:rFonts w:ascii="Times New Roman" w:hAnsi="Times New Roman"/>
          <w:color w:val="000000" w:themeColor="text1"/>
          <w:sz w:val="28"/>
          <w:szCs w:val="28"/>
        </w:rPr>
        <w:t>Минкомсвязь</w:t>
      </w:r>
      <w:proofErr w:type="spellEnd"/>
      <w:r>
        <w:rPr>
          <w:rFonts w:ascii="Times New Roman" w:hAnsi="Times New Roman"/>
          <w:color w:val="000000" w:themeColor="text1"/>
          <w:sz w:val="28"/>
          <w:szCs w:val="28"/>
        </w:rPr>
        <w:t xml:space="preserve">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Федеральное казначейство в 2016 году непрерывно осуществляло взаимодействие с саморегулируемыми организациями аудиторов </w:t>
      </w:r>
      <w:r>
        <w:rPr>
          <w:rFonts w:ascii="Times New Roman" w:hAnsi="Times New Roman"/>
          <w:color w:val="000000" w:themeColor="text1"/>
          <w:sz w:val="28"/>
          <w:szCs w:val="28"/>
        </w:rPr>
        <w:br/>
        <w:t>по вопросам информационного обмена и методического обеспечения деятельности по организации ВККР АО.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Приказом Федерального казначейства от 30 июня 2016 г. № 236 создан Совет по организации внешнего контроля качества работы аудиторских организаций и 6 сентября и 25 ноября 2016 года проведены заседания с участием представителей Минфина России, Контрольного управления Президента Российской Федерации, Росимущества, Агентства по страхованию вкладов, Банка России, саморегулируемых организаций аудиторов. На заседаниях рассмотрены актуальные вопросы осуществления ВККР АО, в том числе эффективности его осуществления, нормативно-правового регулирования и перехода на международные стандарты аудита.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w:t>
      </w:r>
      <w:r>
        <w:rPr>
          <w:rFonts w:ascii="Times New Roman" w:eastAsiaTheme="minorHAnsi" w:hAnsi="Times New Roman"/>
          <w:color w:val="000000" w:themeColor="text1"/>
          <w:sz w:val="28"/>
          <w:szCs w:val="28"/>
        </w:rPr>
        <w:t xml:space="preserve">Официальном сайте </w:t>
      </w:r>
      <w:hyperlink r:id="rId148" w:history="1">
        <w:r>
          <w:rPr>
            <w:rFonts w:ascii="Times New Roman" w:eastAsiaTheme="minorHAnsi" w:hAnsi="Times New Roman"/>
            <w:color w:val="000000" w:themeColor="text1"/>
            <w:sz w:val="28"/>
            <w:szCs w:val="28"/>
          </w:rPr>
          <w:t>www.roskazna.ru</w:t>
        </w:r>
      </w:hyperlink>
      <w:r>
        <w:rPr>
          <w:rFonts w:ascii="Times New Roman" w:hAnsi="Times New Roman"/>
          <w:color w:val="000000" w:themeColor="text1"/>
          <w:sz w:val="28"/>
          <w:szCs w:val="28"/>
        </w:rPr>
        <w:t xml:space="preserve"> в разделе «Совет </w:t>
      </w:r>
      <w:r>
        <w:rPr>
          <w:rFonts w:ascii="Times New Roman" w:hAnsi="Times New Roman"/>
          <w:color w:val="000000" w:themeColor="text1"/>
          <w:sz w:val="28"/>
          <w:szCs w:val="28"/>
        </w:rPr>
        <w:br/>
        <w:t>по организации внешнего контроля качества работы аудиторских организаций» размещены регламентирующие документы и результаты деятельности совещательного органа.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Для обеспечения эффективного информационного взаимодействия, снижения двойной нагрузки на объекты надзора, а также для оперативного контроля исполнения мер воздействия, применяемых к аудиторским организациям, и снижения числа организаций, уклоняющихся от ВККР АО, были подписаны соглашения о сотрудничестве и информационном взаимодействии Федерального казначейства с саморегулируемой организацией (далее – СРО) аудиторов Некоммерческого партнерства «Российская Коллегия аудиторов», СРО Некоммерческого партнерства «Аудиторская Ассоциация Содружество», СРО Некоммерческого партнерства «Институт Профессиональных Аудиторов», СРО «Российский Союз аудиторов» (Ассоциация) и Государственной корпорацией «Агентство по страхованию вкладов».</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lastRenderedPageBreak/>
        <mc:AlternateContent>
          <mc:Choice Requires="wpg">
            <w:drawing>
              <wp:anchor distT="0" distB="0" distL="114300" distR="114300" simplePos="0" relativeHeight="251672576" behindDoc="0" locked="0" layoutInCell="1" allowOverlap="1">
                <wp:simplePos x="0" y="0"/>
                <wp:positionH relativeFrom="column">
                  <wp:posOffset>-78740</wp:posOffset>
                </wp:positionH>
                <wp:positionV relativeFrom="paragraph">
                  <wp:posOffset>584200</wp:posOffset>
                </wp:positionV>
                <wp:extent cx="5871210" cy="2369185"/>
                <wp:effectExtent l="0" t="0" r="0" b="0"/>
                <wp:wrapSquare wrapText="bothSides"/>
                <wp:docPr id="64" name="Группа 64"/>
                <wp:cNvGraphicFramePr/>
                <a:graphic xmlns:a="http://schemas.openxmlformats.org/drawingml/2006/main">
                  <a:graphicData uri="http://schemas.microsoft.com/office/word/2010/wordprocessingGroup">
                    <wpg:wgp>
                      <wpg:cNvGrpSpPr/>
                      <wpg:grpSpPr>
                        <a:xfrm>
                          <a:off x="0" y="0"/>
                          <a:ext cx="5871210" cy="2369185"/>
                          <a:chOff x="450" y="95510"/>
                          <a:chExt cx="10520099" cy="2908843"/>
                        </a:xfrm>
                      </wpg:grpSpPr>
                      <pic:pic xmlns:pic="http://schemas.openxmlformats.org/drawingml/2006/picture">
                        <pic:nvPicPr>
                          <pic:cNvPr id="65" name="Picture 2"/>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4261393" y="1089118"/>
                            <a:ext cx="1619423" cy="938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6" name="Группа 17"/>
                        <wpg:cNvGrpSpPr/>
                        <wpg:grpSpPr>
                          <a:xfrm>
                            <a:off x="450" y="164598"/>
                            <a:ext cx="4260943" cy="2839755"/>
                            <a:chOff x="338" y="149764"/>
                            <a:chExt cx="3195794" cy="2567092"/>
                          </a:xfrm>
                        </wpg:grpSpPr>
                        <wps:wsp>
                          <wps:cNvPr id="67" name="Скругленный прямоугольник 67"/>
                          <wps:cNvSpPr/>
                          <wps:spPr>
                            <a:xfrm rot="5400000">
                              <a:off x="314689" y="-164587"/>
                              <a:ext cx="2567092" cy="3195794"/>
                            </a:xfrm>
                            <a:prstGeom prst="roundRect">
                              <a:avLst>
                                <a:gd name="adj" fmla="val 0"/>
                              </a:avLst>
                            </a:prstGeom>
                            <a:solidFill>
                              <a:srgbClr val="E6E6E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vert="vert270" anchor="ctr"/>
                        </wps:wsp>
                        <wps:wsp>
                          <wps:cNvPr id="68" name="Прямоугольник 68"/>
                          <wps:cNvSpPr/>
                          <wps:spPr>
                            <a:xfrm>
                              <a:off x="185524" y="232176"/>
                              <a:ext cx="2743198" cy="545990"/>
                            </a:xfrm>
                            <a:prstGeom prst="rect">
                              <a:avLst/>
                            </a:prstGeom>
                            <a:solidFill>
                              <a:srgbClr val="A6A6A6">
                                <a:alpha val="91765"/>
                              </a:srgbClr>
                            </a:solidFill>
                            <a:ln/>
                            <a:effectLst/>
                          </wps:spPr>
                          <wps:style>
                            <a:lnRef idx="0">
                              <a:schemeClr val="accent3"/>
                            </a:lnRef>
                            <a:fillRef idx="3">
                              <a:schemeClr val="accent3"/>
                            </a:fillRef>
                            <a:effectRef idx="3">
                              <a:schemeClr val="accent3"/>
                            </a:effectRef>
                            <a:fontRef idx="minor">
                              <a:schemeClr val="lt1"/>
                            </a:fontRef>
                          </wps:style>
                          <wps:txbx>
                            <w:txbxContent>
                              <w:p>
                                <w:pPr>
                                  <w:pStyle w:val="aff"/>
                                  <w:spacing w:before="0" w:beforeAutospacing="0" w:after="0"/>
                                  <w:jc w:val="center"/>
                                  <w:textAlignment w:val="baseline"/>
                                  <w:rPr>
                                    <w:sz w:val="18"/>
                                    <w:szCs w:val="18"/>
                                  </w:rPr>
                                </w:pPr>
                                <w:r>
                                  <w:rPr>
                                    <w:b/>
                                    <w:bCs/>
                                    <w:color w:val="FFFFFF"/>
                                    <w:kern w:val="24"/>
                                    <w:sz w:val="18"/>
                                    <w:szCs w:val="18"/>
                                  </w:rPr>
                                  <w:t>В Совет по организации ВККР АО включены представители СРО аудиторов</w:t>
                                </w:r>
                              </w:p>
                            </w:txbxContent>
                          </wps:txbx>
                          <wps:bodyPr lIns="77713" tIns="38856" rIns="77713" bIns="38856" anchor="ctr"/>
                        </wps:wsp>
                        <wps:wsp>
                          <wps:cNvPr id="69" name="Прямоугольник 69"/>
                          <wps:cNvSpPr/>
                          <wps:spPr>
                            <a:xfrm>
                              <a:off x="187108" y="778167"/>
                              <a:ext cx="2741613" cy="694686"/>
                            </a:xfrm>
                            <a:prstGeom prst="rect">
                              <a:avLst/>
                            </a:prstGeom>
                            <a:solidFill>
                              <a:srgbClr val="A6A6A6">
                                <a:alpha val="91765"/>
                              </a:srgbClr>
                            </a:solidFill>
                            <a:ln/>
                            <a:effectLst/>
                          </wps:spPr>
                          <wps:style>
                            <a:lnRef idx="0">
                              <a:schemeClr val="accent3"/>
                            </a:lnRef>
                            <a:fillRef idx="3">
                              <a:schemeClr val="accent3"/>
                            </a:fillRef>
                            <a:effectRef idx="3">
                              <a:schemeClr val="accent3"/>
                            </a:effectRef>
                            <a:fontRef idx="minor">
                              <a:schemeClr val="lt1"/>
                            </a:fontRef>
                          </wps:style>
                          <wps:txbx>
                            <w:txbxContent>
                              <w:p>
                                <w:pPr>
                                  <w:pStyle w:val="aff"/>
                                  <w:spacing w:before="0" w:beforeAutospacing="0" w:after="0"/>
                                  <w:jc w:val="center"/>
                                  <w:textAlignment w:val="baseline"/>
                                  <w:rPr>
                                    <w:sz w:val="18"/>
                                    <w:szCs w:val="18"/>
                                  </w:rPr>
                                </w:pPr>
                                <w:r>
                                  <w:rPr>
                                    <w:b/>
                                    <w:bCs/>
                                    <w:color w:val="FFFFFF"/>
                                    <w:kern w:val="24"/>
                                    <w:sz w:val="18"/>
                                    <w:szCs w:val="18"/>
                                  </w:rPr>
                                  <w:t>Подписаны соглашения о взаимодействии между Федеральным казначейством и СРО аудиторов</w:t>
                                </w:r>
                              </w:p>
                            </w:txbxContent>
                          </wps:txbx>
                          <wps:bodyPr lIns="77713" tIns="38856" rIns="77713" bIns="38856" anchor="ctr"/>
                        </wps:wsp>
                        <wps:wsp>
                          <wps:cNvPr id="72" name="Прямоугольник 72"/>
                          <wps:cNvSpPr/>
                          <wps:spPr>
                            <a:xfrm>
                              <a:off x="214052" y="1472852"/>
                              <a:ext cx="2776254" cy="576372"/>
                            </a:xfrm>
                            <a:prstGeom prst="rect">
                              <a:avLst/>
                            </a:prstGeom>
                            <a:solidFill>
                              <a:srgbClr val="A6A6A6">
                                <a:alpha val="91765"/>
                              </a:srgbClr>
                            </a:solidFill>
                            <a:ln/>
                            <a:effectLst/>
                          </wps:spPr>
                          <wps:style>
                            <a:lnRef idx="0">
                              <a:schemeClr val="accent3"/>
                            </a:lnRef>
                            <a:fillRef idx="3">
                              <a:schemeClr val="accent3"/>
                            </a:fillRef>
                            <a:effectRef idx="3">
                              <a:schemeClr val="accent3"/>
                            </a:effectRef>
                            <a:fontRef idx="minor">
                              <a:schemeClr val="lt1"/>
                            </a:fontRef>
                          </wps:style>
                          <wps:txbx>
                            <w:txbxContent>
                              <w:p>
                                <w:pPr>
                                  <w:pStyle w:val="aff"/>
                                  <w:spacing w:before="0" w:beforeAutospacing="0" w:after="0"/>
                                  <w:jc w:val="center"/>
                                  <w:textAlignment w:val="baseline"/>
                                  <w:rPr>
                                    <w:sz w:val="18"/>
                                    <w:szCs w:val="18"/>
                                  </w:rPr>
                                </w:pPr>
                                <w:r>
                                  <w:rPr>
                                    <w:b/>
                                    <w:bCs/>
                                    <w:color w:val="FFFFFF"/>
                                    <w:kern w:val="24"/>
                                    <w:sz w:val="18"/>
                                    <w:szCs w:val="18"/>
                                  </w:rPr>
                                  <w:t>Создана и осуществляет работу рабочая группа из представителей Федерального казначейства и СРО</w:t>
                                </w:r>
                              </w:p>
                            </w:txbxContent>
                          </wps:txbx>
                          <wps:bodyPr lIns="77713" tIns="38856" rIns="77713" bIns="38856" anchor="ctr"/>
                        </wps:wsp>
                      </wpg:grpSp>
                      <wpg:grpSp>
                        <wpg:cNvPr id="73" name="Группа 18"/>
                        <wpg:cNvGrpSpPr/>
                        <wpg:grpSpPr>
                          <a:xfrm>
                            <a:off x="6005593" y="95510"/>
                            <a:ext cx="4514956" cy="2856904"/>
                            <a:chOff x="6193900" y="86339"/>
                            <a:chExt cx="3386379" cy="2582594"/>
                          </a:xfrm>
                        </wpg:grpSpPr>
                        <wps:wsp>
                          <wps:cNvPr id="74" name="Скругленный прямоугольник 74"/>
                          <wps:cNvSpPr/>
                          <wps:spPr>
                            <a:xfrm rot="5400000">
                              <a:off x="6595793" y="-315554"/>
                              <a:ext cx="2582594" cy="3386379"/>
                            </a:xfrm>
                            <a:prstGeom prst="roundRect">
                              <a:avLst>
                                <a:gd name="adj" fmla="val 0"/>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vert="vert270" anchor="ctr"/>
                        </wps:wsp>
                        <wps:wsp>
                          <wps:cNvPr id="75" name="TextBox 13"/>
                          <wps:cNvSpPr txBox="1"/>
                          <wps:spPr>
                            <a:xfrm>
                              <a:off x="6542465" y="149120"/>
                              <a:ext cx="2743199" cy="601921"/>
                            </a:xfrm>
                            <a:prstGeom prst="rect">
                              <a:avLst/>
                            </a:prstGeom>
                            <a:noFill/>
                          </wps:spPr>
                          <wps:txbx>
                            <w:txbxContent>
                              <w:p>
                                <w:pPr>
                                  <w:pStyle w:val="aff"/>
                                  <w:spacing w:before="0" w:beforeAutospacing="0" w:after="0"/>
                                  <w:jc w:val="center"/>
                                  <w:textAlignment w:val="baseline"/>
                                  <w:rPr>
                                    <w:b/>
                                    <w:sz w:val="18"/>
                                    <w:szCs w:val="18"/>
                                  </w:rPr>
                                </w:pPr>
                                <w:r>
                                  <w:rPr>
                                    <w:rFonts w:ascii="Open Sans Condensed" w:hAnsi="Open Sans Condensed" w:cs="Arial"/>
                                    <w:b/>
                                    <w:color w:val="7F7F7F"/>
                                    <w:kern w:val="24"/>
                                    <w:sz w:val="18"/>
                                    <w:szCs w:val="18"/>
                                  </w:rPr>
                                  <w:t>ОСНОВНЫЕ НАПРАВЛЕНИЯ СОВЕРШЕНСТВОВАНИЯ ВЗАИМОДЕЙСТВИЯ</w:t>
                                </w:r>
                              </w:p>
                            </w:txbxContent>
                          </wps:txbx>
                          <wps:bodyPr wrap="square" rtlCol="0">
                            <a:noAutofit/>
                          </wps:bodyPr>
                        </wps:wsp>
                        <wps:wsp>
                          <wps:cNvPr id="76" name="Прямоугольник 76"/>
                          <wps:cNvSpPr/>
                          <wps:spPr bwMode="auto">
                            <a:xfrm>
                              <a:off x="6542464" y="730445"/>
                              <a:ext cx="2743200" cy="671328"/>
                            </a:xfrm>
                            <a:prstGeom prst="rect">
                              <a:avLst/>
                            </a:prstGeom>
                            <a:solidFill>
                              <a:srgbClr val="ECD6A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Координация деятельности при планировании проверок в целях исключения дублирования контрольных мероприятий</w:t>
                                </w:r>
                              </w:p>
                            </w:txbxContent>
                          </wps:txbx>
                          <wps:bodyPr lIns="77751" tIns="38876" rIns="77751" bIns="38876" anchor="ctr"/>
                        </wps:wsp>
                        <wps:wsp>
                          <wps:cNvPr id="77" name="Прямоугольник 77"/>
                          <wps:cNvSpPr/>
                          <wps:spPr bwMode="auto">
                            <a:xfrm>
                              <a:off x="6542464" y="1529763"/>
                              <a:ext cx="2743200" cy="445150"/>
                            </a:xfrm>
                            <a:prstGeom prst="rect">
                              <a:avLst/>
                            </a:prstGeom>
                            <a:solidFill>
                              <a:srgbClr val="ECD6A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Информационный обмен о результатах проверок и выявленных нарушений</w:t>
                                </w:r>
                              </w:p>
                            </w:txbxContent>
                          </wps:txbx>
                          <wps:bodyPr lIns="77751" tIns="38876" rIns="77751" bIns="38876" anchor="ctr"/>
                        </wps:wsp>
                        <wps:wsp>
                          <wps:cNvPr id="78" name="Прямоугольник 78"/>
                          <wps:cNvSpPr/>
                          <wps:spPr bwMode="auto">
                            <a:xfrm>
                              <a:off x="6543574" y="2031798"/>
                              <a:ext cx="2743200" cy="472621"/>
                            </a:xfrm>
                            <a:prstGeom prst="rect">
                              <a:avLst/>
                            </a:prstGeom>
                            <a:solidFill>
                              <a:srgbClr val="ECD6A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Единообразие применения мер воздействия</w:t>
                                </w:r>
                              </w:p>
                            </w:txbxContent>
                          </wps:txbx>
                          <wps:bodyPr lIns="77751" tIns="38876" rIns="77751" bIns="38876" anchor="ctr"/>
                        </wps:wsp>
                      </wpg:grpSp>
                    </wpg:wgp>
                  </a:graphicData>
                </a:graphic>
                <wp14:sizeRelH relativeFrom="margin">
                  <wp14:pctWidth>0</wp14:pctWidth>
                </wp14:sizeRelH>
                <wp14:sizeRelV relativeFrom="margin">
                  <wp14:pctHeight>0</wp14:pctHeight>
                </wp14:sizeRelV>
              </wp:anchor>
            </w:drawing>
          </mc:Choice>
          <mc:Fallback>
            <w:pict>
              <v:group id="Группа 64" o:spid="_x0000_s1042" style="position:absolute;left:0;text-align:left;margin-left:-6.2pt;margin-top:46pt;width:462.3pt;height:186.55pt;z-index:251672576;mso-width-relative:margin;mso-height-relative:margin" coordorigin="4,955" coordsize="105200,2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HqWXggAANYkAAAOAAAAZHJzL2Uyb0RvYy54bWzsWltu49gR/Q+QPRD6&#10;V4vvSwrtHrgluTFAJ2nMYwEURUnM8BWSsmwMAgSYzwmQjywgyA4CDALMe7ag3lFO1b0kRVl2y91x&#10;JgZswzJ5X7y3qs6pB/X8o6s00S6jsorz7GxgPNMHWpSF+SLOVmeDzz+7GHoDraqDbBEkeRadDa6j&#10;avDRi9/+5vm2GEdmvs6TRVRqWCSrxtvibLCu62I8GlXhOkqD6lleRBk6l3mZBjVuy9VoUQZbrJ4m&#10;I1PX3dE2LxdFmYdRVaF1KjsHL3j95TIK6z8sl1VUa8nZAHur+bPkzzl9jl48D8arMijWcai2EbzH&#10;LtIgzvDQdqlpUAfapoxvLJXGYZlX+bJ+FubpKF8u4zDiM+A0hn5wmldlvin4LKvxdlW0YoJoD+T0&#10;3suGv798U2rx4mzg2gMtC1LoaPf3t395+9XuF/z+S0MzZLQtVmMMfVUWnxZvStWwknd07KtlmdJ/&#10;HEi7Yulet9KNrmotRKPjCcM0oIQQfabl+obnSPmHayiJ5tkOutHrOw4Gsm7C9UzNN3QHGvd9tYCv&#10;e55t0aBR8/wRbbPdVRGHY/wpqeHqhtTebV2YVW/KaKAWSU9aIw3KLzbFEAougjqex0lcX7OxQpW0&#10;qezyTRy+KeXNngKcRgHopqdqJp2OZtAgOSWgI73Owy8qLcsn6yBbRedVATMH+FgW/eEjuu09b57E&#10;xUWcJKQtulYnAyQOTOqIcKS5TvNwk0ZZLfFXRgkOmWfVOi6qgVaOo3QewZzKjxcGIwLqf13V9Dgy&#10;BMbEl6Z3Dk2aL4cTR58MbV3Mhue+LYZCnwlbtz1jYkz+TLMNe7ypIpw3SKZFrPaK1hu7PQoARRUS&#10;WgxR7TJgIpBWgw2x9TRbhCGRSGivVRl+AqmyCVZ1GdXhmpqXkJxqx+C2g8XcSZaEXgEn2nz7u3wB&#10;RAWbOmdhHODENl3D8i22eUP3fMPwpNWTqAgzhmv4tokBhBnf8oTHcGwtHuZQVvWrKE81uoDYsWl+&#10;UnAJqctjNkPoAFlOyudjJVmvAWvKlkYa+wrzdX/mzTx7iB3PoLDpdHh+MbGH7oUhnKk1nUymRqOw&#10;dbxYRBk95sP1xarIk3jRmGxVruaTpJR6vOAfRQFVN2xEdtNto9ExLUaClTboG6atvzT94YXriaF9&#10;YTtDX+jeUDf8l76r2749vegf6XWcRR9+JG1L/GY6rKW9TZPN7Z1N55+bZwvGaVzDZSZxejbw2kHB&#10;eB0Fi1m2YNXWQZzI6z1R0PY7UUDdjaLZesle0Uumiz/J+EylLfk3fsJtaKrnJwxBe72nn2j43nBt&#10;xz8wfVia7oPgpbvwLF84h+7CshBdABiG7Qvpp4Jx5y8sw3eED6/G/sZxBRhHyVPCsO8utgUikKrh&#10;Q9ydxjEUfxzz3Z+ugyKCjmnZPY4XrfD+ufue3ew3ux92/979tPvp7de777TdL2j82+7H3c/wwN/s&#10;ft798Pav6Px2973mKgnzeq0brphpyLTpUFqZgwQcW9oFtSqPbBm268F1QlpDkrbHi0k8ENGYSj4s&#10;rEZykj4azmpopGGafJMtiAs7uqHnrRYqiggWfxxoyzRBOAXS1didw+iYl9gMm/Vo1u04mLn0ewwH&#10;x/kLSm1Ewlf1dQKrJ277JFoi0KGzSuhRiBm1XBKEIXyadFnVOlhEkmIckmTz9GYGb58XpJWlT1Br&#10;qwWakXKRZm0pTzWepkYcobYb0+/amJzczuAn51ndTk7jLC+PLZDgVOrJcjy2vycauqyv5lccBBo+&#10;DaWmeb64BuIR2sOg6NMUiM2CLFzniBXCuuQ1aSRAI6c8PHoAdxWi/uN2mDCP0MYAu1tgQsJTwEAQ&#10;6pggCQDDtExDsKnt4ULYQAOeSyTigKX8xhpug0UPEVLup1n6uUu/Ek1JsQ6k7fjYEvMesKMcBJtf&#10;DzFJhgc15qT8PklAkjpfHcHBHebWxNXHjdw6ZmbSyJuJtxv5CZMf2MhNViFJRRl58nEGthdCGHA3&#10;Nd9YnufA0ZX7PfP9nl8ZCaDydyOhBfOJSBCIQRkJQniGdDc9JCAaVf7Y9eFOGlZ+QsIxun8USGDP&#10;8KiRIMwTkIBByq2dhATTsFFrUKGlMD1cS35VWZkphGs6KrJ0hGvJ9cHQT1B4tFBoTeQhnEKXasgc&#10;6WhmJUCuRypwsiZwz8zK1XXHUZWFvWpaU1ewHeRM5OA4N4Kr83UuLFD+pGpxqDxYPmJfiow817LY&#10;mfTyKwvNoinHOZ7pINmSAY+EQXdoSi2JZR48QhRdEfPe+RXmvpMkbs2vXIeSTSiQEizLcBzQQ58z&#10;lIBkgqVEty+tm6Wch0uwjoHU5qAu2aQoWcnQE9VWmfsge9qkZBZcPeOig1I01+kpiToWk1JI2tab&#10;QI6UsD2lZ+NWZlKc90nPUAlUJvr/mJ6JtoD9GXjmZX6lIVzsQ0qrr9CuatWcl3DZqXOcKitzHdu0&#10;kfcQnMBUhgzZe8Eo0jLFPS5KdmaT476nB+7stNsVXbWZMXLEvui3eGl0Nqj+tAno/UBZJ5OcS8vS&#10;6s9R8V3GXIClZaS6lPn/7xJmZLONR7k9YZYpL+3yZnD0zgq2VJTMn4Wl27aq0TWOxkT+DB6RjsZF&#10;gmVyev4QodJsMnXP21S5qwY3de1OxU9U9OGVIhSw+3hok2jH2EuiyQLbJJp62iSaen7dJFp0xdg7&#10;0HFH1fVe6DAcE1VqJsQ+j7XwAHgMvACFWJ/ggbeZRKQHvvLxFFJNLo501K89QnicUm0Vd1RbT4GH&#10;5VDIDi9v6pYhDt8B9byHLUz3Q918r2rae9/25D3UCxBJPw9dgm1Z9TDb/m94jy7x5IiLvzzDpKq+&#10;6EPfztm/51Hd15Fe/A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yoPcbhAAAA&#10;CgEAAA8AAABkcnMvZG93bnJldi54bWxMj1FrwjAUhd8H+w/hDvamaTKVWZuKyLYnGUwHw7fYXNti&#10;k5QmtvXf7+5pPl7uxznfydajbViPXai9UyCmCTB0hTe1KxV8H94nr8BC1M7oxjtUcMMA6/zxIdOp&#10;8YP7wn4fS0YhLqRaQRVjm3IeigqtDlPfoqPf2XdWRzq7kptODxRuGy6TZMGtrh01VLrFbYXFZX+1&#10;Cj4GPWxexFu/u5y3t+Nh/vmzE6jU89O4WQGLOMZ/GP70SR1ycjr5qzOBNQomQs4IVbCUtImApZAS&#10;2EnBbDEXwPOM30/IfwEAAP//AwBQSwMECgAAAAAAAAAhAG3e/02oBwAAqAcAABQAAABkcnMvbWVk&#10;aWEvaW1hZ2UxLnBuZ4lQTkcNChoKAAAADUlIRFIAAABjAAAAZggDAAAA6CjfFAAAAAFzUkdCAkDA&#10;fcUAAAHaUExURe/csvHfuu/bse/bsPHfu+/ar/Dbse/aru/bsu7Zre7ZrO7YrO7Yq/DdtvDctPDc&#10;s+7Zq/HfufHet/DetvDdte7YqvDet+7XqfHeuO3Yqe3XqO7Yqe3Xp+3Wp+3Wpu7XqvHdt/Heuu7a&#10;r/HdtvHgvPLhvPLiv/LhvvLhvfHgu/LgvfTnyfTny/bq0Pfu2fLiwfnw3/jw3vjv3Pju2/jw3/ju&#10;2vft2Pfs1vfs1fbr0/bs1PXmyfjw3fbs1fbq0vbq0fXpz/XozvXozPXny/Xq0PXq0vbr1Pfr1fbr&#10;1fTnzPTmyPPjwvTmyfPlxvPkxfPkxPfu2vTmyvLiwPTlyPTnyvPjwfPkw/TlxvPiwPTmx/XnzPjv&#10;2/fr1PTlx/Xp0PPjxPPlxffs1/jv3f///v/+/f/+/v7+/P79/P79+/79+v78+f368/369f78+Pnx&#10;4P379/379vr06P369Pz58/7+/fz58vz58fz48Pz37/v37vv48Pz47/v27fv26/v27Pv16vr16f77&#10;9/r05/rz5vr05vv47/389/rz5Pny4/ny4vry5fnz4/jx4Pv16/379fnx4f/+/P789/v16fv37frz&#10;5fry5Pv37Pnx4v358vz37f38+f38+Pv37////39l8ekAAAAJcEhZcwAAIdYAACHWAakllfAAAAAZ&#10;dEVYdFNvZnR3YXJlAE1pY3Jvc29mdCBPZmZpY2V/7TVxAAAFQklEQVRo3u2Z6VcbVRjGgUJbYgqt&#10;mCKpTF0iilbaAqmipIsLVUApiFDrUnUmk0kyCdPYNsGSlE0Fl4ZCXOv9X5197ty5N/fOHMcPPcnn&#10;nPM7z/u86502EP6vrcVoMR4PBv94MHheCF9HWhBCZ/CCIP4fjAwfKoNXY5WRpLA9F0Qpmw2kJJdn&#10;j5WUzeWCQORXeVYdGZVRKARIL7mtyO6HylhZkQIw2nNsOkSDoSgF/4yOM4x+mAxZVnjfjI5b7J5r&#10;jFL+W8kv41DnbaZYmQxFzt+5K6d9Mrpe8xcrlVEu53wyDt/1zaisfif6YhxJsOeu5ofKuLe6Vq1k&#10;GBlHNUb3CLvnismoVe+v1zbYdXR3bFAYaSRWmo7765tb29//wDMyImd5mg4R8UNnbP+4s7v7U4Vn&#10;YjzxM7MfcsnRoTGK586Pjv3y6wMaozvaITF7XnLrKI6fH02OXHj9jYk36+VCNiMIad6Rvyc9rB41&#10;GdG3aLESUR37qh+6jkmdkZq4eOnylbfPvHPl3femrr6fmrp4+YPpmReP9fQajEg0erzKVh+K4flB&#10;TWNsm4wxXYfBmJ3+8KO5mbNDL7083H7iyb6nenpNP6KxWM8exfMspKOi5e7+5lZjZ7euMa45jHmD&#10;sWAwTroY/ZcofmQxnjdMz2EdH0M6nkYYAyU/eXVAYsxbjFcsHbYfsf54e9MaFN2xMmqw4fFj0YjV&#10;J1qsOt06oqf6488kmfLKqkEzr+rnrNx1/FiyPXfFSmNEVlj7bpNYzU4va4wFNVadboauY/A6OVYi&#10;rs71+hg3YpVy55Xphzt3NQb3G2tPPPDkVcqtY8jwA2ZEDUaXQI0V1NudfjXiqY8hI1Z9qB+DHPcp&#10;Oa/cfkCMSQ9jyWacxDDiNcp+RWVoscLqiJix4rhe6vxAeruVuymoXxl5lUD8sHRw3A28DkEkzChL&#10;R8odqwVCfeiM03Lzvgt7vkXww+hXCWx9aAzuGF4Hbp4bsZrExUr1I4HUB8TgPmtegwbjd+8cdPru&#10;kqsn4hgxHluDWcxegulXs9No34VrMG4yuGdxOgj18YcVK/ochHVojlD8qByswZ4ncf0K9TwSizmM&#10;AQkzo1Addr+qe/qu1dvJ9cFxn7PklZO74y7GosPw9HZHRxdD7mJq0NuvyLkb/5PpNoBmLdrbYc/x&#10;df5F81mroD0Rzat5uyeiOmyGOUHI/aqUx89BhKH2qwS6+5iMwQZ11uatHY6kA55R8O5j5e5zrDMK&#10;qvNJJK+WoRmFmbURiXTX2neUOT9qaL/y1uAwPlYXmG/ONWunrhPnOb63D/u81ZrMwSGM51qsondY&#10;djjMTp28ZjPgOsfl7pfEndo7z+3boOju7Yt27mLroy/NdNdCe/sW5AfGc+9+NVBttreLGULuFj2M&#10;ZdIddar/ho9bzZwfuBqctevczVBvzthhifG9xPZ8354fnryau/nVzevevttge8tw9/YGtDOkvh77&#10;ZrOcRa5zsTplx2qO9l7i8WPfuaOS49v3NiTKO0O0S2F+y4BvNc2Pxl/KHtNbxijtLYOwU9/6m/oa&#10;azESzd9kCHviegkw/EzG854/k+9ze9+tPQLAB2MCNGd4emJl9Z8CYPwZ73AnJBrDM88VwPzTdRyq&#10;AjrDVYN5P8/uOmMR0Bi8O1Y+Hl5NxgsiYNBhv7eXHvj8dqC9he8A4CdWj/x+A1EZyzwbw/Q8yLeJ&#10;PnyGkPb22yAAIwmADx1BvhLKM4CFYe1Xgb55FcqAVYfq+X/8gRDXE8P9BqnfnACEy1BrkA+fAUDo&#10;DBA+A7QYLUaL0WIE+f0LHuY+WqhXmTAAAAAASUVORK5CYIJQSwECLQAUAAYACAAAACEAsYJntgoB&#10;AAATAgAAEwAAAAAAAAAAAAAAAAAAAAAAW0NvbnRlbnRfVHlwZXNdLnhtbFBLAQItABQABgAIAAAA&#10;IQA4/SH/1gAAAJQBAAALAAAAAAAAAAAAAAAAADsBAABfcmVscy8ucmVsc1BLAQItABQABgAIAAAA&#10;IQAteHqWXggAANYkAAAOAAAAAAAAAAAAAAAAADoCAABkcnMvZTJvRG9jLnhtbFBLAQItABQABgAI&#10;AAAAIQCqJg6+vAAAACEBAAAZAAAAAAAAAAAAAAAAAMQKAABkcnMvX3JlbHMvZTJvRG9jLnhtbC5y&#10;ZWxzUEsBAi0AFAAGAAgAAAAhAEyoPcbhAAAACgEAAA8AAAAAAAAAAAAAAAAAtwsAAGRycy9kb3du&#10;cmV2LnhtbFBLAQItAAoAAAAAAAAAIQBt3v9NqAcAAKgHAAAUAAAAAAAAAAAAAAAAAMUMAABkcnMv&#10;bWVkaWEvaW1hZ2UxLnBuZ1BLBQYAAAAABgAGAHwBAACfFAAAAAA=&#10;">
                <v:shape id="Picture 2" o:spid="_x0000_s1043" type="#_x0000_t75" style="position:absolute;left:42613;top:10891;width:16195;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UgXEAAAA2wAAAA8AAABkcnMvZG93bnJldi54bWxEj91qwkAUhO+FvsNyCr0pdaPQUFJXCUFp&#10;KVit7QMcsic/mD0bdleTvr0rCF4OM/MNs1iNphNncr61rGA2TUAQl1a3XCv4+928vIHwAVljZ5kU&#10;/JOH1fJhssBM24F/6HwItYgQ9hkqaELoMyl92ZBBP7U9cfQq6wyGKF0ttcMhwk0n50mSSoMtx4UG&#10;eyoaKo+Hk1GQb4v57qtz+w9scV31x+cqqb6Venoc83cQgcZwD9/an1pB+grXL/EHyO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iUgXEAAAA2wAAAA8AAAAAAAAAAAAAAAAA&#10;nwIAAGRycy9kb3ducmV2LnhtbFBLBQYAAAAABAAEAPcAAACQAwAAAAA=&#10;">
                  <v:imagedata r:id="rId150" o:title=""/>
                  <v:path arrowok="t"/>
                </v:shape>
                <v:group id="Группа 17" o:spid="_x0000_s1044" style="position:absolute;left:4;top:1645;width:42609;height:28398" coordorigin="3,1497" coordsize="31957,25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roundrect id="Скругленный прямоугольник 67" o:spid="_x0000_s1045" style="position:absolute;left:3146;top:-1646;width:25671;height:31958;rotation:90;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BDcAA&#10;AADbAAAADwAAAGRycy9kb3ducmV2LnhtbESPzWoCMRSF9wXfIVzBXc3UhRNGoxSlxWWrPsB1cjsz&#10;dHITkjiOb28KBZeH8/Nx1tvR9mKgEDvHGt7mBQji2pmOGw3n08erAhETssHeMWm4U4TtZvKyxsq4&#10;G3/TcEyNyCMcK9TQpuQrKWPdksU4d544ez8uWExZhkaagLc8bnu5KIqltNhxJrToaddS/Xu82sz1&#10;n8oPSu1CWY7qsth/mY4arWfT8X0FItGYnuH/9sFoWJbw9yX/A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gBDcAAAADbAAAADwAAAAAAAAAAAAAAAACYAgAAZHJzL2Rvd25y&#10;ZXYueG1sUEsFBgAAAAAEAAQA9QAAAIUDAAAAAA==&#10;" fillcolor="#e6e6e6" stroked="f" strokeweight="2pt">
                    <v:textbox style="layout-flow:vertical;mso-layout-flow-alt:bottom-to-top">
                      <w:txbxContent>
                        <w:p/>
                      </w:txbxContent>
                    </v:textbox>
                  </v:roundrect>
                  <v:rect id="Прямоугольник 68" o:spid="_x0000_s1046" style="position:absolute;left:1855;top:2321;width:27432;height:5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QG8IA&#10;AADbAAAADwAAAGRycy9kb3ducmV2LnhtbERPXWvCMBR9F/wP4Qp7kZkqs2ydUaQw2GAIrYO9Xprb&#10;ptjclCZr679fHgZ7PJzvw2m2nRhp8K1jBdtNAoK4crrlRsHX9e3xGYQPyBo7x6TgTh5Ox+XigJl2&#10;Exc0lqERMYR9hgpMCH0mpa8MWfQb1xNHrnaDxRDh0Eg94BTDbSd3SZJKiy3HBoM95YaqW/ljFRQv&#10;tc7l53ldP9nvfJde9uY+fyj1sJrPryACzeFf/Od+1wrSODZ+iT9AH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RAbwgAAANsAAAAPAAAAAAAAAAAAAAAAAJgCAABkcnMvZG93&#10;bnJldi54bWxQSwUGAAAAAAQABAD1AAAAhwMAAAAA&#10;" fillcolor="#a6a6a6" stroked="f">
                    <v:fill opacity="60138f"/>
                    <v:textbox inset="2.15869mm,1.0793mm,2.15869mm,1.0793mm">
                      <w:txbxContent>
                        <w:p>
                          <w:pPr>
                            <w:pStyle w:val="aff"/>
                            <w:spacing w:before="0" w:beforeAutospacing="0" w:after="0"/>
                            <w:jc w:val="center"/>
                            <w:textAlignment w:val="baseline"/>
                            <w:rPr>
                              <w:sz w:val="18"/>
                              <w:szCs w:val="18"/>
                            </w:rPr>
                          </w:pPr>
                          <w:r>
                            <w:rPr>
                              <w:b/>
                              <w:bCs/>
                              <w:color w:val="FFFFFF"/>
                              <w:kern w:val="24"/>
                              <w:sz w:val="18"/>
                              <w:szCs w:val="18"/>
                            </w:rPr>
                            <w:t>В Совет по организации ВККР АО включены представители СРО аудиторов</w:t>
                          </w:r>
                        </w:p>
                      </w:txbxContent>
                    </v:textbox>
                  </v:rect>
                  <v:rect id="Прямоугольник 69" o:spid="_x0000_s1047" style="position:absolute;left:1871;top:7781;width:27416;height:69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1gMQA&#10;AADbAAAADwAAAGRycy9kb3ducmV2LnhtbESPQWvCQBSE70L/w/IKvYhulBo0dRUJFFoQISp4fWRf&#10;sqHZtyG7avz3XaHQ4zAz3zDr7WBbcaPeN44VzKYJCOLS6YZrBefT52QJwgdkja1jUvAgD9vNy2iN&#10;mXZ3Luh2DLWIEPYZKjAhdJmUvjRk0U9dRxy9yvUWQ5R9LXWP9wi3rZwnSSotNhwXDHaUGyp/jler&#10;oFhVOpf73bh6t5d8nh4W5jF8K/X2Ouw+QAQawn/4r/2lFaQreH6JP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tYDEAAAA2wAAAA8AAAAAAAAAAAAAAAAAmAIAAGRycy9k&#10;b3ducmV2LnhtbFBLBQYAAAAABAAEAPUAAACJAwAAAAA=&#10;" fillcolor="#a6a6a6" stroked="f">
                    <v:fill opacity="60138f"/>
                    <v:textbox inset="2.15869mm,1.0793mm,2.15869mm,1.0793mm">
                      <w:txbxContent>
                        <w:p>
                          <w:pPr>
                            <w:pStyle w:val="aff"/>
                            <w:spacing w:before="0" w:beforeAutospacing="0" w:after="0"/>
                            <w:jc w:val="center"/>
                            <w:textAlignment w:val="baseline"/>
                            <w:rPr>
                              <w:sz w:val="18"/>
                              <w:szCs w:val="18"/>
                            </w:rPr>
                          </w:pPr>
                          <w:r>
                            <w:rPr>
                              <w:b/>
                              <w:bCs/>
                              <w:color w:val="FFFFFF"/>
                              <w:kern w:val="24"/>
                              <w:sz w:val="18"/>
                              <w:szCs w:val="18"/>
                            </w:rPr>
                            <w:t>Подписаны соглашения о взаимодействии между Федеральным казначейством и СРО аудиторов</w:t>
                          </w:r>
                        </w:p>
                      </w:txbxContent>
                    </v:textbox>
                  </v:rect>
                  <v:rect id="Прямоугольник 72" o:spid="_x0000_s1048" style="position:absolute;left:2140;top:14728;width:27763;height:5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xLMUA&#10;AADbAAAADwAAAGRycy9kb3ducmV2LnhtbESP3WrCQBSE7wt9h+UUvCm6MbT+RFeRgFChFLSCt4fs&#10;STaYPRuyq8a3dwsFL4eZ+YZZrnvbiCt1vnasYDxKQBAXTtdcKTj+boczED4ga2wck4I7eVivXl+W&#10;mGl34z1dD6ESEcI+QwUmhDaT0heGLPqRa4mjV7rOYoiyq6Tu8BbhtpFpkkykxZrjgsGWckPF+XCx&#10;CvbzUufye/NefthTnk5+Ps293yk1eOs3CxCB+vAM/7e/tIJpCn9f4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LEsxQAAANsAAAAPAAAAAAAAAAAAAAAAAJgCAABkcnMv&#10;ZG93bnJldi54bWxQSwUGAAAAAAQABAD1AAAAigMAAAAA&#10;" fillcolor="#a6a6a6" stroked="f">
                    <v:fill opacity="60138f"/>
                    <v:textbox inset="2.15869mm,1.0793mm,2.15869mm,1.0793mm">
                      <w:txbxContent>
                        <w:p>
                          <w:pPr>
                            <w:pStyle w:val="aff"/>
                            <w:spacing w:before="0" w:beforeAutospacing="0" w:after="0"/>
                            <w:jc w:val="center"/>
                            <w:textAlignment w:val="baseline"/>
                            <w:rPr>
                              <w:sz w:val="18"/>
                              <w:szCs w:val="18"/>
                            </w:rPr>
                          </w:pPr>
                          <w:r>
                            <w:rPr>
                              <w:b/>
                              <w:bCs/>
                              <w:color w:val="FFFFFF"/>
                              <w:kern w:val="24"/>
                              <w:sz w:val="18"/>
                              <w:szCs w:val="18"/>
                            </w:rPr>
                            <w:t>Создана и осуществляет работу рабочая группа из представителей Федерального казначейства и СРО</w:t>
                          </w:r>
                        </w:p>
                      </w:txbxContent>
                    </v:textbox>
                  </v:rect>
                </v:group>
                <v:group id="Группа 18" o:spid="_x0000_s1049" style="position:absolute;left:60055;top:955;width:45150;height:28569" coordorigin="61939,863" coordsize="33863,25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roundrect id="Скругленный прямоугольник 74" o:spid="_x0000_s1050" style="position:absolute;left:65958;top:-3156;width:25826;height:33863;rotation:90;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KWpcQA&#10;AADbAAAADwAAAGRycy9kb3ducmV2LnhtbESPUUsDMRCE3wX/Q1ihL9LmLKLl2rQUUSgoWNtCX5fL&#10;end42VyzaZv6640g+DjMzDfMbJFcp04UpPVs4G5UgCKuvG25NrDbvgwnoCQiW+w8k4ELCSzm11cz&#10;LK0/8wedNrFWGcJSooEmxr7UWqqGHMrI98TZ+/TBYcwy1NoGPGe46/S4KB60w5bzQoM9PTVUfW2O&#10;LlPsK71dDof0HuT5di/fS0nt2pjBTVpOQUVK8T/8115ZA4/38Psl/wA9/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SlqXEAAAA2wAAAA8AAAAAAAAAAAAAAAAAmAIAAGRycy9k&#10;b3ducmV2LnhtbFBLBQYAAAAABAAEAPUAAACJAwAAAAA=&#10;" fillcolor="#e5dfec [663]" stroked="f" strokeweight="2pt">
                    <v:textbox style="layout-flow:vertical;mso-layout-flow-alt:bottom-to-top">
                      <w:txbxContent>
                        <w:p/>
                      </w:txbxContent>
                    </v:textbox>
                  </v:roundrect>
                  <v:shape id="TextBox 13" o:spid="_x0000_s1051" type="#_x0000_t202" style="position:absolute;left:65424;top:1491;width:27432;height:6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pPr>
                            <w:pStyle w:val="aff"/>
                            <w:spacing w:before="0" w:beforeAutospacing="0" w:after="0"/>
                            <w:jc w:val="center"/>
                            <w:textAlignment w:val="baseline"/>
                            <w:rPr>
                              <w:b/>
                              <w:sz w:val="18"/>
                              <w:szCs w:val="18"/>
                            </w:rPr>
                          </w:pPr>
                          <w:r>
                            <w:rPr>
                              <w:rFonts w:ascii="Open Sans Condensed" w:hAnsi="Open Sans Condensed" w:cs="Arial"/>
                              <w:b/>
                              <w:color w:val="7F7F7F"/>
                              <w:kern w:val="24"/>
                              <w:sz w:val="18"/>
                              <w:szCs w:val="18"/>
                            </w:rPr>
                            <w:t>ОСНОВНЫЕ НАПРАВЛЕНИЯ СОВЕРШЕНСТВОВАНИЯ ВЗАИМОДЕЙСТВИЯ</w:t>
                          </w:r>
                        </w:p>
                      </w:txbxContent>
                    </v:textbox>
                  </v:shape>
                  <v:rect id="Прямоугольник 76" o:spid="_x0000_s1052" style="position:absolute;left:65424;top:7304;width:27432;height:6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h5mcQA&#10;AADbAAAADwAAAGRycy9kb3ducmV2LnhtbESPQWvCQBSE7wX/w/IEL0U37cGG6CpVECT00ujB4yP7&#10;zIZm34bsmkR/vVso9DjMzDfMejvaRvTU+dqxgrdFAoK4dLrmSsH5dJinIHxA1tg4JgV38rDdTF7W&#10;mGk38Df1RahEhLDPUIEJoc2k9KUhi37hWuLoXV1nMUTZVVJ3OES4beR7kiylxZrjgsGW9obKn+Jm&#10;FeTpLf8qTFPku9dDavrHZTgOF6Vm0/FzBSLQGP7Df+2jVvCxhN8v8Qf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YeZnEAAAA2wAAAA8AAAAAAAAAAAAAAAAAmAIAAGRycy9k&#10;b3ducmV2LnhtbFBLBQYAAAAABAAEAPUAAACJAwAAAAA=&#10;" fillcolor="#ecd6a5" stroked="f" strokeweight="2pt">
                    <v:textbox inset="2.15975mm,1.0799mm,2.15975mm,1.0799mm">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Координация деятельности при планировании проверок в целях исключения дублирования контрольных мероприятий</w:t>
                          </w:r>
                        </w:p>
                      </w:txbxContent>
                    </v:textbox>
                  </v:rect>
                  <v:rect id="Прямоугольник 77" o:spid="_x0000_s1053" style="position:absolute;left:65424;top:15297;width:27432;height:44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TcAsQA&#10;AADbAAAADwAAAGRycy9kb3ducmV2LnhtbESPQWvCQBSE7wX/w/IEL0U37aGG6CpVECT00ujB4yP7&#10;zIZm34bsmkR/vVso9DjMzDfMejvaRvTU+dqxgrdFAoK4dLrmSsH5dJinIHxA1tg4JgV38rDdTF7W&#10;mGk38Df1RahEhLDPUIEJoc2k9KUhi37hWuLoXV1nMUTZVVJ3OES4beR7knxIizXHBYMt7Q2VP8XN&#10;KsjTW/5VmKbId6+H1PSPy3AcLkrNpuPnCkSgMfyH/9pHrWC5hN8v8Qf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U3ALEAAAA2wAAAA8AAAAAAAAAAAAAAAAAmAIAAGRycy9k&#10;b3ducmV2LnhtbFBLBQYAAAAABAAEAPUAAACJAwAAAAA=&#10;" fillcolor="#ecd6a5" stroked="f" strokeweight="2pt">
                    <v:textbox inset="2.15975mm,1.0799mm,2.15975mm,1.0799mm">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Информационный обмен о результатах проверок и выявленных нарушений</w:t>
                          </w:r>
                        </w:p>
                      </w:txbxContent>
                    </v:textbox>
                  </v:rect>
                  <v:rect id="Прямоугольник 78" o:spid="_x0000_s1054" style="position:absolute;left:65435;top:20317;width:27432;height:4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tIcMEA&#10;AADbAAAADwAAAGRycy9kb3ducmV2LnhtbERPz2vCMBS+D/wfwhO8DE31sJVqFBUEKbusevD4aJ5N&#10;sXkpTWzr/vrlMNjx4/u92Y22ET11vnasYLlIQBCXTtdcKbheTvMUhA/IGhvHpOBFHnbbydsGM+0G&#10;/qa+CJWIIewzVGBCaDMpfWnIol+4ljhyd9dZDBF2ldQdDjHcNnKVJB/SYs2xwWBLR0Plo3haBXn6&#10;zL8K0xT54f2Umv7nNpyHm1Kz6bhfgwg0hn/xn/usFXzGsfFL/AF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LSHDBAAAA2wAAAA8AAAAAAAAAAAAAAAAAmAIAAGRycy9kb3du&#10;cmV2LnhtbFBLBQYAAAAABAAEAPUAAACGAwAAAAA=&#10;" fillcolor="#ecd6a5" stroked="f" strokeweight="2pt">
                    <v:textbox inset="2.15975mm,1.0799mm,2.15975mm,1.0799mm">
                      <w:txbxContent>
                        <w:p>
                          <w:pPr>
                            <w:pStyle w:val="aff"/>
                            <w:spacing w:before="0" w:beforeAutospacing="0" w:after="0"/>
                            <w:jc w:val="center"/>
                            <w:textAlignment w:val="baseline"/>
                            <w:rPr>
                              <w:sz w:val="18"/>
                              <w:szCs w:val="18"/>
                            </w:rPr>
                          </w:pPr>
                          <w:r>
                            <w:rPr>
                              <w:rFonts w:ascii="Open Sans Condensed Light" w:hAnsi="Open Sans Condensed Light" w:cs="Arial"/>
                              <w:color w:val="000000"/>
                              <w:kern w:val="24"/>
                              <w:sz w:val="18"/>
                              <w:szCs w:val="18"/>
                            </w:rPr>
                            <w:t>Единообразие применения мер воздействия</w:t>
                          </w:r>
                        </w:p>
                      </w:txbxContent>
                    </v:textbox>
                  </v:rect>
                </v:group>
                <w10:wrap type="square"/>
              </v:group>
            </w:pict>
          </mc:Fallback>
        </mc:AlternateContent>
      </w:r>
      <w:r>
        <w:rPr>
          <w:rFonts w:ascii="Times New Roman" w:hAnsi="Times New Roman"/>
          <w:noProof/>
          <w:color w:val="000000" w:themeColor="text1"/>
          <w:lang w:eastAsia="ru-RU"/>
        </w:rPr>
        <mc:AlternateContent>
          <mc:Choice Requires="wps">
            <w:drawing>
              <wp:anchor distT="0" distB="0" distL="114300" distR="114300" simplePos="0" relativeHeight="251673600" behindDoc="0" locked="0" layoutInCell="1" allowOverlap="1">
                <wp:simplePos x="0" y="0"/>
                <wp:positionH relativeFrom="column">
                  <wp:posOffset>79375</wp:posOffset>
                </wp:positionH>
                <wp:positionV relativeFrom="paragraph">
                  <wp:posOffset>2406015</wp:posOffset>
                </wp:positionV>
                <wp:extent cx="2061210" cy="469265"/>
                <wp:effectExtent l="38100" t="57150" r="53340" b="45085"/>
                <wp:wrapNone/>
                <wp:docPr id="79" name="Прямоугольник 79"/>
                <wp:cNvGraphicFramePr/>
                <a:graphic xmlns:a="http://schemas.openxmlformats.org/drawingml/2006/main">
                  <a:graphicData uri="http://schemas.microsoft.com/office/word/2010/wordprocessingShape">
                    <wps:wsp>
                      <wps:cNvSpPr/>
                      <wps:spPr>
                        <a:xfrm>
                          <a:off x="0" y="0"/>
                          <a:ext cx="2061210" cy="469265"/>
                        </a:xfrm>
                        <a:prstGeom prst="rect">
                          <a:avLst/>
                        </a:prstGeom>
                        <a:solidFill>
                          <a:srgbClr val="A6A6A6">
                            <a:alpha val="91765"/>
                          </a:srgbClr>
                        </a:solidFill>
                        <a:ln>
                          <a:noFill/>
                        </a:ln>
                        <a:effectLst/>
                        <a:scene3d>
                          <a:camera prst="orthographicFront">
                            <a:rot lat="0" lon="0" rev="0"/>
                          </a:camera>
                          <a:lightRig rig="threePt" dir="t">
                            <a:rot lat="0" lon="0" rev="1200000"/>
                          </a:lightRig>
                        </a:scene3d>
                        <a:sp3d>
                          <a:bevelT w="63500" h="25400"/>
                        </a:sp3d>
                      </wps:spPr>
                      <wps:txbx>
                        <w:txbxContent>
                          <w:p>
                            <w:pPr>
                              <w:pStyle w:val="aff"/>
                              <w:spacing w:before="0" w:beforeAutospacing="0" w:after="0"/>
                              <w:jc w:val="center"/>
                              <w:textAlignment w:val="baseline"/>
                              <w:rPr>
                                <w:sz w:val="18"/>
                                <w:szCs w:val="18"/>
                              </w:rPr>
                            </w:pPr>
                            <w:r>
                              <w:rPr>
                                <w:b/>
                                <w:bCs/>
                                <w:color w:val="FFFFFF"/>
                                <w:kern w:val="24"/>
                                <w:sz w:val="18"/>
                                <w:szCs w:val="18"/>
                              </w:rPr>
                              <w:t>Проводятся совместные мероприятия с представителями СРО аудиторов</w:t>
                            </w:r>
                          </w:p>
                        </w:txbxContent>
                      </wps:txbx>
                      <wps:bodyPr wrap="square" lIns="77713" tIns="38856" rIns="77713" bIns="38856" anchor="ctr">
                        <a:noAutofit/>
                      </wps:bodyPr>
                    </wps:wsp>
                  </a:graphicData>
                </a:graphic>
                <wp14:sizeRelH relativeFrom="margin">
                  <wp14:pctWidth>0</wp14:pctWidth>
                </wp14:sizeRelH>
                <wp14:sizeRelV relativeFrom="margin">
                  <wp14:pctHeight>0</wp14:pctHeight>
                </wp14:sizeRelV>
              </wp:anchor>
            </w:drawing>
          </mc:Choice>
          <mc:Fallback>
            <w:pict>
              <v:rect id="Прямоугольник 79" o:spid="_x0000_s1055" style="position:absolute;left:0;text-align:left;margin-left:6.25pt;margin-top:189.45pt;width:162.3pt;height:36.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WwTbQIAALAEAAAOAAAAZHJzL2Uyb0RvYy54bWysVM1uEzEQviPxDpbvdLNJs0mjbqqKqggJ&#10;QUXLAzheb9aS1zZjN5vekLgi8Qg8BBfET59h80aM7W1a4ICESCTH45n5ZuabmRyfbFtFNgKcNLqk&#10;+cGIEqG5qaRel/TN1fmTOSXOM10xZbQo6Y1w9GT5+NFxZxdibBqjKgEEQbRbdLakjfd2kWWON6Jl&#10;7sBYoVFZG2iZRxHWWQWsQ/RWZePRqMg6A5UFw4Vz+HqWlHQZ8etacP+qrp3wRJUUc/PxhHiuwpkt&#10;j9liDcw2kg9psH/IomVSY9A91BnzjFyD/AOqlRyMM7U/4KbNTF1LLmINWE0++q2ay4ZZEWtBcpzd&#10;0+T+Hyx/ubkAIquSzo4o0azFHvWfdu92H/vv/e3uff+5v+2/7T70P/ov/VeCRshYZ90CHS/tBQyS&#10;w2sof1tDG36xMLKNLN/sWRZbTzg+jkdFPs6xGRx1h8XRuJgG0Oze24Lzz4RpSbiUFLCLkVy2eeF8&#10;Mr0zCcGcUbI6l0pFAdarpwrIhmHHT4vwTb7KNiy9HuWzfUiXzGP4X3CUDmjaBNwUMr2IOFQpDwzN&#10;hRaTKphy5A7YkLIB35hhrM7B6JQ/GJxDlmYQ1yHyA2IzMIQEJIyApuS68a/lmoDERfINCHHhKakk&#10;zu5fwHLcC/wMnN4BpQrv03U2pb0SG6GuSFfSYjJFL9Jgh6aHe/9kl4WWpyaHm9+utnFoxvO7eViZ&#10;6gYnqcNVKql7e81AUKKea5zV2WyWT3D3ojCZz6cFJfBQs3qoYZo3BqvkHmLjtDm99qaWsfEheIqE&#10;9QQB1yJWNnAd9u6hHK3u/2iWPwEAAP//AwBQSwMEFAAGAAgAAAAhAIArSrvhAAAACgEAAA8AAABk&#10;cnMvZG93bnJldi54bWxMj8FqwzAQRO+F/oPYQi+lkWPHieNYDsHQQ6EUkhZyVSzZMrVWxlIS5++7&#10;PTXHYR8zb4vtZHt20aPvHAqYzyJgGmunOmwFfH+9vWbAfJCoZO9QC7hpD9vy8aGQuXJX3OvLIbSM&#10;StDnUoAJYcg597XRVvqZGzTSrXGjlYHi2HI1yiuV257HUbTkVnZIC0YOujK6/jmcrYD9ulEV/9i9&#10;NAt7rOLlZ2pu07sQz0/TbgMs6Cn8w/CnT+pQktPJnVF51lOOUyIFJKtsDYyAJFnNgZ0ELNI4A14W&#10;/P6F8hcAAP//AwBQSwECLQAUAAYACAAAACEAtoM4kv4AAADhAQAAEwAAAAAAAAAAAAAAAAAAAAAA&#10;W0NvbnRlbnRfVHlwZXNdLnhtbFBLAQItABQABgAIAAAAIQA4/SH/1gAAAJQBAAALAAAAAAAAAAAA&#10;AAAAAC8BAABfcmVscy8ucmVsc1BLAQItABQABgAIAAAAIQC1PWwTbQIAALAEAAAOAAAAAAAAAAAA&#10;AAAAAC4CAABkcnMvZTJvRG9jLnhtbFBLAQItABQABgAIAAAAIQCAK0q74QAAAAoBAAAPAAAAAAAA&#10;AAAAAAAAAMcEAABkcnMvZG93bnJldi54bWxQSwUGAAAAAAQABADzAAAA1QUAAAAA&#10;" fillcolor="#a6a6a6" stroked="f">
                <v:fill opacity="60138f"/>
                <v:textbox inset="2.15869mm,1.0793mm,2.15869mm,1.0793mm">
                  <w:txbxContent>
                    <w:p>
                      <w:pPr>
                        <w:pStyle w:val="aff"/>
                        <w:spacing w:before="0" w:beforeAutospacing="0" w:after="0"/>
                        <w:jc w:val="center"/>
                        <w:textAlignment w:val="baseline"/>
                        <w:rPr>
                          <w:sz w:val="18"/>
                          <w:szCs w:val="18"/>
                        </w:rPr>
                      </w:pPr>
                      <w:r>
                        <w:rPr>
                          <w:b/>
                          <w:bCs/>
                          <w:color w:val="FFFFFF"/>
                          <w:kern w:val="24"/>
                          <w:sz w:val="18"/>
                          <w:szCs w:val="18"/>
                        </w:rPr>
                        <w:t>Проводятся совместные мероприятия с представителями СРО аудиторов</w:t>
                      </w:r>
                    </w:p>
                  </w:txbxContent>
                </v:textbox>
              </v:rect>
            </w:pict>
          </mc:Fallback>
        </mc:AlternateContent>
      </w:r>
      <w:r>
        <w:rPr>
          <w:rFonts w:ascii="Times New Roman" w:eastAsiaTheme="minorEastAsia" w:hAnsi="Times New Roman"/>
          <w:color w:val="000000" w:themeColor="text1"/>
          <w:sz w:val="28"/>
          <w:szCs w:val="28"/>
        </w:rPr>
        <w:t>Рисунок 20</w:t>
      </w:r>
    </w:p>
    <w:p>
      <w:pPr>
        <w:tabs>
          <w:tab w:val="left" w:pos="840"/>
        </w:tabs>
        <w:spacing w:before="120" w:after="120" w:line="360" w:lineRule="atLeast"/>
        <w:ind w:firstLine="709"/>
        <w:jc w:val="both"/>
        <w:rPr>
          <w:rFonts w:ascii="Times New Roman" w:eastAsia="Times New Roman" w:hAnsi="Times New Roman"/>
          <w:b/>
          <w:color w:val="000000" w:themeColor="text1"/>
          <w:sz w:val="28"/>
          <w:szCs w:val="28"/>
          <w:lang w:eastAsia="ru-RU"/>
        </w:rPr>
      </w:pPr>
    </w:p>
    <w:p>
      <w:pPr>
        <w:tabs>
          <w:tab w:val="left" w:pos="840"/>
        </w:tabs>
        <w:spacing w:before="120" w:after="120" w:line="360" w:lineRule="atLeast"/>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 Информационные системы</w:t>
      </w:r>
    </w:p>
    <w:p>
      <w:pPr>
        <w:pStyle w:val="21"/>
        <w:tabs>
          <w:tab w:val="left" w:pos="284"/>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4.1. Создание и развитие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4.1.1. Проектирование, разработка, опытная эксплуатация </w:t>
      </w:r>
      <w:r>
        <w:rPr>
          <w:rFonts w:ascii="Times New Roman" w:eastAsia="Times New Roman" w:hAnsi="Times New Roman"/>
          <w:b/>
          <w:color w:val="000000" w:themeColor="text1"/>
          <w:sz w:val="28"/>
          <w:szCs w:val="28"/>
          <w:lang w:eastAsia="ru-RU"/>
        </w:rPr>
        <w:br/>
        <w:t>и сопровождение централизованных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в соответствии с </w:t>
      </w:r>
      <w:r>
        <w:rPr>
          <w:rFonts w:ascii="Times New Roman" w:eastAsia="SimSun" w:hAnsi="Times New Roman"/>
          <w:color w:val="000000" w:themeColor="text1"/>
          <w:sz w:val="28"/>
          <w:szCs w:val="28"/>
        </w:rPr>
        <w:t xml:space="preserve">Детализированным планом задач </w:t>
      </w:r>
      <w:r>
        <w:rPr>
          <w:rFonts w:ascii="Times New Roman" w:eastAsia="SimSun" w:hAnsi="Times New Roman"/>
          <w:color w:val="000000" w:themeColor="text1"/>
          <w:sz w:val="28"/>
          <w:szCs w:val="28"/>
        </w:rPr>
        <w:br/>
        <w:t xml:space="preserve">по развитию государственной интегрированной информационной системы управления государственными финансами «Электронный бюджет» </w:t>
      </w:r>
      <w:r>
        <w:rPr>
          <w:rFonts w:ascii="Times New Roman" w:eastAsia="SimSun" w:hAnsi="Times New Roman"/>
          <w:color w:val="000000" w:themeColor="text1"/>
          <w:sz w:val="28"/>
          <w:szCs w:val="28"/>
        </w:rPr>
        <w:br/>
        <w:t>на 2016 год, утвержденным 18 января 2016 года Первым заместителем Министра финансов Российской Федерации Т.Г. Нестеренко (далее – План по развитию ГИИС «Электронный бюджет)</w:t>
      </w:r>
      <w:r>
        <w:rPr>
          <w:rFonts w:ascii="Times New Roman" w:hAnsi="Times New Roman"/>
          <w:color w:val="000000" w:themeColor="text1"/>
          <w:sz w:val="28"/>
          <w:szCs w:val="28"/>
        </w:rPr>
        <w:t xml:space="preserve">, а также в соответствии </w:t>
      </w:r>
      <w:r>
        <w:rPr>
          <w:rFonts w:ascii="Times New Roman" w:hAnsi="Times New Roman"/>
          <w:color w:val="000000" w:themeColor="text1"/>
          <w:sz w:val="28"/>
          <w:szCs w:val="28"/>
        </w:rPr>
        <w:br/>
        <w:t xml:space="preserve">с Госпрограммой № 40 выполнены следующие мероприятия по созданию </w:t>
      </w:r>
      <w:r>
        <w:rPr>
          <w:rFonts w:ascii="Times New Roman" w:hAnsi="Times New Roman"/>
          <w:color w:val="000000" w:themeColor="text1"/>
          <w:sz w:val="28"/>
          <w:szCs w:val="28"/>
        </w:rPr>
        <w:br/>
        <w:t>и развитию подсистем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обеспечены формирование и ведение Реестра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обеспечены формирование и ведение БПГМУ и ВПГМУ;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развитие подсистемы «Управление расходами» ГИИС «Электронный бюджет» в части ведения Реестра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обеспечена разработка компонентов подсистемы «Управление расходами» ГИИС «Электронный бюджет» по ведению бюджетных </w:t>
      </w:r>
      <w:r>
        <w:rPr>
          <w:rFonts w:ascii="Times New Roman" w:hAnsi="Times New Roman"/>
          <w:color w:val="000000" w:themeColor="text1"/>
          <w:sz w:val="28"/>
          <w:szCs w:val="28"/>
        </w:rPr>
        <w:br/>
        <w:t>и денежных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обеспечена возможность централизованного составления, представления, свода и консолидации отчетности об исполнении федерального бюджета и бухгалтерской отчетности федеральных бюджетных и автономных учреждений в подсистеме «Учет и отчетность»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выполнение работ по проектированию подсистемы «Информационно-аналитическое обеспечение» ГИИС «Электронный бюджет»;</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развитие подсистемы «Управление закупками» ГИИС «Электронный бюджет» в части обеспечения функций по контролю, предусмотренному частью 5 статьи 99 Федерального закона № 44-ФЗ.</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4.1.1.1. Реестр участников бюджетного процесса, а также юридических лиц, не являющихся участниками бюджетного процесса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 xml:space="preserve">В 2016 году проведены мероприятия по совершенствованию процессов формирования </w:t>
      </w:r>
      <w:r>
        <w:rPr>
          <w:rFonts w:ascii="Times New Roman" w:hAnsi="Times New Roman"/>
          <w:color w:val="000000" w:themeColor="text1"/>
          <w:sz w:val="28"/>
          <w:szCs w:val="28"/>
        </w:rPr>
        <w:t>Реестра УБП и НУБП, порядок ведения которого утвержден Приказом № 163н.</w:t>
      </w:r>
    </w:p>
    <w:p>
      <w:pPr>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Благодаря реализации соответствующих доработок было обеспечено наполнение Реестра УБП и НУБП более чем на 99 процентов.</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21</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Страница подсистемы ведения нормативной справочной информации, содержащей реестровые записи Реестра УБП и НУБП</w:t>
      </w:r>
    </w:p>
    <w:p>
      <w:pPr>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160397" cy="2154803"/>
            <wp:effectExtent l="19050" t="19050" r="21590" b="17145"/>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157327" cy="2153521"/>
                    </a:xfrm>
                    <a:prstGeom prst="rect">
                      <a:avLst/>
                    </a:prstGeom>
                    <a:ln cmpd="sng">
                      <a:solidFill>
                        <a:schemeClr val="tx1"/>
                      </a:solidFill>
                    </a:ln>
                  </pic:spPr>
                </pic:pic>
              </a:graphicData>
            </a:graphic>
          </wp:inline>
        </w:drawing>
      </w:r>
    </w:p>
    <w:p>
      <w:pPr>
        <w:pageBreakBefore/>
        <w:spacing w:after="12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54</w:t>
      </w:r>
    </w:p>
    <w:p>
      <w:pPr>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Статистика формирования реестровых записей Реестра УБП и НУБП</w:t>
      </w:r>
    </w:p>
    <w:p>
      <w:pPr>
        <w:jc w:val="center"/>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5454595" cy="2623930"/>
            <wp:effectExtent l="0" t="0" r="0" b="5080"/>
            <wp:docPr id="2063" name="Диаграмма 2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проведены масштабные мероприятия по переводу </w:t>
      </w:r>
      <w:r>
        <w:rPr>
          <w:rFonts w:ascii="Times New Roman" w:hAnsi="Times New Roman"/>
          <w:color w:val="000000" w:themeColor="text1"/>
          <w:sz w:val="28"/>
          <w:szCs w:val="28"/>
        </w:rPr>
        <w:br/>
        <w:t xml:space="preserve">на использование данных Реестра УБП и НУБП подсистем ГИИС «Электронный бюджет», оператором которых является не только Федеральное казначейство, но и Минфин России, а также информационных систем Федерального казначейства.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Данные Реестра УБП и НУБП используются в подсистемах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 формировании Сведений о соглашениях (договорах) </w:t>
      </w:r>
      <w:r>
        <w:rPr>
          <w:rFonts w:ascii="Times New Roman" w:hAnsi="Times New Roman"/>
          <w:color w:val="000000" w:themeColor="text1"/>
          <w:sz w:val="28"/>
          <w:szCs w:val="28"/>
        </w:rPr>
        <w:br/>
        <w:t>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 формировании планов закупок товаров, работ, услуг </w:t>
      </w:r>
      <w:r>
        <w:rPr>
          <w:rFonts w:ascii="Times New Roman" w:hAnsi="Times New Roman"/>
          <w:color w:val="000000" w:themeColor="text1"/>
          <w:sz w:val="28"/>
          <w:szCs w:val="28"/>
        </w:rPr>
        <w:br/>
        <w:t xml:space="preserve">для обеспечения государственных и муниципальных нужд, планов-графиков закупок товаров, работ, услуг для обеспечения государственных </w:t>
      </w:r>
      <w:r>
        <w:rPr>
          <w:rFonts w:ascii="Times New Roman" w:hAnsi="Times New Roman"/>
          <w:color w:val="000000" w:themeColor="text1"/>
          <w:sz w:val="28"/>
          <w:szCs w:val="28"/>
        </w:rPr>
        <w:br/>
        <w:t>и муниципальных нужд;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при формировании сведений бюджетных и денежных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в ППО «АСФК» использовались данные Реестра УБП </w:t>
      </w:r>
      <w:r>
        <w:rPr>
          <w:rFonts w:ascii="Times New Roman" w:hAnsi="Times New Roman"/>
          <w:color w:val="000000" w:themeColor="text1"/>
          <w:sz w:val="28"/>
          <w:szCs w:val="28"/>
        </w:rPr>
        <w:br/>
        <w:t>и НУБП при осуществлении операций по лицевым счетам организаций уровня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Обеспечена интеграция Реестра УБП и НУБП с ЕИС и Официальным сайтом 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Так, на основании данных Реестра УБП и НУБП в ЕИС зарегистрированы более 207 800 организаций с полномочиями заказчика </w:t>
      </w:r>
      <w:r>
        <w:rPr>
          <w:rFonts w:ascii="Times New Roman" w:hAnsi="Times New Roman"/>
          <w:color w:val="000000" w:themeColor="text1"/>
          <w:sz w:val="28"/>
          <w:szCs w:val="28"/>
        </w:rPr>
        <w:br/>
        <w:t xml:space="preserve">и более 9 700 органов, уполномоченных на осуществление контроля </w:t>
      </w:r>
      <w:r>
        <w:rPr>
          <w:rFonts w:ascii="Times New Roman" w:hAnsi="Times New Roman"/>
          <w:color w:val="000000" w:themeColor="text1"/>
          <w:sz w:val="28"/>
          <w:szCs w:val="28"/>
        </w:rPr>
        <w:br/>
        <w:t>в соответствии с </w:t>
      </w:r>
      <w:hyperlink r:id="rId153" w:anchor="dst101391" w:history="1">
        <w:r>
          <w:rPr>
            <w:rFonts w:ascii="Times New Roman" w:hAnsi="Times New Roman"/>
            <w:color w:val="000000" w:themeColor="text1"/>
            <w:sz w:val="28"/>
            <w:szCs w:val="28"/>
          </w:rPr>
          <w:t>частью 5 статьи 99</w:t>
        </w:r>
      </w:hyperlink>
      <w:r>
        <w:rPr>
          <w:rFonts w:ascii="Times New Roman" w:hAnsi="Times New Roman"/>
          <w:color w:val="000000" w:themeColor="text1"/>
          <w:sz w:val="28"/>
          <w:szCs w:val="28"/>
        </w:rPr>
        <w:t> Федерального закона № 44-ФЗ.</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этом следует отметить, что информация о полномочиях организаций в сфере закупок, отраженная в Реестре УБП и НУБП, сыграла значительную роль в обеспечении ТОФК организационных мероприятий </w:t>
      </w:r>
      <w:r>
        <w:rPr>
          <w:rFonts w:ascii="Times New Roman" w:hAnsi="Times New Roman"/>
          <w:color w:val="000000" w:themeColor="text1"/>
          <w:sz w:val="28"/>
          <w:szCs w:val="28"/>
        </w:rPr>
        <w:br/>
        <w:t xml:space="preserve">в части проведения разъяснительной работы и подготовки организаций, находящихся на территории соответствующего субъекта Российской Федерации, в том числе и тех, кассовое обслуживание которых осуществляется в финансовых органах субъектов Российской Федерации (муниципальных образований), к введению с 1 января 2017 года контроля </w:t>
      </w:r>
      <w:r>
        <w:rPr>
          <w:rFonts w:ascii="Times New Roman" w:hAnsi="Times New Roman"/>
          <w:color w:val="000000" w:themeColor="text1"/>
          <w:sz w:val="28"/>
          <w:szCs w:val="28"/>
        </w:rPr>
        <w:br/>
        <w:t>в сфере закупок, предусмотренного </w:t>
      </w:r>
      <w:hyperlink r:id="rId154" w:anchor="dst101391" w:history="1">
        <w:r>
          <w:rPr>
            <w:rFonts w:ascii="Times New Roman" w:hAnsi="Times New Roman"/>
            <w:color w:val="000000" w:themeColor="text1"/>
            <w:sz w:val="28"/>
            <w:szCs w:val="28"/>
          </w:rPr>
          <w:t>частью 5 статьи 99</w:t>
        </w:r>
      </w:hyperlink>
      <w:r>
        <w:rPr>
          <w:rFonts w:ascii="Times New Roman" w:hAnsi="Times New Roman"/>
          <w:color w:val="000000" w:themeColor="text1"/>
          <w:sz w:val="28"/>
          <w:szCs w:val="28"/>
        </w:rPr>
        <w:t> Федерального закона № 44-ФЗ.</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4.1.1.2. Базовые (отраслевые) и ведомственные перечни государственных (муниципальных) услуг (работ)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Обеспечено функционирование формирования и ведения БПГМУ.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Обеспечены регистрация и подключение пользователей от 21 ФОИВ, ответственного за формирование и ведение БПГМУ.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Обеспечена интеграция функционала формирования и ведения ВПГМУ с Реестром УБП и НУБП, обеспечена возможность индикации актуальности ВПГМУ по БПГМУ и Реестра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Проведено обучение представителей учредителей г. Москвы процессу формирования и ведения ВПГМУ.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Силами ФОИВ сформированы и утверждены БПГМУ по 33 видам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Начата разработка платформы для внедрения интеграционных процессов подсистемы «Формирование и ведение ведомственного перечня государственных и муниципальных услуг и работ» ГИИС «Электронный бюджет» с иными информационными системами.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Ответственными ФОИВ и учредителями совместно с Минфином России и Федеральным казначейством была продолжена работа </w:t>
      </w:r>
      <w:r>
        <w:rPr>
          <w:rFonts w:ascii="Times New Roman" w:hAnsi="Times New Roman"/>
          <w:color w:val="000000" w:themeColor="text1"/>
          <w:sz w:val="28"/>
          <w:szCs w:val="28"/>
        </w:rPr>
        <w:br/>
        <w:t>по наполнению компонента по формированию перечней услуг и работ данными. ВПГМУ учредителями федеральных бюджетных и автономных учреждений сформированы в полном объеме.</w:t>
      </w: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 xml:space="preserve">4.1.1.3. Развитие подсистемы «Управление расходами» государственной интегрированной информационной системы управления общественными финансами «Электронный бюджет» </w:t>
      </w:r>
      <w:r>
        <w:rPr>
          <w:rFonts w:ascii="Times New Roman" w:hAnsi="Times New Roman"/>
          <w:b/>
          <w:color w:val="000000" w:themeColor="text1"/>
          <w:sz w:val="28"/>
          <w:szCs w:val="28"/>
        </w:rPr>
        <w:br/>
        <w:t>в части ведения Реестра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выполнения мероприятий по формированию и ведению Реестра соглашений в ГИИС «Электронный бюджет» разработан механизм информационного взаимодействия с компонентами подсистемы «Управление расходами» ГИИС «Электронный бюджет» в части формирования соглашений о предоставлении субсидий, оператором которых является Минфин России, и проведена опытная эксплуатация.</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22</w:t>
      </w:r>
    </w:p>
    <w:p>
      <w:pPr>
        <w:spacing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Ведение реестра соглашений</w:t>
      </w:r>
    </w:p>
    <w:p>
      <w:pPr>
        <w:spacing w:after="0" w:line="360" w:lineRule="atLeast"/>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868060" cy="2218414"/>
            <wp:effectExtent l="0" t="0" r="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61007" cy="2215748"/>
                    </a:xfrm>
                    <a:prstGeom prst="rect">
                      <a:avLst/>
                    </a:prstGeom>
                    <a:noFill/>
                  </pic:spPr>
                </pic:pic>
              </a:graphicData>
            </a:graphic>
          </wp:inline>
        </w:drawing>
      </w:r>
    </w:p>
    <w:p>
      <w:pPr>
        <w:pStyle w:val="a5"/>
        <w:spacing w:before="120" w:after="120" w:line="240" w:lineRule="auto"/>
        <w:ind w:left="0" w:firstLine="709"/>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4.1.1.4. Ведение бюджетных и денежных обязательств</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выполнения мероприятий по обеспечению ведения бюджетных и денежных обязательств в ГИИС «Электронный бюджет»:</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разработано ППО подсистемы «Управление расходами» </w:t>
      </w:r>
      <w:r>
        <w:rPr>
          <w:rFonts w:ascii="Times New Roman" w:hAnsi="Times New Roman"/>
          <w:color w:val="000000" w:themeColor="text1"/>
          <w:sz w:val="28"/>
          <w:szCs w:val="28"/>
        </w:rPr>
        <w:br/>
        <w:t xml:space="preserve">и подсистемы «Управление закупками» ГИИС «Электронный бюджет» </w:t>
      </w:r>
      <w:r>
        <w:rPr>
          <w:rFonts w:ascii="Times New Roman" w:hAnsi="Times New Roman"/>
          <w:color w:val="000000" w:themeColor="text1"/>
          <w:sz w:val="28"/>
          <w:szCs w:val="28"/>
        </w:rPr>
        <w:br/>
        <w:t>в части функционала по ведению бюджетных и денежных обязательств;</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проведена опытная эксплуатация ГИИС «Электронный бюджет» </w:t>
      </w:r>
      <w:r>
        <w:rPr>
          <w:rFonts w:ascii="Times New Roman" w:hAnsi="Times New Roman"/>
          <w:color w:val="000000" w:themeColor="text1"/>
          <w:sz w:val="28"/>
          <w:szCs w:val="28"/>
        </w:rPr>
        <w:br/>
        <w:t>в части ведения бюджетных и денежных обязательств;</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обеспечена готовность к тиражированию компонентов по ведению бюджетных и денежных обязательств на ГРБС и получателей бюджетных средств федерального уровня, не участвующих в опытной эксплуатации.</w:t>
      </w:r>
    </w:p>
    <w:p>
      <w:pPr>
        <w:pStyle w:val="a5"/>
        <w:pageBreakBefore/>
        <w:spacing w:after="120" w:line="240" w:lineRule="auto"/>
        <w:ind w:left="0" w:firstLine="709"/>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23</w:t>
      </w:r>
    </w:p>
    <w:p>
      <w:pPr>
        <w:pStyle w:val="a5"/>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Ведение бюджетных обязательств в 2017 году</w:t>
      </w:r>
    </w:p>
    <w:p>
      <w:pPr>
        <w:pStyle w:val="a5"/>
        <w:spacing w:after="0" w:line="360" w:lineRule="atLeast"/>
        <w:ind w:left="0" w:firstLine="709"/>
        <w:contextualSpacing w:val="0"/>
        <w:jc w:val="right"/>
        <w:rPr>
          <w:rFonts w:ascii="Times New Roman" w:hAnsi="Times New Roman"/>
          <w:color w:val="000000" w:themeColor="text1"/>
          <w:sz w:val="28"/>
          <w:szCs w:val="28"/>
        </w:rPr>
      </w:pPr>
    </w:p>
    <w:p>
      <w:pPr>
        <w:spacing w:after="0" w:line="360" w:lineRule="atLeast"/>
        <w:jc w:val="center"/>
        <w:rPr>
          <w:rFonts w:ascii="Times New Roman" w:hAnsi="Times New Roman"/>
          <w:b/>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747569" cy="2926080"/>
            <wp:effectExtent l="0" t="0" r="5715" b="7620"/>
            <wp:docPr id="139" name="Рисунок 1" descr="cid:image001.png@01D277D0.6EC7D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277D0.6EC7DAA0"/>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5757236" cy="2931001"/>
                    </a:xfrm>
                    <a:prstGeom prst="rect">
                      <a:avLst/>
                    </a:prstGeom>
                    <a:noFill/>
                    <a:ln>
                      <a:noFill/>
                    </a:ln>
                  </pic:spPr>
                </pic:pic>
              </a:graphicData>
            </a:graphic>
          </wp:inline>
        </w:drawing>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24</w:t>
      </w:r>
    </w:p>
    <w:p>
      <w:pPr>
        <w:pStyle w:val="a5"/>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Ведение денежных обязательств</w:t>
      </w:r>
    </w:p>
    <w:p>
      <w:pPr>
        <w:spacing w:after="0" w:line="360" w:lineRule="atLeast"/>
        <w:ind w:firstLine="709"/>
        <w:jc w:val="center"/>
        <w:rPr>
          <w:rFonts w:ascii="Times New Roman" w:hAnsi="Times New Roman"/>
          <w:b/>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770782" cy="307715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774573" cy="3079600"/>
                    </a:xfrm>
                    <a:prstGeom prst="rect">
                      <a:avLst/>
                    </a:prstGeom>
                    <a:noFill/>
                  </pic:spPr>
                </pic:pic>
              </a:graphicData>
            </a:graphic>
          </wp:inline>
        </w:drawing>
      </w: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4.1.1.5. Обеспечение централизованного составления, представления, свода и консолидации отчетности об исполнении федерального бюджета и бухгалтерской отчетности федеральных бюджетных и автономных учреждений в подсистеме «Учет</w:t>
      </w:r>
      <w:r>
        <w:rPr>
          <w:rFonts w:ascii="Times New Roman" w:hAnsi="Times New Roman"/>
          <w:b/>
          <w:color w:val="000000" w:themeColor="text1"/>
          <w:sz w:val="28"/>
          <w:szCs w:val="28"/>
        </w:rPr>
        <w:br/>
        <w:t>и отчетность»</w:t>
      </w:r>
      <w:r>
        <w:rPr>
          <w:rFonts w:ascii="Times New Roman" w:hAnsi="Times New Roman"/>
          <w:color w:val="000000" w:themeColor="text1"/>
        </w:rPr>
        <w:t xml:space="preserve"> </w:t>
      </w:r>
      <w:r>
        <w:rPr>
          <w:rFonts w:ascii="Times New Roman" w:hAnsi="Times New Roman"/>
          <w:b/>
          <w:color w:val="000000" w:themeColor="text1"/>
          <w:sz w:val="28"/>
          <w:szCs w:val="28"/>
        </w:rPr>
        <w:t>государственной интегрированной информационной системы управления общественными финансами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выполнения мероприятий по централизованному составлению и представлению бюджетной отчетности получателей средств федерального бюджета, администраторов доходов федерального бюджета, администраторов источников финансирования дефицита федерального бюджета, распорядителей средств федерального бюджета, а также органов управления ГВФ РФ, отчетности об исполнении консолидированного бюджета субъекта Российской Федерации и бюджета территориального государственного внебюджетного фонда, бухгалтерской отчетности федеральных бюджетных, автономных учреждений, обособленных структурных подразделений учреждений, наделенных полномочиями </w:t>
      </w:r>
      <w:r>
        <w:rPr>
          <w:rFonts w:ascii="Times New Roman" w:hAnsi="Times New Roman"/>
          <w:color w:val="000000" w:themeColor="text1"/>
          <w:sz w:val="28"/>
          <w:szCs w:val="28"/>
        </w:rPr>
        <w:br/>
        <w:t xml:space="preserve">по ведению учета и формированию отчетности, а также формированию </w:t>
      </w:r>
      <w:r>
        <w:rPr>
          <w:rFonts w:ascii="Times New Roman" w:hAnsi="Times New Roman"/>
          <w:color w:val="000000" w:themeColor="text1"/>
          <w:sz w:val="28"/>
          <w:szCs w:val="28"/>
        </w:rPr>
        <w:br/>
        <w:t xml:space="preserve">и представлению главными распорядителями (распорядителями) средств федерального бюджета, главными администраторами доходов федерального бюджета, главными администраторами источников финансирования дефицита федерального бюджета (далее – пользователи) сводной (консолидированной) бюджетной отчетности в части сведений, </w:t>
      </w:r>
      <w:r>
        <w:rPr>
          <w:rFonts w:ascii="Times New Roman" w:hAnsi="Times New Roman"/>
          <w:color w:val="000000" w:themeColor="text1"/>
          <w:sz w:val="28"/>
          <w:szCs w:val="28"/>
        </w:rPr>
        <w:br/>
        <w:t xml:space="preserve">не содержащих государственную тайну, Федеральным казначейством </w:t>
      </w:r>
      <w:r>
        <w:rPr>
          <w:rFonts w:ascii="Times New Roman" w:hAnsi="Times New Roman"/>
          <w:color w:val="000000" w:themeColor="text1"/>
          <w:sz w:val="28"/>
          <w:szCs w:val="28"/>
        </w:rPr>
        <w:br/>
        <w:t>в 2016 году было обеспечено выполнение следующих работ: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обеспечено развитие подсистемы «Учет и отчетность» ГИИС «Электронный бюджет» в соответствии с положениями действующих редакций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 декабря 2010 г. № 191н, а также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Минфина России от 25 марта 2011 г. № 33н;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обеспечено получение и использование подсистемой «Учет </w:t>
      </w:r>
      <w:r>
        <w:rPr>
          <w:rFonts w:ascii="Times New Roman" w:hAnsi="Times New Roman"/>
          <w:color w:val="000000" w:themeColor="text1"/>
          <w:sz w:val="28"/>
          <w:szCs w:val="28"/>
        </w:rPr>
        <w:br/>
        <w:t>и отчетность» ГИИС «Электронный бюджет» централизованной нормативной справочной информации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проведена опытная эксплуатации доработанного функционала подсистемы «Учет и отчетность»</w:t>
      </w:r>
      <w:r>
        <w:rPr>
          <w:rFonts w:ascii="Times New Roman" w:hAnsi="Times New Roman"/>
          <w:color w:val="000000" w:themeColor="text1"/>
        </w:rPr>
        <w:t xml:space="preserve"> </w:t>
      </w:r>
      <w:r>
        <w:rPr>
          <w:rFonts w:ascii="Times New Roman" w:hAnsi="Times New Roman"/>
          <w:color w:val="000000" w:themeColor="text1"/>
          <w:sz w:val="28"/>
          <w:szCs w:val="28"/>
        </w:rPr>
        <w:t xml:space="preserve">ГИИС «Электронный бюджет», участие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 xml:space="preserve">в которой приняли 18 ГРБС, а также подведомственные им учреждения, </w:t>
      </w:r>
      <w:r>
        <w:rPr>
          <w:rFonts w:ascii="Times New Roman" w:hAnsi="Times New Roman"/>
          <w:color w:val="000000" w:themeColor="text1"/>
          <w:sz w:val="28"/>
          <w:szCs w:val="28"/>
        </w:rPr>
        <w:br/>
        <w:t>7 финансовых органов субъектов Российской Федерации, а также ГВФ РФ.</w:t>
      </w:r>
    </w:p>
    <w:p>
      <w:pPr>
        <w:spacing w:after="0" w:line="360" w:lineRule="atLeast"/>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Также совместно с ТОФК было обеспечено предоставление доступа пользователям к подсистеме «Учет и отчетность» ГИИС «Электронный бюджет» на всей территории Российской Федерации, общим числом более чем 30000 уполномоченных сотрудников.</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25</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Централизованное составление, представление, свод</w:t>
      </w:r>
      <w:r>
        <w:rPr>
          <w:rFonts w:ascii="Times New Roman" w:hAnsi="Times New Roman"/>
          <w:b/>
          <w:color w:val="000000" w:themeColor="text1"/>
          <w:sz w:val="28"/>
          <w:szCs w:val="28"/>
        </w:rPr>
        <w:br/>
        <w:t>и консолидация отчетности об исполнении федерального бюджета</w:t>
      </w:r>
    </w:p>
    <w:p>
      <w:pPr>
        <w:spacing w:after="0" w:line="360" w:lineRule="atLeast"/>
        <w:ind w:firstLine="708"/>
        <w:jc w:val="right"/>
        <w:rPr>
          <w:rFonts w:ascii="Times New Roman" w:hAnsi="Times New Roman"/>
          <w:color w:val="000000" w:themeColor="text1"/>
          <w:sz w:val="28"/>
          <w:szCs w:val="28"/>
        </w:rPr>
      </w:pPr>
    </w:p>
    <w:p>
      <w:pPr>
        <w:spacing w:after="0" w:line="360" w:lineRule="atLeast"/>
        <w:ind w:firstLine="708"/>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319423" cy="2941982"/>
            <wp:effectExtent l="0" t="0" r="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_ПУиО.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42039" cy="2954490"/>
                    </a:xfrm>
                    <a:prstGeom prst="rect">
                      <a:avLst/>
                    </a:prstGeom>
                  </pic:spPr>
                </pic:pic>
              </a:graphicData>
            </a:graphic>
          </wp:inline>
        </w:drawing>
      </w:r>
    </w:p>
    <w:p>
      <w:pPr>
        <w:spacing w:after="0" w:line="360" w:lineRule="atLeast"/>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Таким образом, начиная с 1 января 2017 года, представление бюджетной (бухгалтерской) отчетности, а также формирование </w:t>
      </w:r>
      <w:r>
        <w:rPr>
          <w:rFonts w:ascii="Times New Roman" w:hAnsi="Times New Roman"/>
          <w:color w:val="000000" w:themeColor="text1"/>
          <w:sz w:val="28"/>
          <w:szCs w:val="28"/>
        </w:rPr>
        <w:br/>
        <w:t xml:space="preserve">и представление сводной (консолидированной) бюджетной отчетности </w:t>
      </w:r>
      <w:r>
        <w:rPr>
          <w:rFonts w:ascii="Times New Roman" w:hAnsi="Times New Roman"/>
          <w:color w:val="000000" w:themeColor="text1"/>
          <w:sz w:val="28"/>
          <w:szCs w:val="28"/>
        </w:rPr>
        <w:br/>
        <w:t>в части сведений, не содержащих государственную тайну, всеми указанными пользователями будет осуществляться средствами подсистемы «Учет и отчетность»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4.1.1.6. Создание подсистемы «Информационно-аналитическое обеспечение» государственной интегрированной информационной системы управления общественными финансами «Электронный бюджет»</w:t>
      </w:r>
    </w:p>
    <w:p>
      <w:pPr>
        <w:spacing w:after="0" w:line="360" w:lineRule="exac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выполнения мероприятий по созданию подсистемы «Информационно-аналитическое обеспечение» ГИИС «Электронный бюджет» в 2016 году были выполнены работы по проектированию указанной подсистемы.</w:t>
      </w:r>
    </w:p>
    <w:p>
      <w:pPr>
        <w:spacing w:after="0" w:line="360" w:lineRule="exac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проектирования была подготовлена и согласована </w:t>
      </w:r>
      <w:r>
        <w:rPr>
          <w:rFonts w:ascii="Times New Roman" w:hAnsi="Times New Roman"/>
          <w:color w:val="000000" w:themeColor="text1"/>
          <w:sz w:val="28"/>
          <w:szCs w:val="28"/>
        </w:rPr>
        <w:br/>
        <w:t xml:space="preserve">в Федеральном казначействе концепция создания и развития подсистемы </w:t>
      </w:r>
      <w:r>
        <w:rPr>
          <w:rFonts w:ascii="Times New Roman" w:hAnsi="Times New Roman"/>
          <w:color w:val="000000" w:themeColor="text1"/>
          <w:sz w:val="28"/>
          <w:szCs w:val="28"/>
        </w:rPr>
        <w:lastRenderedPageBreak/>
        <w:t>«Информационно-аналитическое обеспечение» ГИИС «Электронный бюджет».</w:t>
      </w:r>
    </w:p>
    <w:p>
      <w:pPr>
        <w:spacing w:after="0" w:line="360" w:lineRule="exac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Также были разработаны требования к функциям (задачам), выполняемым подсистемой «Информационно-аналитическое обеспечение»</w:t>
      </w:r>
      <w:r>
        <w:rPr>
          <w:rFonts w:ascii="Times New Roman" w:hAnsi="Times New Roman"/>
          <w:color w:val="000000" w:themeColor="text1"/>
        </w:rPr>
        <w:t xml:space="preserve"> </w:t>
      </w:r>
      <w:r>
        <w:rPr>
          <w:rFonts w:ascii="Times New Roman" w:hAnsi="Times New Roman"/>
          <w:color w:val="000000" w:themeColor="text1"/>
          <w:sz w:val="28"/>
          <w:szCs w:val="28"/>
        </w:rPr>
        <w:t xml:space="preserve">ГИИС «Электронный бюджет», которые войдут в состав документации </w:t>
      </w:r>
      <w:r>
        <w:rPr>
          <w:rFonts w:ascii="Times New Roman" w:hAnsi="Times New Roman"/>
          <w:color w:val="000000" w:themeColor="text1"/>
          <w:sz w:val="28"/>
          <w:szCs w:val="28"/>
        </w:rPr>
        <w:br/>
        <w:t>для объявления открытого конкурса на выполнение работ по созданию указанной подсистемы в 2017 году.</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4.1.1. Эксплуатация подсистем, оператором которых является Федеральное казначейство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целях развития подсистем ГИИС «Электронный бюджет» </w:t>
      </w:r>
      <w:r>
        <w:rPr>
          <w:rFonts w:ascii="Times New Roman" w:eastAsia="Times New Roman" w:hAnsi="Times New Roman"/>
          <w:color w:val="000000" w:themeColor="text1"/>
          <w:sz w:val="28"/>
          <w:szCs w:val="28"/>
        </w:rPr>
        <w:br/>
        <w:t xml:space="preserve">на постоянной основе обеспечена эксплуатация подсистемы «Обеспечение информационной безопасности» и подсистемы «Обеспечение юридически значимого документооборота» ГИИС «Электронный бюджет» </w:t>
      </w:r>
      <w:r>
        <w:rPr>
          <w:rFonts w:ascii="Times New Roman" w:eastAsia="Times New Roman" w:hAnsi="Times New Roman"/>
          <w:color w:val="000000" w:themeColor="text1"/>
          <w:sz w:val="28"/>
          <w:szCs w:val="28"/>
        </w:rPr>
        <w:br/>
        <w:t xml:space="preserve">в информационных системах Федерального казначейства, а также </w:t>
      </w:r>
      <w:r>
        <w:rPr>
          <w:rFonts w:ascii="Times New Roman" w:eastAsia="Times New Roman" w:hAnsi="Times New Roman"/>
          <w:color w:val="000000" w:themeColor="text1"/>
          <w:sz w:val="28"/>
          <w:szCs w:val="28"/>
        </w:rPr>
        <w:br/>
        <w:t>в государственных информационных системах, оператором которых является Федеральное казначейство.</w:t>
      </w:r>
    </w:p>
    <w:p>
      <w:pPr>
        <w:pStyle w:val="21"/>
        <w:tabs>
          <w:tab w:val="left" w:pos="284"/>
          <w:tab w:val="left" w:pos="993"/>
          <w:tab w:val="left" w:pos="1276"/>
        </w:tabs>
        <w:spacing w:after="0" w:line="360" w:lineRule="atLeast"/>
        <w:ind w:firstLine="709"/>
        <w:jc w:val="both"/>
        <w:rPr>
          <w:color w:val="000000" w:themeColor="text1"/>
          <w:sz w:val="28"/>
          <w:szCs w:val="28"/>
        </w:rPr>
      </w:pPr>
      <w:r>
        <w:rPr>
          <w:color w:val="000000" w:themeColor="text1"/>
          <w:sz w:val="28"/>
          <w:szCs w:val="28"/>
        </w:rPr>
        <w:t xml:space="preserve">В рамках реализации основного мероприятия 9.1.1 «Проектирование, разработка, опытная эксплуатация и сопровождение технологических </w:t>
      </w:r>
      <w:r>
        <w:rPr>
          <w:color w:val="000000" w:themeColor="text1"/>
          <w:sz w:val="28"/>
          <w:szCs w:val="28"/>
        </w:rPr>
        <w:br/>
        <w:t xml:space="preserve">и функциональных подсистем ГИИС «Электронный бюджет», оператором которых является Федеральное казначейство» направлен на согласование </w:t>
      </w:r>
      <w:r>
        <w:rPr>
          <w:color w:val="000000" w:themeColor="text1"/>
          <w:sz w:val="28"/>
          <w:szCs w:val="28"/>
        </w:rPr>
        <w:br/>
        <w:t xml:space="preserve">в адрес Минфина России доработанный проект «Концепция создания </w:t>
      </w:r>
      <w:r>
        <w:rPr>
          <w:color w:val="000000" w:themeColor="text1"/>
          <w:sz w:val="28"/>
          <w:szCs w:val="28"/>
        </w:rPr>
        <w:br/>
        <w:t>и развития подсистемы «Учет и отчетность» ГИИС «Электронный бюджет».</w:t>
      </w:r>
    </w:p>
    <w:p>
      <w:pPr>
        <w:pStyle w:val="21"/>
        <w:tabs>
          <w:tab w:val="left" w:pos="284"/>
          <w:tab w:val="left" w:pos="993"/>
          <w:tab w:val="left" w:pos="1276"/>
        </w:tabs>
        <w:spacing w:after="0" w:line="360" w:lineRule="atLeast"/>
        <w:ind w:firstLine="709"/>
        <w:jc w:val="both"/>
        <w:rPr>
          <w:color w:val="000000" w:themeColor="text1"/>
          <w:sz w:val="28"/>
          <w:szCs w:val="28"/>
        </w:rPr>
      </w:pPr>
      <w:r>
        <w:rPr>
          <w:color w:val="000000" w:themeColor="text1"/>
          <w:sz w:val="28"/>
          <w:szCs w:val="28"/>
        </w:rPr>
        <w:t xml:space="preserve">Во исполнение пункта 3.5.2 Детализированного плана задач </w:t>
      </w:r>
      <w:r>
        <w:rPr>
          <w:color w:val="000000" w:themeColor="text1"/>
          <w:sz w:val="28"/>
          <w:szCs w:val="28"/>
        </w:rPr>
        <w:br/>
        <w:t xml:space="preserve">по развитию государственной интегрированной информационной системы управления государственными финансами «Электронный бюджет» </w:t>
      </w:r>
      <w:r>
        <w:rPr>
          <w:color w:val="000000" w:themeColor="text1"/>
          <w:sz w:val="28"/>
          <w:szCs w:val="28"/>
        </w:rPr>
        <w:br/>
        <w:t xml:space="preserve">на 2016 год, утвержденного Первым заместителем Министра финансов Российской Федерации Т.Г. Нестеренко от 18 января 2016 года, подготовлены и направлены на рассмотрение в адрес Минфина России проекты приказов Минфина России «О внесении изменений в приказ Министерства финансов Российской Федерации от 28 декабря 2010 г. № 191н «Об утверждении Инструкции о порядке составления </w:t>
      </w:r>
      <w:r>
        <w:rPr>
          <w:color w:val="000000" w:themeColor="text1"/>
          <w:sz w:val="28"/>
          <w:szCs w:val="28"/>
        </w:rPr>
        <w:br/>
        <w:t xml:space="preserve">и представления годовой, квартальной и месячной отчетности </w:t>
      </w:r>
      <w:r>
        <w:rPr>
          <w:color w:val="000000" w:themeColor="text1"/>
          <w:sz w:val="28"/>
          <w:szCs w:val="28"/>
        </w:rPr>
        <w:br/>
        <w:t xml:space="preserve">об исполнении бюджетов бюджетной системы Российской Федерации» </w:t>
      </w:r>
      <w:r>
        <w:rPr>
          <w:color w:val="000000" w:themeColor="text1"/>
          <w:sz w:val="28"/>
          <w:szCs w:val="28"/>
        </w:rPr>
        <w:br/>
        <w:t xml:space="preserve">и «Об утверждении Порядка представления в электронном виде месячной, квартальной и годовой отчетности об исполнении бюджетов бюджетной системы Российской Федерации, бухгалтерской отчетности государственных (муниципальных) учреждений». По результатам рассмотрения указанных документов издан приказ Минфина России </w:t>
      </w:r>
      <w:r>
        <w:rPr>
          <w:color w:val="000000" w:themeColor="text1"/>
          <w:sz w:val="28"/>
          <w:szCs w:val="28"/>
        </w:rPr>
        <w:br/>
        <w:t xml:space="preserve">от 16 ноября 2016 г. № 209н «О внесении изменений в некоторые приказы </w:t>
      </w:r>
      <w:r>
        <w:rPr>
          <w:color w:val="000000" w:themeColor="text1"/>
          <w:sz w:val="28"/>
          <w:szCs w:val="28"/>
        </w:rPr>
        <w:lastRenderedPageBreak/>
        <w:t>Министерства финансов Российской Федерации в целях совершенствования бюджетного (бухгалтерского) учета и отчетности».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Разработанный и согласованный руководителем Федерального казначейства Р.Е. Артюхиным проект концепции</w:t>
      </w:r>
      <w:r>
        <w:rPr>
          <w:rFonts w:ascii="Times New Roman" w:hAnsi="Times New Roman"/>
          <w:b/>
          <w:i/>
          <w:color w:val="000000" w:themeColor="text1"/>
          <w:sz w:val="28"/>
          <w:szCs w:val="28"/>
        </w:rPr>
        <w:t xml:space="preserve"> </w:t>
      </w:r>
      <w:r>
        <w:rPr>
          <w:rFonts w:ascii="Times New Roman" w:hAnsi="Times New Roman"/>
          <w:color w:val="000000" w:themeColor="text1"/>
          <w:sz w:val="28"/>
          <w:szCs w:val="28"/>
        </w:rPr>
        <w:t>создания и развития подсистемы «Управление денежными средствами» ГИИС «Электронный бюджет» направлен на рассмотрение в Министерство финансов Российской Федерации.</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Разработана и направлена в Министерство финансов Российской Федерации Концепция подсистемы «Управление расходами»</w:t>
      </w:r>
      <w:r>
        <w:rPr>
          <w:rFonts w:ascii="Times New Roman" w:hAnsi="Times New Roman"/>
          <w:color w:val="000000" w:themeColor="text1"/>
        </w:rPr>
        <w:t xml:space="preserve"> </w:t>
      </w:r>
      <w:r>
        <w:rPr>
          <w:rFonts w:ascii="Times New Roman" w:hAnsi="Times New Roman"/>
          <w:color w:val="000000" w:themeColor="text1"/>
          <w:sz w:val="28"/>
          <w:szCs w:val="28"/>
        </w:rPr>
        <w:t>ГИИС «Электронный бюджет», определяющая цели и задачи создания</w:t>
      </w:r>
      <w:r>
        <w:rPr>
          <w:rFonts w:ascii="Times New Roman" w:hAnsi="Times New Roman"/>
          <w:color w:val="000000" w:themeColor="text1"/>
          <w:sz w:val="28"/>
          <w:szCs w:val="28"/>
        </w:rPr>
        <w:br/>
        <w:t>и развития указанной подсистемы, а также перечень сервисов, предоставляемых пользователям.</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Проведены мероприятия по координации деятельности ТОФК, ГРБС, в том числе «пилотных» ТОФК и «пилотных» ГРБС.</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Проведена опытная эксплуатация компонентов подсистемы «Управление закупками» и подсистемы «Управление расходами» ГИИС «Электронный бюджет», обеспечивающих учет бюджетных обязательств и ведение Реестра соглашений.</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в подсистеме «Управление расходами» ГИИС «Электронный бюджет» было сформировано более 20 000 документов, из них:</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17 000 документов зарегистрированы и включены в перечень бюджетных обязательств;</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6833 документов не приняты в связи с нарушением порядка постановки на учет бюджетных обязательств.</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примерно 75 000 тысяч документов приняты </w:t>
      </w:r>
      <w:r>
        <w:rPr>
          <w:rFonts w:ascii="Times New Roman" w:hAnsi="Times New Roman"/>
          <w:color w:val="000000" w:themeColor="text1"/>
          <w:sz w:val="28"/>
          <w:szCs w:val="28"/>
        </w:rPr>
        <w:br/>
        <w:t>и обработаны из подсистемы «Управление закупками» ГИИС «Электронный бюджет»:</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30 979 документов зарегистрированы и включены в перечень бюджетных обязательств;</w:t>
      </w:r>
    </w:p>
    <w:p>
      <w:pPr>
        <w:tabs>
          <w:tab w:val="left" w:pos="317"/>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45 728 документов не приняты по различным основаниям.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Обеспечена работа клиентов ТОФК открытого контура</w:t>
      </w:r>
      <w:r>
        <w:rPr>
          <w:rFonts w:ascii="Times New Roman" w:hAnsi="Times New Roman"/>
          <w:color w:val="000000" w:themeColor="text1"/>
          <w:sz w:val="28"/>
          <w:szCs w:val="28"/>
        </w:rPr>
        <w:br/>
        <w:t>в компонентах, обеспечивающих ведение Реестра государственных заданий, ведение Реестра соглашений и учет бюджетных и денежных обязательств.</w:t>
      </w:r>
    </w:p>
    <w:p>
      <w:pPr>
        <w:pStyle w:val="afe"/>
        <w:ind w:firstLine="709"/>
        <w:jc w:val="both"/>
        <w:rPr>
          <w:rFonts w:eastAsia="SimSun"/>
          <w:color w:val="000000" w:themeColor="text1"/>
          <w:sz w:val="28"/>
          <w:szCs w:val="28"/>
        </w:rPr>
      </w:pPr>
      <w:r>
        <w:rPr>
          <w:rFonts w:eastAsia="SimSun"/>
          <w:color w:val="000000" w:themeColor="text1"/>
          <w:sz w:val="28"/>
          <w:szCs w:val="28"/>
        </w:rPr>
        <w:t>Обеспечена разработка проекта концепции создания и развития подсистемы финансового контроля государственной интегрированной информационной системы управления общественными финансами «Электронный бюджет».</w:t>
      </w:r>
    </w:p>
    <w:p>
      <w:pPr>
        <w:pStyle w:val="afe"/>
        <w:ind w:firstLine="709"/>
        <w:jc w:val="both"/>
        <w:rPr>
          <w:rFonts w:eastAsia="SimSun"/>
          <w:color w:val="000000" w:themeColor="text1"/>
          <w:sz w:val="28"/>
          <w:szCs w:val="28"/>
        </w:rPr>
      </w:pPr>
      <w:r>
        <w:rPr>
          <w:rFonts w:eastAsia="SimSun"/>
          <w:color w:val="000000" w:themeColor="text1"/>
          <w:sz w:val="28"/>
          <w:szCs w:val="28"/>
        </w:rPr>
        <w:lastRenderedPageBreak/>
        <w:t xml:space="preserve">Письмом Федерального казначейства от 30 декабря 2016 г. </w:t>
      </w:r>
      <w:r>
        <w:rPr>
          <w:rFonts w:eastAsia="SimSun"/>
          <w:color w:val="000000" w:themeColor="text1"/>
          <w:sz w:val="28"/>
          <w:szCs w:val="28"/>
        </w:rPr>
        <w:br/>
        <w:t>№ 07-04-04/06-2204 проект документа направлен в Министерство финансов Российской Федерации для рассмотрения.</w:t>
      </w:r>
    </w:p>
    <w:p>
      <w:pPr>
        <w:spacing w:before="120" w:after="120" w:line="240" w:lineRule="auto"/>
        <w:ind w:firstLine="709"/>
        <w:jc w:val="both"/>
        <w:rPr>
          <w:rFonts w:ascii="Times New Roman" w:hAnsi="Times New Roman"/>
          <w:b/>
          <w:color w:val="000000" w:themeColor="text1"/>
          <w:sz w:val="28"/>
          <w:szCs w:val="28"/>
        </w:rPr>
      </w:pPr>
      <w:r>
        <w:rPr>
          <w:rFonts w:ascii="Times New Roman" w:eastAsia="Times New Roman" w:hAnsi="Times New Roman"/>
          <w:b/>
          <w:color w:val="000000" w:themeColor="text1"/>
          <w:sz w:val="28"/>
          <w:szCs w:val="28"/>
          <w:lang w:eastAsia="ru-RU"/>
        </w:rPr>
        <w:t>4.1.2. </w:t>
      </w:r>
      <w:r>
        <w:rPr>
          <w:rFonts w:ascii="Times New Roman" w:hAnsi="Times New Roman"/>
          <w:b/>
          <w:color w:val="000000" w:themeColor="text1"/>
          <w:sz w:val="28"/>
          <w:szCs w:val="28"/>
        </w:rPr>
        <w:t xml:space="preserve">Развитие подсистемы «Учет и отчетность» </w:t>
      </w:r>
      <w:r>
        <w:rPr>
          <w:rFonts w:ascii="Times New Roman" w:eastAsia="Times New Roman" w:hAnsi="Times New Roman"/>
          <w:b/>
          <w:color w:val="000000" w:themeColor="text1"/>
          <w:sz w:val="28"/>
          <w:szCs w:val="28"/>
          <w:lang w:eastAsia="ru-RU"/>
        </w:rPr>
        <w:t>ГИИС «Электронный бюджет»</w:t>
      </w:r>
    </w:p>
    <w:p>
      <w:pPr>
        <w:tabs>
          <w:tab w:val="left" w:pos="-720"/>
        </w:tabs>
        <w:suppressAutoHyphens/>
        <w:spacing w:after="0" w:line="360" w:lineRule="atLeast"/>
        <w:ind w:firstLine="709"/>
        <w:jc w:val="both"/>
        <w:rPr>
          <w:rFonts w:ascii="Times New Roman" w:eastAsia="Times New Roman" w:hAnsi="Times New Roman"/>
          <w:color w:val="000000" w:themeColor="text1"/>
          <w:sz w:val="28"/>
          <w:szCs w:val="28"/>
        </w:rPr>
      </w:pPr>
      <w:r>
        <w:rPr>
          <w:rFonts w:ascii="Times New Roman" w:hAnsi="Times New Roman"/>
          <w:color w:val="000000" w:themeColor="text1"/>
          <w:sz w:val="28"/>
          <w:szCs w:val="28"/>
        </w:rPr>
        <w:t xml:space="preserve">В 2016 году реализован функционал, </w:t>
      </w:r>
      <w:r>
        <w:rPr>
          <w:rFonts w:ascii="Times New Roman" w:eastAsia="Times New Roman" w:hAnsi="Times New Roman"/>
          <w:color w:val="000000" w:themeColor="text1"/>
          <w:sz w:val="28"/>
          <w:szCs w:val="28"/>
        </w:rPr>
        <w:t xml:space="preserve">обеспечивающий централизованную подготовку и представление ежемесячной, квартальной, оперативной бюджетной отчетности ГРБС, ГВФ РФ, финансовых органов, ТОФК, бухгалтерской отчетности ФБУ и ФАУ, а также свод </w:t>
      </w:r>
      <w:r>
        <w:rPr>
          <w:rFonts w:ascii="Times New Roman" w:eastAsia="Times New Roman" w:hAnsi="Times New Roman"/>
          <w:color w:val="000000" w:themeColor="text1"/>
          <w:sz w:val="28"/>
          <w:szCs w:val="28"/>
        </w:rPr>
        <w:br/>
        <w:t xml:space="preserve">и консолидацию отчетности об исполнении федерального бюджета </w:t>
      </w:r>
      <w:r>
        <w:rPr>
          <w:rFonts w:ascii="Times New Roman" w:eastAsia="Times New Roman" w:hAnsi="Times New Roman"/>
          <w:color w:val="000000" w:themeColor="text1"/>
          <w:sz w:val="28"/>
          <w:szCs w:val="28"/>
        </w:rPr>
        <w:br/>
        <w:t>в соответствии с действующими НПА.</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rPr>
        <w:t xml:space="preserve">При создании подсистемы </w:t>
      </w:r>
      <w:r>
        <w:rPr>
          <w:rFonts w:ascii="Times New Roman" w:hAnsi="Times New Roman"/>
          <w:color w:val="000000" w:themeColor="text1"/>
          <w:sz w:val="28"/>
          <w:szCs w:val="28"/>
        </w:rPr>
        <w:t xml:space="preserve">«Учет и отчетность» </w:t>
      </w:r>
      <w:r>
        <w:rPr>
          <w:rFonts w:ascii="Times New Roman" w:eastAsia="Times New Roman" w:hAnsi="Times New Roman"/>
          <w:color w:val="000000" w:themeColor="text1"/>
          <w:sz w:val="28"/>
          <w:szCs w:val="28"/>
        </w:rPr>
        <w:t>ГИИС «Электронный бюджет» были поставлены следующие цели:</w:t>
      </w:r>
    </w:p>
    <w:p>
      <w:pPr>
        <w:tabs>
          <w:tab w:val="left" w:pos="-720"/>
        </w:tabs>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прозрачность, открытость, подотчетность процессов централизованного составления, представления, свода и консолидации отчетности;</w:t>
      </w:r>
    </w:p>
    <w:p>
      <w:pPr>
        <w:tabs>
          <w:tab w:val="left" w:pos="-720"/>
        </w:tabs>
        <w:suppressAutoHyphen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единые требования к бизнес-процессам ведения бюджетного (бухгалтерского) учета и формирования бюджетной (бухгалтерской) отчетности, а также иной управленческой отчетности;</w:t>
      </w:r>
    </w:p>
    <w:p>
      <w:pPr>
        <w:pStyle w:val="a5"/>
        <w:tabs>
          <w:tab w:val="left" w:pos="-720"/>
        </w:tabs>
        <w:suppressAutoHyphens/>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единые требования к обеспечению автоматизации отчетных процедур.</w:t>
      </w:r>
    </w:p>
    <w:p>
      <w:pPr>
        <w:tabs>
          <w:tab w:val="left" w:pos="-720"/>
        </w:tabs>
        <w:suppressAutoHyphen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рамках развития подсистемы </w:t>
      </w:r>
      <w:r>
        <w:rPr>
          <w:rFonts w:ascii="Times New Roman" w:hAnsi="Times New Roman"/>
          <w:color w:val="000000" w:themeColor="text1"/>
          <w:sz w:val="28"/>
          <w:szCs w:val="28"/>
        </w:rPr>
        <w:t xml:space="preserve">«Учет и отчетность» </w:t>
      </w:r>
      <w:r>
        <w:rPr>
          <w:rFonts w:ascii="Times New Roman" w:eastAsia="Times New Roman" w:hAnsi="Times New Roman"/>
          <w:color w:val="000000" w:themeColor="text1"/>
          <w:sz w:val="28"/>
          <w:szCs w:val="28"/>
        </w:rPr>
        <w:t xml:space="preserve">ГИИС «Электронный бюджет» разработан инструмент, позволяющий </w:t>
      </w:r>
      <w:r>
        <w:rPr>
          <w:rFonts w:ascii="Times New Roman" w:eastAsia="Times New Roman" w:hAnsi="Times New Roman"/>
          <w:color w:val="000000" w:themeColor="text1"/>
          <w:sz w:val="28"/>
          <w:szCs w:val="28"/>
          <w:lang w:eastAsia="ru-RU"/>
        </w:rPr>
        <w:t xml:space="preserve">осуществлять выборки данных из бюджетной отчетности по правилам </w:t>
      </w:r>
      <w:r>
        <w:rPr>
          <w:rFonts w:ascii="Times New Roman" w:eastAsia="Times New Roman" w:hAnsi="Times New Roman"/>
          <w:color w:val="000000" w:themeColor="text1"/>
          <w:sz w:val="28"/>
          <w:szCs w:val="28"/>
          <w:lang w:eastAsia="ru-RU"/>
        </w:rPr>
        <w:br/>
        <w:t>и алгоритмам, произвольно заданным пользователем. Аналитический отчет, сформированный с помощью указанного инструмента, выводится в формате «</w:t>
      </w:r>
      <w:r>
        <w:rPr>
          <w:rFonts w:ascii="Times New Roman" w:eastAsia="Times New Roman" w:hAnsi="Times New Roman"/>
          <w:color w:val="000000" w:themeColor="text1"/>
          <w:sz w:val="28"/>
          <w:szCs w:val="28"/>
          <w:lang w:val="en-US" w:eastAsia="ru-RU"/>
        </w:rPr>
        <w:t>Excel</w:t>
      </w:r>
      <w:r>
        <w:rPr>
          <w:rFonts w:ascii="Times New Roman" w:eastAsia="Times New Roman" w:hAnsi="Times New Roman"/>
          <w:color w:val="000000" w:themeColor="text1"/>
          <w:sz w:val="28"/>
          <w:szCs w:val="28"/>
          <w:lang w:eastAsia="ru-RU"/>
        </w:rPr>
        <w:t xml:space="preserve">», в котором автоматически подводятся итоги и </w:t>
      </w:r>
      <w:proofErr w:type="spellStart"/>
      <w:r>
        <w:rPr>
          <w:rFonts w:ascii="Times New Roman" w:eastAsia="Times New Roman" w:hAnsi="Times New Roman"/>
          <w:color w:val="000000" w:themeColor="text1"/>
          <w:sz w:val="28"/>
          <w:szCs w:val="28"/>
          <w:lang w:eastAsia="ru-RU"/>
        </w:rPr>
        <w:t>подытоги</w:t>
      </w:r>
      <w:proofErr w:type="spellEnd"/>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br/>
        <w:t xml:space="preserve">В соответствии с заданными параметрами отчет может выводиться </w:t>
      </w:r>
      <w:r>
        <w:rPr>
          <w:rFonts w:ascii="Times New Roman" w:eastAsia="Times New Roman" w:hAnsi="Times New Roman"/>
          <w:color w:val="000000" w:themeColor="text1"/>
          <w:sz w:val="28"/>
          <w:szCs w:val="28"/>
          <w:lang w:eastAsia="ru-RU"/>
        </w:rPr>
        <w:br/>
        <w:t xml:space="preserve">на нескольких листах. Доработан функционал, </w:t>
      </w:r>
      <w:r>
        <w:rPr>
          <w:rFonts w:ascii="Times New Roman" w:eastAsia="Times New Roman" w:hAnsi="Times New Roman"/>
          <w:color w:val="000000" w:themeColor="text1"/>
          <w:sz w:val="28"/>
          <w:szCs w:val="28"/>
        </w:rPr>
        <w:t xml:space="preserve">обеспечивающий возможность делегирования полномочий по выполнению бизнес-процессов в подсистеме </w:t>
      </w:r>
      <w:r>
        <w:rPr>
          <w:rFonts w:ascii="Times New Roman" w:hAnsi="Times New Roman"/>
          <w:color w:val="000000" w:themeColor="text1"/>
          <w:sz w:val="28"/>
          <w:szCs w:val="28"/>
        </w:rPr>
        <w:t xml:space="preserve">«Учет и отчетность» </w:t>
      </w:r>
      <w:r>
        <w:rPr>
          <w:rFonts w:ascii="Times New Roman" w:eastAsia="Times New Roman" w:hAnsi="Times New Roman"/>
          <w:color w:val="000000" w:themeColor="text1"/>
          <w:sz w:val="28"/>
          <w:szCs w:val="28"/>
        </w:rPr>
        <w:t xml:space="preserve">ГИИС «Электронный бюджет», а также функционал, обеспечивающий возможность представления бюджетной (бухгалтерской) отчетности на уровне ГРБС, распорядителей средств федерального бюджета, получателей бюджетных средств вместо подведомственных им организаций, которые не имеют возможности работать в подсистеме </w:t>
      </w:r>
      <w:r>
        <w:rPr>
          <w:rFonts w:ascii="Times New Roman" w:hAnsi="Times New Roman"/>
          <w:color w:val="000000" w:themeColor="text1"/>
          <w:sz w:val="28"/>
          <w:szCs w:val="28"/>
        </w:rPr>
        <w:t xml:space="preserve">«Учет и отчетность» </w:t>
      </w:r>
      <w:r>
        <w:rPr>
          <w:rFonts w:ascii="Times New Roman" w:eastAsia="Times New Roman" w:hAnsi="Times New Roman"/>
          <w:color w:val="000000" w:themeColor="text1"/>
          <w:sz w:val="28"/>
          <w:szCs w:val="28"/>
        </w:rPr>
        <w:t>ГИИС «Электронный бюджет».</w:t>
      </w:r>
    </w:p>
    <w:p>
      <w:pPr>
        <w:pStyle w:val="OTRNormal"/>
        <w:spacing w:before="0" w:after="0" w:line="360" w:lineRule="atLeast"/>
        <w:ind w:firstLine="709"/>
        <w:rPr>
          <w:color w:val="000000" w:themeColor="text1"/>
          <w:sz w:val="28"/>
          <w:szCs w:val="28"/>
        </w:rPr>
      </w:pPr>
      <w:r>
        <w:rPr>
          <w:color w:val="000000" w:themeColor="text1"/>
          <w:sz w:val="28"/>
          <w:szCs w:val="28"/>
        </w:rPr>
        <w:t>Развитие подсистемы «Учет и отчетность» ГИИС «Электронный бюджет» выполнено в соответствии с требованиями следующих приказов Минфина России:</w:t>
      </w:r>
    </w:p>
    <w:p>
      <w:pPr>
        <w:pStyle w:val="OTRNormal"/>
        <w:spacing w:before="0" w:after="0" w:line="360" w:lineRule="atLeast"/>
        <w:ind w:firstLine="709"/>
        <w:rPr>
          <w:color w:val="000000" w:themeColor="text1"/>
          <w:sz w:val="28"/>
          <w:szCs w:val="28"/>
        </w:rPr>
      </w:pPr>
      <w:r>
        <w:rPr>
          <w:color w:val="000000" w:themeColor="text1"/>
          <w:sz w:val="28"/>
          <w:szCs w:val="28"/>
        </w:rPr>
        <w:lastRenderedPageBreak/>
        <w:t xml:space="preserve">– от </w:t>
      </w:r>
      <w:r>
        <w:rPr>
          <w:rFonts w:eastAsia="Calibri"/>
          <w:color w:val="000000" w:themeColor="text1"/>
          <w:sz w:val="28"/>
          <w:szCs w:val="28"/>
        </w:rPr>
        <w:t xml:space="preserve">28 декабря 2010 г. № 191н «Об утверждении инструкции </w:t>
      </w:r>
      <w:r>
        <w:rPr>
          <w:rFonts w:eastAsia="Calibri"/>
          <w:color w:val="000000" w:themeColor="text1"/>
          <w:sz w:val="28"/>
          <w:szCs w:val="28"/>
        </w:rPr>
        <w:br/>
        <w:t>о порядке составления и представления годовой, квартальной и месячной отчетности об исполнении бюджетов бюджетной системы Российской Федерации»;</w:t>
      </w:r>
    </w:p>
    <w:p>
      <w:pPr>
        <w:pStyle w:val="OTRNormal"/>
        <w:spacing w:before="0" w:after="0" w:line="360" w:lineRule="atLeast"/>
        <w:ind w:firstLine="709"/>
        <w:rPr>
          <w:color w:val="000000" w:themeColor="text1"/>
          <w:sz w:val="28"/>
          <w:szCs w:val="28"/>
        </w:rPr>
      </w:pPr>
      <w:r>
        <w:rPr>
          <w:color w:val="000000" w:themeColor="text1"/>
          <w:sz w:val="28"/>
          <w:szCs w:val="28"/>
        </w:rPr>
        <w:t>– </w:t>
      </w:r>
      <w:r>
        <w:rPr>
          <w:rFonts w:eastAsia="Calibri"/>
          <w:color w:val="000000" w:themeColor="text1"/>
          <w:sz w:val="28"/>
          <w:szCs w:val="28"/>
        </w:rPr>
        <w:t>от 25 марта 2011 г. № 33н «Об утверждении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w:t>
      </w:r>
    </w:p>
    <w:p>
      <w:pPr>
        <w:pStyle w:val="OTRNormal"/>
        <w:spacing w:before="0" w:after="0" w:line="360" w:lineRule="atLeast"/>
        <w:ind w:firstLine="709"/>
        <w:rPr>
          <w:color w:val="000000" w:themeColor="text1"/>
          <w:sz w:val="28"/>
          <w:szCs w:val="28"/>
        </w:rPr>
      </w:pPr>
      <w:r>
        <w:rPr>
          <w:rFonts w:eastAsia="Calibri"/>
          <w:color w:val="000000" w:themeColor="text1"/>
          <w:sz w:val="28"/>
          <w:szCs w:val="28"/>
        </w:rPr>
        <w:t xml:space="preserve">– от 11 апреля 2016 г. № 116 «Об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 перечня таких форм, а также рекомендаций </w:t>
      </w:r>
      <w:r>
        <w:rPr>
          <w:rFonts w:eastAsia="Calibri"/>
          <w:color w:val="000000" w:themeColor="text1"/>
          <w:sz w:val="28"/>
          <w:szCs w:val="28"/>
        </w:rPr>
        <w:br/>
        <w:t>по формированию некоторых форм»,</w:t>
      </w:r>
    </w:p>
    <w:p>
      <w:pPr>
        <w:pStyle w:val="OTRNormal"/>
        <w:spacing w:before="0" w:after="0" w:line="360" w:lineRule="atLeast"/>
        <w:ind w:firstLine="709"/>
        <w:rPr>
          <w:color w:val="000000" w:themeColor="text1"/>
          <w:sz w:val="28"/>
          <w:szCs w:val="28"/>
        </w:rPr>
      </w:pPr>
      <w:r>
        <w:rPr>
          <w:color w:val="000000" w:themeColor="text1"/>
          <w:sz w:val="28"/>
          <w:szCs w:val="28"/>
        </w:rPr>
        <w:t xml:space="preserve">а также приказ Минфина России </w:t>
      </w:r>
      <w:r>
        <w:rPr>
          <w:rFonts w:eastAsia="Calibri"/>
          <w:color w:val="000000" w:themeColor="text1"/>
          <w:sz w:val="28"/>
          <w:szCs w:val="28"/>
        </w:rPr>
        <w:t>от</w:t>
      </w:r>
      <w:r>
        <w:rPr>
          <w:color w:val="000000" w:themeColor="text1"/>
          <w:sz w:val="28"/>
          <w:szCs w:val="28"/>
        </w:rPr>
        <w:t xml:space="preserve"> 1 марта 2016 г. № 15н </w:t>
      </w:r>
      <w:r>
        <w:rPr>
          <w:color w:val="000000" w:themeColor="text1"/>
          <w:sz w:val="28"/>
          <w:szCs w:val="28"/>
        </w:rPr>
        <w:br/>
        <w:t>«Об утверждении дополнительных форм годовой и квартальной бюджетной отчетности об исполнении федерального бюджета и инструкции о порядке их составления и представления».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приказ Федерального казначейства от 4 декабря 2015 г. № 339</w:t>
      </w:r>
      <w:r>
        <w:rPr>
          <w:rFonts w:ascii="Times New Roman" w:eastAsia="Times New Roman" w:hAnsi="Times New Roman"/>
          <w:color w:val="000000" w:themeColor="text1"/>
          <w:sz w:val="28"/>
          <w:szCs w:val="28"/>
          <w:lang w:eastAsia="ru-RU"/>
        </w:rPr>
        <w:br/>
        <w:t>«Об утверждении Особенностей формирования бюджетной отчетности</w:t>
      </w:r>
      <w:r>
        <w:rPr>
          <w:rFonts w:ascii="Times New Roman" w:eastAsia="Times New Roman" w:hAnsi="Times New Roman"/>
          <w:color w:val="000000" w:themeColor="text1"/>
          <w:sz w:val="28"/>
          <w:szCs w:val="28"/>
          <w:lang w:eastAsia="ru-RU"/>
        </w:rPr>
        <w:br/>
        <w:t>по кассовому исполнению федерального бюджета, кассовому обслуживанию исполнения бюджетов бюджетной системы Российской Федерации, по операциям со средствами бюджетных, автономных учреждений и иных юридических лиц территориальными органами Федерального казначейства».</w:t>
      </w:r>
    </w:p>
    <w:p>
      <w:pPr>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26</w:t>
      </w:r>
    </w:p>
    <w:p>
      <w:pPr>
        <w:spacing w:before="120" w:after="120" w:line="240" w:lineRule="auto"/>
        <w:ind w:firstLine="709"/>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Формирования и представления отчетности в подсистеме</w:t>
      </w:r>
      <w:r>
        <w:rPr>
          <w:rFonts w:ascii="Times New Roman" w:eastAsia="Times New Roman" w:hAnsi="Times New Roman"/>
          <w:b/>
          <w:color w:val="000000" w:themeColor="text1"/>
          <w:sz w:val="28"/>
          <w:szCs w:val="28"/>
        </w:rPr>
        <w:br/>
      </w:r>
      <w:r>
        <w:rPr>
          <w:rFonts w:ascii="Times New Roman" w:eastAsiaTheme="minorHAnsi" w:hAnsi="Times New Roman"/>
          <w:b/>
          <w:color w:val="000000" w:themeColor="text1"/>
          <w:sz w:val="28"/>
          <w:szCs w:val="28"/>
        </w:rPr>
        <w:t xml:space="preserve">«Учет и отчетность» </w:t>
      </w:r>
      <w:r>
        <w:rPr>
          <w:rFonts w:ascii="Times New Roman" w:eastAsia="Times New Roman" w:hAnsi="Times New Roman"/>
          <w:b/>
          <w:color w:val="000000" w:themeColor="text1"/>
          <w:sz w:val="28"/>
          <w:szCs w:val="28"/>
        </w:rPr>
        <w:t>ГИИС «Электронный бюджет»</w:t>
      </w:r>
    </w:p>
    <w:p>
      <w:pPr>
        <w:spacing w:before="120" w:after="120" w:line="240" w:lineRule="auto"/>
        <w:ind w:firstLine="709"/>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635610" cy="2520564"/>
            <wp:effectExtent l="0" t="0" r="0" b="0"/>
            <wp:docPr id="27722" name="Рисунок 2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35610" cy="2520564"/>
                    </a:xfrm>
                    <a:prstGeom prst="rect">
                      <a:avLst/>
                    </a:prstGeom>
                    <a:noFill/>
                  </pic:spPr>
                </pic:pic>
              </a:graphicData>
            </a:graphic>
          </wp:inline>
        </w:drawing>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 xml:space="preserve">Всего на протяжении 2016 года в подсистеме </w:t>
      </w:r>
      <w:r>
        <w:rPr>
          <w:rFonts w:ascii="Times New Roman" w:eastAsiaTheme="minorHAnsi" w:hAnsi="Times New Roman"/>
          <w:color w:val="000000" w:themeColor="text1"/>
          <w:sz w:val="28"/>
          <w:szCs w:val="28"/>
        </w:rPr>
        <w:t xml:space="preserve">«Учет и отчетность» </w:t>
      </w:r>
      <w:r>
        <w:rPr>
          <w:rFonts w:ascii="Times New Roman" w:eastAsia="Times New Roman" w:hAnsi="Times New Roman"/>
          <w:color w:val="000000" w:themeColor="text1"/>
          <w:sz w:val="28"/>
          <w:szCs w:val="28"/>
        </w:rPr>
        <w:t>ГИИС «Электронный бюджет» реализовано: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64 отчета ГРБС бюджетных и автономных учреждений;</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16 отчетов ТОФК;</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12 отчетов финансовых органов и ГВФ РФ;</w:t>
      </w:r>
    </w:p>
    <w:p>
      <w:pPr>
        <w:spacing w:after="0" w:line="360" w:lineRule="atLeast"/>
        <w:ind w:firstLine="709"/>
        <w:jc w:val="both"/>
        <w:rPr>
          <w:rFonts w:ascii="Times New Roman" w:eastAsia="Times New Roman" w:hAnsi="Times New Roman"/>
          <w:i/>
          <w:color w:val="000000" w:themeColor="text1"/>
          <w:sz w:val="24"/>
          <w:szCs w:val="24"/>
          <w:lang w:eastAsia="ru-RU"/>
        </w:rPr>
      </w:pPr>
      <w:r>
        <w:rPr>
          <w:rFonts w:ascii="Times New Roman" w:eastAsia="Times New Roman" w:hAnsi="Times New Roman"/>
          <w:color w:val="000000" w:themeColor="text1"/>
          <w:sz w:val="28"/>
          <w:szCs w:val="28"/>
        </w:rPr>
        <w:t xml:space="preserve">– 9 исходящих отчетностей Федерального казначейства </w:t>
      </w:r>
      <w:r>
        <w:rPr>
          <w:rFonts w:ascii="Times New Roman" w:eastAsia="Times New Roman" w:hAnsi="Times New Roman"/>
          <w:color w:val="000000" w:themeColor="text1"/>
          <w:sz w:val="28"/>
          <w:szCs w:val="28"/>
        </w:rPr>
        <w:br/>
        <w:t>по исполнению федерального бюджета.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По состоянию на 1 января 2017 года к подсистеме </w:t>
      </w:r>
      <w:r>
        <w:rPr>
          <w:rFonts w:ascii="Times New Roman" w:eastAsiaTheme="minorHAnsi" w:hAnsi="Times New Roman"/>
          <w:color w:val="000000" w:themeColor="text1"/>
          <w:sz w:val="28"/>
          <w:szCs w:val="28"/>
        </w:rPr>
        <w:t xml:space="preserve">«Учет </w:t>
      </w:r>
      <w:r>
        <w:rPr>
          <w:rFonts w:ascii="Times New Roman" w:eastAsiaTheme="minorHAnsi" w:hAnsi="Times New Roman"/>
          <w:color w:val="000000" w:themeColor="text1"/>
          <w:sz w:val="28"/>
          <w:szCs w:val="28"/>
        </w:rPr>
        <w:br/>
        <w:t xml:space="preserve">и отчетность» </w:t>
      </w:r>
      <w:r>
        <w:rPr>
          <w:rFonts w:ascii="Times New Roman" w:eastAsia="Times New Roman" w:hAnsi="Times New Roman"/>
          <w:color w:val="000000" w:themeColor="text1"/>
          <w:sz w:val="28"/>
          <w:szCs w:val="28"/>
        </w:rPr>
        <w:t>ГИИС «Электронный бюджет» подключено 39 947 пользователей и 15 212 организаций.</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bCs/>
          <w:color w:val="000000" w:themeColor="text1"/>
          <w:sz w:val="28"/>
          <w:szCs w:val="28"/>
        </w:rPr>
        <w:t>Использование подсистемы «Учет и отчетность»</w:t>
      </w:r>
      <w:r>
        <w:rPr>
          <w:rFonts w:ascii="Times New Roman" w:eastAsia="Times New Roman" w:hAnsi="Times New Roman"/>
          <w:color w:val="000000" w:themeColor="text1"/>
          <w:sz w:val="28"/>
          <w:szCs w:val="28"/>
        </w:rPr>
        <w:t xml:space="preserve"> ГИИС «Электронный бюджет» предоставляет следующие п</w:t>
      </w:r>
      <w:r>
        <w:rPr>
          <w:rFonts w:ascii="Times New Roman" w:eastAsia="Times New Roman" w:hAnsi="Times New Roman"/>
          <w:bCs/>
          <w:color w:val="000000" w:themeColor="text1"/>
          <w:sz w:val="28"/>
          <w:szCs w:val="28"/>
        </w:rPr>
        <w:t>реимущества</w:t>
      </w:r>
      <w:r>
        <w:rPr>
          <w:rFonts w:ascii="Times New Roman" w:eastAsia="Times New Roman" w:hAnsi="Times New Roman"/>
          <w:color w:val="000000" w:themeColor="text1"/>
          <w:sz w:val="28"/>
          <w:szCs w:val="28"/>
        </w:rPr>
        <w:t>:</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возможность просмотра отчетов по каждому получателю бюджетных средств и каждому публично-правовому образованию, входящему в состав консолидированного бюджета субъекта Российской Федерации;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централизованное и унифицированное ведение справочной информации, в том числе ведение справочника «Настройка контрольных соотношений»;</w:t>
      </w:r>
    </w:p>
    <w:p>
      <w:pPr>
        <w:spacing w:after="0" w:line="360" w:lineRule="atLeast"/>
        <w:ind w:firstLine="709"/>
        <w:jc w:val="both"/>
        <w:rPr>
          <w:rFonts w:ascii="Times New Roman" w:eastAsia="Times New Roman" w:hAnsi="Times New Roman"/>
          <w:b/>
          <w:color w:val="000000" w:themeColor="text1"/>
          <w:sz w:val="28"/>
          <w:szCs w:val="28"/>
          <w:u w:val="single"/>
        </w:rPr>
      </w:pPr>
      <w:r>
        <w:rPr>
          <w:rFonts w:ascii="Times New Roman" w:eastAsia="Times New Roman" w:hAnsi="Times New Roman"/>
          <w:color w:val="000000" w:themeColor="text1"/>
          <w:sz w:val="28"/>
          <w:szCs w:val="28"/>
        </w:rPr>
        <w:t xml:space="preserve">– возможность осуществления контролируемой синхронизации локальных справочников </w:t>
      </w:r>
      <w:r>
        <w:rPr>
          <w:rFonts w:ascii="Times New Roman" w:eastAsia="Times New Roman" w:hAnsi="Times New Roman"/>
          <w:bCs/>
          <w:color w:val="000000" w:themeColor="text1"/>
          <w:sz w:val="28"/>
          <w:szCs w:val="28"/>
        </w:rPr>
        <w:t>подсистемы «Учет и отчетность»</w:t>
      </w:r>
      <w:r>
        <w:rPr>
          <w:rFonts w:ascii="Times New Roman" w:eastAsia="Times New Roman" w:hAnsi="Times New Roman"/>
          <w:color w:val="000000" w:themeColor="text1"/>
          <w:sz w:val="28"/>
          <w:szCs w:val="28"/>
        </w:rPr>
        <w:t xml:space="preserve"> ГИИС «Электронный бюджет» </w:t>
      </w:r>
      <w:r>
        <w:rPr>
          <w:rFonts w:ascii="Times New Roman" w:eastAsia="Times New Roman" w:hAnsi="Times New Roman"/>
          <w:bCs/>
          <w:color w:val="000000" w:themeColor="text1"/>
          <w:sz w:val="28"/>
          <w:szCs w:val="28"/>
        </w:rPr>
        <w:t>из подсистемы нормативной справочной информации;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возможность настройки субъектом отчетности локальных контрольных соотношений на основании справочника «Настройка контрольных соотношений»;</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невозможность корректировки данных отчетов после включения</w:t>
      </w:r>
      <w:r>
        <w:rPr>
          <w:rFonts w:ascii="Times New Roman" w:eastAsia="Times New Roman" w:hAnsi="Times New Roman"/>
          <w:color w:val="000000" w:themeColor="text1"/>
          <w:sz w:val="28"/>
          <w:szCs w:val="28"/>
        </w:rPr>
        <w:br/>
        <w:t>их в сводную отчетность;</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единое информационное пространство централизованного хранения бюджетной и бухгалтерской отчетности, формируемой во всех учреждениях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единовременное проведение обновления </w:t>
      </w:r>
      <w:r>
        <w:rPr>
          <w:rFonts w:ascii="Times New Roman" w:eastAsia="Times New Roman" w:hAnsi="Times New Roman"/>
          <w:bCs/>
          <w:color w:val="000000" w:themeColor="text1"/>
          <w:sz w:val="28"/>
          <w:szCs w:val="28"/>
        </w:rPr>
        <w:t xml:space="preserve">подсистемы «Учет </w:t>
      </w:r>
      <w:r>
        <w:rPr>
          <w:rFonts w:ascii="Times New Roman" w:eastAsia="Times New Roman" w:hAnsi="Times New Roman"/>
          <w:bCs/>
          <w:color w:val="000000" w:themeColor="text1"/>
          <w:sz w:val="28"/>
          <w:szCs w:val="28"/>
        </w:rPr>
        <w:br/>
        <w:t>и отчетность»</w:t>
      </w:r>
      <w:r>
        <w:rPr>
          <w:rFonts w:ascii="Times New Roman" w:eastAsia="Times New Roman" w:hAnsi="Times New Roman"/>
          <w:color w:val="000000" w:themeColor="text1"/>
          <w:sz w:val="28"/>
          <w:szCs w:val="28"/>
        </w:rPr>
        <w:t xml:space="preserve"> ГИИС «Электронный бюджет».</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bCs/>
          <w:color w:val="000000" w:themeColor="text1"/>
          <w:sz w:val="28"/>
          <w:szCs w:val="28"/>
        </w:rPr>
        <w:t xml:space="preserve">Информационное сопровождение внедрения подсистемы «Учет </w:t>
      </w:r>
      <w:r>
        <w:rPr>
          <w:rFonts w:ascii="Times New Roman" w:eastAsia="Times New Roman" w:hAnsi="Times New Roman"/>
          <w:bCs/>
          <w:color w:val="000000" w:themeColor="text1"/>
          <w:sz w:val="28"/>
          <w:szCs w:val="28"/>
        </w:rPr>
        <w:br/>
        <w:t>и отчетность»</w:t>
      </w:r>
      <w:r>
        <w:rPr>
          <w:rFonts w:ascii="Times New Roman" w:eastAsia="Times New Roman" w:hAnsi="Times New Roman"/>
          <w:color w:val="000000" w:themeColor="text1"/>
          <w:sz w:val="28"/>
          <w:szCs w:val="28"/>
        </w:rPr>
        <w:t xml:space="preserve"> ГИИС «Электронный бюджет» осуществляется </w:t>
      </w:r>
      <w:r>
        <w:rPr>
          <w:rFonts w:ascii="Times New Roman" w:eastAsia="Times New Roman" w:hAnsi="Times New Roman"/>
          <w:color w:val="000000" w:themeColor="text1"/>
          <w:sz w:val="28"/>
          <w:szCs w:val="28"/>
        </w:rPr>
        <w:br/>
        <w:t xml:space="preserve">на </w:t>
      </w:r>
      <w:r>
        <w:rPr>
          <w:rFonts w:ascii="Times New Roman" w:eastAsiaTheme="minorHAnsi" w:hAnsi="Times New Roman"/>
          <w:color w:val="000000" w:themeColor="text1"/>
          <w:sz w:val="28"/>
          <w:szCs w:val="28"/>
        </w:rPr>
        <w:t xml:space="preserve">Официальном сайте </w:t>
      </w:r>
      <w:hyperlink r:id="rId161" w:history="1">
        <w:r>
          <w:rPr>
            <w:rFonts w:ascii="Times New Roman" w:eastAsiaTheme="minorHAnsi" w:hAnsi="Times New Roman"/>
            <w:color w:val="000000" w:themeColor="text1"/>
            <w:sz w:val="28"/>
            <w:szCs w:val="28"/>
          </w:rPr>
          <w:t>www.roskazna.ru</w:t>
        </w:r>
      </w:hyperlink>
      <w:r>
        <w:rPr>
          <w:rFonts w:ascii="Times New Roman" w:eastAsiaTheme="minorHAnsi" w:hAnsi="Times New Roman"/>
          <w:color w:val="000000" w:themeColor="text1"/>
          <w:sz w:val="28"/>
          <w:szCs w:val="28"/>
        </w:rPr>
        <w:t xml:space="preserve"> </w:t>
      </w:r>
      <w:r>
        <w:rPr>
          <w:rFonts w:ascii="Times New Roman" w:eastAsia="Times New Roman" w:hAnsi="Times New Roman"/>
          <w:color w:val="000000" w:themeColor="text1"/>
          <w:sz w:val="28"/>
          <w:szCs w:val="28"/>
        </w:rPr>
        <w:t>в разделе «ГИИС</w:t>
      </w:r>
      <w:r>
        <w:rPr>
          <w:rFonts w:ascii="Times New Roman" w:eastAsia="Times New Roman" w:hAnsi="Times New Roman"/>
          <w:color w:val="000000" w:themeColor="text1"/>
          <w:sz w:val="28"/>
          <w:szCs w:val="28"/>
          <w:lang w:val="en-US"/>
        </w:rPr>
        <w:t> </w:t>
      </w:r>
      <w:r>
        <w:rPr>
          <w:rFonts w:ascii="Times New Roman" w:eastAsia="Times New Roman" w:hAnsi="Times New Roman"/>
          <w:color w:val="000000" w:themeColor="text1"/>
          <w:sz w:val="28"/>
          <w:szCs w:val="28"/>
        </w:rPr>
        <w:t>Электронный бюджет/ Учет и отчетность», где размещается:</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памятка по подключению пользователей;</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r>
        <w:rPr>
          <w:rFonts w:ascii="Times New Roman" w:eastAsiaTheme="minorHAnsi" w:hAnsi="Times New Roman"/>
          <w:color w:val="000000" w:themeColor="text1"/>
          <w:sz w:val="28"/>
          <w:szCs w:val="28"/>
        </w:rPr>
        <w:t> о</w:t>
      </w:r>
      <w:r>
        <w:rPr>
          <w:rFonts w:ascii="Times New Roman" w:eastAsia="Times New Roman" w:hAnsi="Times New Roman"/>
          <w:color w:val="000000" w:themeColor="text1"/>
          <w:sz w:val="28"/>
          <w:szCs w:val="28"/>
        </w:rPr>
        <w:t>рганизационные вопросы проведения опытной эксплуатации указанной подсистемы;</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 xml:space="preserve">– информация об обновлениях </w:t>
      </w:r>
      <w:r>
        <w:rPr>
          <w:rFonts w:ascii="Times New Roman" w:eastAsia="Times New Roman" w:hAnsi="Times New Roman"/>
          <w:bCs/>
          <w:color w:val="000000" w:themeColor="text1"/>
          <w:sz w:val="28"/>
          <w:szCs w:val="28"/>
        </w:rPr>
        <w:t>подсистемы «Учет и отчетность»</w:t>
      </w:r>
      <w:r>
        <w:rPr>
          <w:rFonts w:ascii="Times New Roman" w:eastAsia="Times New Roman" w:hAnsi="Times New Roman"/>
          <w:color w:val="000000" w:themeColor="text1"/>
          <w:sz w:val="28"/>
          <w:szCs w:val="28"/>
        </w:rPr>
        <w:t xml:space="preserve"> ГИИС «Электронный бюджет»;</w:t>
      </w:r>
    </w:p>
    <w:p>
      <w:pPr>
        <w:spacing w:after="0" w:line="360" w:lineRule="atLeast"/>
        <w:ind w:left="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обучающие материалы.</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4.1.3. Подсистема «Управление расходами» ГИИС «Электронный бюджет»</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2016 году в рамках развития подсистемы «Управление расходами» ГИИС «Электронный бюджет» разработаны два новых компонента: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ведение бюджетных обязательств;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ведение денежных обязательств.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Указанные компоненты позволяют осуществлять учет ТОФК бюджетных и денежных обязательств получателей средств федерального бюджета в соответствии с требованиями Приказа № 221н. Реализованный функционал позволяет пользователям с полномочиями получателя средств федерального бюджета формировать в своем личном кабинете ГИИС «Электронный бюджет» сведения о бюджетных и денежных обязательствах путем ввода данных в </w:t>
      </w:r>
      <w:r>
        <w:rPr>
          <w:rFonts w:ascii="Times New Roman" w:eastAsiaTheme="minorHAnsi" w:hAnsi="Times New Roman"/>
          <w:color w:val="000000" w:themeColor="text1"/>
          <w:sz w:val="28"/>
          <w:szCs w:val="28"/>
          <w:lang w:val="en-US"/>
        </w:rPr>
        <w:t>web</w:t>
      </w:r>
      <w:r>
        <w:rPr>
          <w:rFonts w:ascii="Times New Roman" w:eastAsiaTheme="minorHAnsi" w:hAnsi="Times New Roman"/>
          <w:color w:val="000000" w:themeColor="text1"/>
          <w:sz w:val="28"/>
          <w:szCs w:val="28"/>
        </w:rPr>
        <w:t>-интерфейс системы или путем импорта сведений из файлов, подготовленных в информационных системах получателей бюджетных средств.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Компонент ведения бюджетных обязательств реализован</w:t>
      </w:r>
      <w:r>
        <w:rPr>
          <w:rFonts w:ascii="Times New Roman" w:eastAsiaTheme="minorHAnsi" w:hAnsi="Times New Roman"/>
          <w:color w:val="000000" w:themeColor="text1"/>
          <w:sz w:val="28"/>
          <w:szCs w:val="28"/>
        </w:rPr>
        <w:br/>
        <w:t>в интеграции с подсистемой «Управление закупками» ГИИС «Электронный бюджет», что позволило реализовать сквозной бизнес-процесс по учету бюджетных обязательств, возникших на основании государственных контрактов, с одновременным включением информации о них в реестр контрактов и публикацией в ЕИС.</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До реализации в ГИИС «Электронный бюджет» подобного сквозного бизнес-процесса подача заказчиками информации для включения в реестр контрактов и представление сведений о бюджетных обязательствах</w:t>
      </w:r>
      <w:r>
        <w:rPr>
          <w:rFonts w:ascii="Times New Roman" w:eastAsiaTheme="minorHAnsi" w:hAnsi="Times New Roman"/>
          <w:color w:val="000000" w:themeColor="text1"/>
          <w:sz w:val="28"/>
          <w:szCs w:val="28"/>
        </w:rPr>
        <w:br/>
        <w:t>на основании государственных контрактов в органы Федерального казначейства обеспечивались отдельными бизнес-процессами. Внедрение</w:t>
      </w:r>
      <w:r>
        <w:rPr>
          <w:rFonts w:ascii="Times New Roman" w:eastAsiaTheme="minorHAnsi" w:hAnsi="Times New Roman"/>
          <w:color w:val="000000" w:themeColor="text1"/>
          <w:sz w:val="28"/>
          <w:szCs w:val="28"/>
        </w:rPr>
        <w:br/>
        <w:t>в ГИИС «Электронный бюджет» интегрированного сквозного бизнес-процесса позволит упростить процедуру подачи заказчиками сведений</w:t>
      </w:r>
      <w:r>
        <w:rPr>
          <w:rFonts w:ascii="Times New Roman" w:eastAsiaTheme="minorHAnsi" w:hAnsi="Times New Roman"/>
          <w:color w:val="000000" w:themeColor="text1"/>
          <w:sz w:val="28"/>
          <w:szCs w:val="28"/>
        </w:rPr>
        <w:br/>
        <w:t>в Федеральное казначейство и исключить расхождения в данных между двумя информационными ресурсами, тем самым повысив качество указанных данных.</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Также компонент ведения бюджетных обязательств интегрирован</w:t>
      </w:r>
      <w:r>
        <w:rPr>
          <w:rFonts w:ascii="Times New Roman" w:eastAsiaTheme="minorHAnsi" w:hAnsi="Times New Roman"/>
          <w:color w:val="000000" w:themeColor="text1"/>
          <w:sz w:val="28"/>
          <w:szCs w:val="28"/>
        </w:rPr>
        <w:br/>
        <w:t xml:space="preserve">с модулем формирования соглашений о предоставлении субсидий и ведения Реестра соглашений ГИИС «Электронный бюджет». Таким образом, </w:t>
      </w:r>
      <w:r>
        <w:rPr>
          <w:rFonts w:ascii="Times New Roman" w:eastAsiaTheme="minorHAnsi" w:hAnsi="Times New Roman"/>
          <w:color w:val="000000" w:themeColor="text1"/>
          <w:sz w:val="28"/>
          <w:szCs w:val="28"/>
        </w:rPr>
        <w:br/>
        <w:t xml:space="preserve">в рамках одного интегрированного сквозного бизнес-процесса обеспечена возможность заключения ГРБС соглашений о предоставлении субсидий </w:t>
      </w:r>
      <w:r>
        <w:rPr>
          <w:rFonts w:ascii="Times New Roman" w:eastAsiaTheme="minorHAnsi" w:hAnsi="Times New Roman"/>
          <w:color w:val="000000" w:themeColor="text1"/>
          <w:sz w:val="28"/>
          <w:szCs w:val="28"/>
        </w:rPr>
        <w:br/>
      </w:r>
      <w:r>
        <w:rPr>
          <w:rFonts w:ascii="Times New Roman" w:eastAsiaTheme="minorHAnsi" w:hAnsi="Times New Roman"/>
          <w:color w:val="000000" w:themeColor="text1"/>
          <w:sz w:val="28"/>
          <w:szCs w:val="28"/>
        </w:rPr>
        <w:lastRenderedPageBreak/>
        <w:t xml:space="preserve">в электронной форме, подачи сведений о них в Федеральное казначейство для включения в Реестр соглашений и постановки на учет соответствующих бюджетных обязательств. </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Кроме того, в рамках создания компонентов по ведению бюджетных </w:t>
      </w:r>
      <w:r>
        <w:rPr>
          <w:rFonts w:ascii="Times New Roman" w:eastAsiaTheme="minorHAnsi" w:hAnsi="Times New Roman"/>
          <w:color w:val="000000" w:themeColor="text1"/>
          <w:sz w:val="28"/>
          <w:szCs w:val="28"/>
        </w:rPr>
        <w:br/>
        <w:t xml:space="preserve">и денежных обязательств реализована интеграция ГИИС «Электронный бюджет» с ППО «АСФК». Таким способом бюджетные и денежные обязательства, сформированные и поставленные на учет </w:t>
      </w:r>
      <w:r>
        <w:rPr>
          <w:rFonts w:ascii="Times New Roman" w:eastAsiaTheme="minorHAnsi" w:hAnsi="Times New Roman"/>
          <w:color w:val="000000" w:themeColor="text1"/>
          <w:sz w:val="28"/>
          <w:szCs w:val="28"/>
        </w:rPr>
        <w:br/>
        <w:t>в ГИИС «Электронный бюджет», автоматически отражаются на лицевых счетах получателей средств федерального бюджета, ведение которых осуществляется в ППО «АСФК», а информация об оплате обязательств автоматически передается из ППО «АСФК» в ГИИС «Электронный бюджет» для отражения в реестре расходных обязательств.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Также обеспечена интеграция подсистемы «Управление расходами» ГИИС «Электронный бюджет» с ГАС «Управление»: сведения </w:t>
      </w:r>
      <w:r>
        <w:rPr>
          <w:rFonts w:ascii="Times New Roman" w:eastAsiaTheme="minorHAnsi" w:hAnsi="Times New Roman"/>
          <w:color w:val="000000" w:themeColor="text1"/>
          <w:sz w:val="28"/>
          <w:szCs w:val="28"/>
        </w:rPr>
        <w:br/>
        <w:t xml:space="preserve">об операциях на лицевых счетах юридических лиц, открытых в рамках казначейского сопровождения государственных контрактов (договоров, соглашений), автоматически передается из подсистемы «Управление расходами» ГИИС «Электронный бюджет» в ГАС «Управление» </w:t>
      </w:r>
      <w:r>
        <w:rPr>
          <w:rFonts w:ascii="Times New Roman" w:eastAsiaTheme="minorHAnsi" w:hAnsi="Times New Roman"/>
          <w:color w:val="000000" w:themeColor="text1"/>
          <w:sz w:val="28"/>
          <w:szCs w:val="28"/>
        </w:rPr>
        <w:br/>
        <w:t>для формирования отчетности по казначейскому сопровождению государственных контрактов (договоров, соглашений).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По состоянию на 31 декабря 2016 года: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функционал по передаче в ГАС «Управление» сведений</w:t>
      </w:r>
      <w:r>
        <w:rPr>
          <w:rFonts w:ascii="Times New Roman" w:eastAsiaTheme="minorHAnsi" w:hAnsi="Times New Roman"/>
          <w:color w:val="000000" w:themeColor="text1"/>
          <w:sz w:val="28"/>
          <w:szCs w:val="28"/>
        </w:rPr>
        <w:br/>
        <w:t>об операциях на лицевых счетах для формирования отчетности</w:t>
      </w:r>
      <w:r>
        <w:rPr>
          <w:rFonts w:ascii="Times New Roman" w:eastAsiaTheme="minorHAnsi" w:hAnsi="Times New Roman"/>
          <w:color w:val="000000" w:themeColor="text1"/>
          <w:sz w:val="28"/>
          <w:szCs w:val="28"/>
        </w:rPr>
        <w:br/>
        <w:t>по казначейскому сопровождению эксплуатируется в полном объеме</w:t>
      </w:r>
      <w:r>
        <w:rPr>
          <w:rFonts w:ascii="Times New Roman" w:eastAsiaTheme="minorHAnsi" w:hAnsi="Times New Roman"/>
          <w:color w:val="000000" w:themeColor="text1"/>
          <w:sz w:val="28"/>
          <w:szCs w:val="28"/>
        </w:rPr>
        <w:br/>
        <w:t>по всем лицевым счетам;</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компоненты подсистемы «Управление расходами» ГИИС «Электронный бюджет» по ведению бюджетных и денежных обязательств находятся в режиме опытной эксплуатации, в том числе, </w:t>
      </w:r>
      <w:r>
        <w:rPr>
          <w:rFonts w:ascii="Times New Roman" w:eastAsiaTheme="minorHAnsi" w:hAnsi="Times New Roman"/>
          <w:color w:val="000000" w:themeColor="text1"/>
          <w:sz w:val="28"/>
          <w:szCs w:val="28"/>
        </w:rPr>
        <w:br/>
        <w:t>в части интеграции с подсистемой «Управление закупками»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по 3 «пилотным» ГРБС проводится опытная эксплуатация</w:t>
      </w:r>
      <w:r>
        <w:rPr>
          <w:rFonts w:ascii="Times New Roman" w:eastAsiaTheme="minorHAnsi" w:hAnsi="Times New Roman"/>
          <w:color w:val="000000" w:themeColor="text1"/>
          <w:sz w:val="28"/>
          <w:szCs w:val="28"/>
        </w:rPr>
        <w:br/>
        <w:t>по интеграции компонента ведения бюджетных обязательств и компонента по ведению Реестра соглашений, в том числе, по 1 ГРБС – в режиме интеграции с компонентом по формированию соглашений</w:t>
      </w:r>
      <w:r>
        <w:rPr>
          <w:rFonts w:ascii="Times New Roman" w:eastAsiaTheme="minorHAnsi" w:hAnsi="Times New Roman"/>
          <w:color w:val="000000" w:themeColor="text1"/>
          <w:sz w:val="28"/>
          <w:szCs w:val="28"/>
        </w:rPr>
        <w:br/>
        <w:t>о предоставлении субсидий.</w:t>
      </w:r>
    </w:p>
    <w:p>
      <w:pPr>
        <w:pStyle w:val="1"/>
        <w:keepNext w:val="0"/>
        <w:keepLines w:val="0"/>
        <w:spacing w:before="120" w:after="120" w:line="240" w:lineRule="auto"/>
        <w:ind w:firstLine="709"/>
        <w:jc w:val="both"/>
        <w:rPr>
          <w:rFonts w:ascii="Times New Roman" w:hAnsi="Times New Roman"/>
          <w:color w:val="000000" w:themeColor="text1"/>
        </w:rPr>
      </w:pPr>
      <w:r>
        <w:rPr>
          <w:rFonts w:ascii="Times New Roman" w:hAnsi="Times New Roman"/>
          <w:color w:val="000000" w:themeColor="text1"/>
        </w:rPr>
        <w:t>4.1.4. Подсистема «Управление закупками» ГИИС «Электронный бюджет»</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Обеспечение интеграции бюджетных и закупочных процессов </w:t>
      </w:r>
      <w:r>
        <w:rPr>
          <w:rFonts w:ascii="Times New Roman" w:eastAsiaTheme="minorHAnsi" w:hAnsi="Times New Roman"/>
          <w:color w:val="000000" w:themeColor="text1"/>
          <w:sz w:val="28"/>
          <w:szCs w:val="28"/>
        </w:rPr>
        <w:br/>
        <w:t xml:space="preserve">от инициации потребности, планирования и размещения заказа </w:t>
      </w:r>
      <w:r>
        <w:rPr>
          <w:rFonts w:ascii="Times New Roman" w:eastAsiaTheme="minorHAnsi" w:hAnsi="Times New Roman"/>
          <w:color w:val="000000" w:themeColor="text1"/>
          <w:sz w:val="28"/>
          <w:szCs w:val="28"/>
        </w:rPr>
        <w:br/>
      </w:r>
      <w:r>
        <w:rPr>
          <w:rFonts w:ascii="Times New Roman" w:eastAsiaTheme="minorHAnsi" w:hAnsi="Times New Roman"/>
          <w:color w:val="000000" w:themeColor="text1"/>
          <w:sz w:val="28"/>
          <w:szCs w:val="28"/>
        </w:rPr>
        <w:lastRenderedPageBreak/>
        <w:t xml:space="preserve">до заключения в электронной форме контракта, принятия работ и оценки результата исполнения контракта является целевой схемой </w:t>
      </w:r>
      <w:r>
        <w:rPr>
          <w:rFonts w:ascii="Times New Roman" w:eastAsiaTheme="minorHAnsi" w:hAnsi="Times New Roman"/>
          <w:color w:val="000000" w:themeColor="text1"/>
          <w:sz w:val="28"/>
          <w:szCs w:val="28"/>
        </w:rPr>
        <w:br/>
        <w:t xml:space="preserve">для обеспечения информационного взаимодействия контрактной системы </w:t>
      </w:r>
      <w:r>
        <w:rPr>
          <w:rFonts w:ascii="Times New Roman" w:eastAsiaTheme="minorHAnsi" w:hAnsi="Times New Roman"/>
          <w:color w:val="000000" w:themeColor="text1"/>
          <w:sz w:val="28"/>
          <w:szCs w:val="28"/>
        </w:rPr>
        <w:br/>
        <w:t>в сфере закупок.</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рамках ГИИС «Электронный бюджет» в настоящее время осуществляются такие процессы как бюджетное планирование, формирование и доведение ЛБО, формирование сведений о заключенных государственных контрактах и формирование сведений о банковских гарантиях.</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настоящее время значительные успехи достигнуты в развитии функциональных возможностей подсистемы «Управление закупками» ГИИС «Электронный бюджет» в части модуля формирования и ведения документации в целях определения поставщика (подрядчика, исполнителя), модуля формирования и ведения документации о заключении, исполнении, изменении, расторжении контракта (договора), модуля формирования </w:t>
      </w:r>
      <w:r>
        <w:rPr>
          <w:rFonts w:ascii="Times New Roman" w:hAnsi="Times New Roman"/>
          <w:color w:val="000000" w:themeColor="text1"/>
          <w:sz w:val="28"/>
          <w:szCs w:val="28"/>
          <w:lang w:eastAsia="ru-RU"/>
        </w:rPr>
        <w:br/>
        <w:t xml:space="preserve">и ведения реестров, предусмотренных статьей 1 Федерального закона </w:t>
      </w:r>
      <w:r>
        <w:rPr>
          <w:rFonts w:ascii="Times New Roman" w:hAnsi="Times New Roman"/>
          <w:color w:val="000000" w:themeColor="text1"/>
          <w:sz w:val="28"/>
          <w:szCs w:val="28"/>
          <w:lang w:eastAsia="ru-RU"/>
        </w:rPr>
        <w:br/>
        <w:t>№ 44-ФЗ.</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По итогам 2016 года введены в эксплуатацию следующие функциональные возможности подсистемы «Управление закупками» ГИИС «Электронный бюджет»:</w:t>
      </w:r>
    </w:p>
    <w:p>
      <w:pPr>
        <w:tabs>
          <w:tab w:val="left" w:pos="0"/>
          <w:tab w:val="left" w:pos="567"/>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1. В части модуля формирования и ведения документации</w:t>
      </w:r>
      <w:r>
        <w:rPr>
          <w:rFonts w:ascii="Times New Roman" w:hAnsi="Times New Roman"/>
          <w:color w:val="000000" w:themeColor="text1"/>
          <w:sz w:val="28"/>
          <w:szCs w:val="28"/>
          <w:lang w:eastAsia="ru-RU"/>
        </w:rPr>
        <w:br/>
        <w:t>по планированию:</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подготовка заказчиками предложений по закупкам в целях формирования ГРБС обоснований бюджетных ассигнований по закупкам</w:t>
      </w:r>
      <w:r>
        <w:rPr>
          <w:rFonts w:ascii="Times New Roman" w:hAnsi="Times New Roman"/>
          <w:color w:val="000000" w:themeColor="text1"/>
          <w:sz w:val="28"/>
          <w:szCs w:val="28"/>
          <w:lang w:eastAsia="ru-RU"/>
        </w:rPr>
        <w:br/>
        <w:t>в соответствии с Методическими рекомендациями по формированию обоснований бюджетных ассигнований из федерального бюджета</w:t>
      </w:r>
      <w:r>
        <w:rPr>
          <w:rFonts w:ascii="Times New Roman" w:hAnsi="Times New Roman"/>
          <w:color w:val="000000" w:themeColor="text1"/>
          <w:sz w:val="28"/>
          <w:szCs w:val="28"/>
          <w:lang w:eastAsia="ru-RU"/>
        </w:rPr>
        <w:br/>
        <w:t>на 2017 год и плановый период 2018 и 2019 годов на закупку товаров, работ, услуг по видам расходов 200, 242, 300, 400;</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миграция из ЕИС по инициативе пользователя ранее размещенных планов-графиков закупок на 2016 год, сформированных в личном кабинете ЕИС в соответствии с требованиями совместного приказа Минэкономразвития России и Федерального казначейства от 31 марта 2015 г. № 182/7н, с автоматическим формированием позиций плана-графика закупок и непосредственно плана-графика закупок, формированием соответствующих плану-графику позиций плана закупок и с обеспечением возможности формирования плана закупок вручную (при необходимости);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обеспечено формирование позиций плана-графика закупок, плана закупок в соответствии с требованиями постановлений Правительства Российской Федерации: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от 5 июня 2015 г. № 552 «Об утверждении Правил формирования, утверждения и ведения плана закупок товаров, работ, услуг для обеспечения федеральных нужд, а также требований к форме плана закупок товаров, работ, услуг для обеспечения федеральных нужд»;</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от 5 июня 2015 г. № 553 «Об утверждении Правил формирования, утверждения и ведения плана-графика закупок товаров, работ, услуг </w:t>
      </w:r>
      <w:r>
        <w:rPr>
          <w:rFonts w:ascii="Times New Roman" w:hAnsi="Times New Roman"/>
          <w:color w:val="000000" w:themeColor="text1"/>
          <w:sz w:val="28"/>
          <w:szCs w:val="28"/>
          <w:lang w:eastAsia="ru-RU"/>
        </w:rPr>
        <w:br/>
        <w:t>для обеспечения федеральных нужд, а также требований к форме плана-графика закупок товаров, работ, услуг для обеспечения федеральных нужд» (далее – Постановление № 553);</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от 21 ноября 2013 г. № 1043 «О требованиях к формированию, утверждению и ведению планов закупок товаров, работ, услуг </w:t>
      </w:r>
      <w:r>
        <w:rPr>
          <w:rFonts w:ascii="Times New Roman" w:hAnsi="Times New Roman"/>
          <w:color w:val="000000" w:themeColor="text1"/>
          <w:sz w:val="28"/>
          <w:szCs w:val="28"/>
          <w:lang w:eastAsia="ru-RU"/>
        </w:rPr>
        <w:br/>
        <w:t>для обеспечения нужд субъекта Российской Федерации и муниципальных нужд, а также требованиях к форме планов» (далее – Постановление № 1043);</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от 5 июня 2015 г № 554 «О требованиях к формированию, утверждению и ведению плана-графика закупок товаров, работ, услуг </w:t>
      </w:r>
      <w:r>
        <w:rPr>
          <w:rFonts w:ascii="Times New Roman" w:hAnsi="Times New Roman"/>
          <w:color w:val="000000" w:themeColor="text1"/>
          <w:sz w:val="28"/>
          <w:szCs w:val="28"/>
          <w:lang w:eastAsia="ru-RU"/>
        </w:rPr>
        <w:br/>
        <w:t>для обеспечения нужд субъекта Российской Федерации и муниципальных нужд, а также о требованиях к форме плана-графика закупок товаров, работ, услуг» (далее – Постановление № 554),</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с учетом требований к форме обоснования закупок товаров, работ </w:t>
      </w:r>
      <w:r>
        <w:rPr>
          <w:rFonts w:ascii="Times New Roman" w:eastAsiaTheme="minorHAnsi" w:hAnsi="Times New Roman"/>
          <w:color w:val="000000" w:themeColor="text1"/>
          <w:sz w:val="28"/>
          <w:szCs w:val="28"/>
        </w:rPr>
        <w:br/>
        <w:t>и услуг для обеспечения государственных и муниципальных нужд</w:t>
      </w:r>
      <w:r>
        <w:rPr>
          <w:rFonts w:ascii="Times New Roman" w:eastAsiaTheme="minorHAnsi" w:hAnsi="Times New Roman"/>
          <w:color w:val="000000" w:themeColor="text1"/>
          <w:sz w:val="28"/>
          <w:szCs w:val="28"/>
        </w:rPr>
        <w:br/>
        <w:t>при формировании и утверждении плана закупок, установленные постановлением Правительства Российской Федерации от 5 июня 2015 г. № 555 «Об установлении порядка обоснования закупок товаров, работ</w:t>
      </w:r>
      <w:r>
        <w:rPr>
          <w:rFonts w:ascii="Times New Roman" w:eastAsiaTheme="minorHAnsi" w:hAnsi="Times New Roman"/>
          <w:color w:val="000000" w:themeColor="text1"/>
          <w:sz w:val="28"/>
          <w:szCs w:val="28"/>
        </w:rPr>
        <w:br/>
        <w:t>и услуг для обеспечения государственных и муниципальных нужд и форм такого обоснования» (далее – Постановление № 555), в том числе, в случае передачи Федеральному казначейству полномочий по осуществлению контроля согласно части 5 статьи 99 Федерального закона № 44-ФЗ;</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 целях обеспечения удобства работы пользователей разных структурных подразделений с документами обеспечена возможность указания признака филиала (структурного подразделения) заказчика</w:t>
      </w:r>
      <w:r>
        <w:rPr>
          <w:rFonts w:ascii="Times New Roman" w:hAnsi="Times New Roman"/>
          <w:color w:val="000000" w:themeColor="text1"/>
          <w:sz w:val="28"/>
          <w:szCs w:val="28"/>
          <w:lang w:eastAsia="ru-RU"/>
        </w:rPr>
        <w:br/>
        <w:t>для укрупненных закупок, позиций планов закупок, позиций планов-графиков закупок с возможностью включения указанных документов соответственно в предложения по закупкам, план закупок, план-график закупок заказчика;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hAnsi="Times New Roman"/>
          <w:color w:val="000000" w:themeColor="text1"/>
          <w:sz w:val="28"/>
          <w:szCs w:val="28"/>
          <w:lang w:eastAsia="ru-RU"/>
        </w:rPr>
        <w:t xml:space="preserve">– обеспечение интеграции подсистемы «Управление закупками» </w:t>
      </w:r>
      <w:r>
        <w:rPr>
          <w:rFonts w:ascii="Times New Roman" w:eastAsiaTheme="minorHAnsi" w:hAnsi="Times New Roman"/>
          <w:color w:val="000000" w:themeColor="text1"/>
          <w:sz w:val="28"/>
          <w:szCs w:val="28"/>
        </w:rPr>
        <w:t xml:space="preserve">ГИИС «Электронный бюджет» и ЕИС по технологии «бесшовной» интеграции, обеспечивающей возможности направления документов </w:t>
      </w:r>
      <w:r>
        <w:rPr>
          <w:rFonts w:ascii="Times New Roman" w:eastAsiaTheme="minorHAnsi" w:hAnsi="Times New Roman"/>
          <w:color w:val="000000" w:themeColor="text1"/>
          <w:sz w:val="28"/>
          <w:szCs w:val="28"/>
        </w:rPr>
        <w:br/>
        <w:t>на размещение в ЕИС без дополнительного подписания сертификатом ключа электронной подписи в личном кабинете заказчика ЕИС.</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2. В части модуля формирования и ведения документации в целях определения поставщика (подрядчика, исполнителя) обеспечены:</w:t>
      </w:r>
    </w:p>
    <w:p>
      <w:pPr>
        <w:tabs>
          <w:tab w:val="left" w:pos="0"/>
          <w:tab w:val="left" w:pos="1134"/>
        </w:tabs>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возможность подготовки к размещению документов закупки путем проведения следующих способов определения поставщика (</w:t>
      </w:r>
      <w:r>
        <w:rPr>
          <w:rFonts w:ascii="Times New Roman" w:eastAsia="Times New Roman" w:hAnsi="Times New Roman"/>
          <w:color w:val="000000" w:themeColor="text1"/>
          <w:sz w:val="28"/>
          <w:szCs w:val="28"/>
          <w:lang w:eastAsia="ru-RU"/>
        </w:rPr>
        <w:t>подрядчика, исполнителя):</w:t>
      </w:r>
    </w:p>
    <w:p>
      <w:pPr>
        <w:tabs>
          <w:tab w:val="left" w:pos="0"/>
          <w:tab w:val="left" w:pos="1134"/>
        </w:tabs>
        <w:spacing w:after="0" w:line="360" w:lineRule="atLeast"/>
        <w:ind w:left="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закупки у единственного поставщика (подрядчика, исполнителя);</w:t>
      </w:r>
    </w:p>
    <w:p>
      <w:pPr>
        <w:tabs>
          <w:tab w:val="left" w:pos="0"/>
          <w:tab w:val="left" w:pos="1134"/>
        </w:tabs>
        <w:spacing w:after="0" w:line="360" w:lineRule="atLeast"/>
        <w:ind w:left="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электронного аукциона;</w:t>
      </w:r>
    </w:p>
    <w:p>
      <w:pPr>
        <w:tabs>
          <w:tab w:val="left" w:pos="0"/>
          <w:tab w:val="left" w:pos="1134"/>
        </w:tabs>
        <w:spacing w:after="0" w:line="360" w:lineRule="atLeast"/>
        <w:ind w:left="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запроса котировок;</w:t>
      </w:r>
    </w:p>
    <w:p>
      <w:pPr>
        <w:tabs>
          <w:tab w:val="left" w:pos="0"/>
          <w:tab w:val="left" w:pos="1134"/>
        </w:tabs>
        <w:spacing w:after="0" w:line="360" w:lineRule="atLeast"/>
        <w:ind w:left="709"/>
        <w:contextualSpacing/>
        <w:jc w:val="both"/>
        <w:rPr>
          <w:rFonts w:ascii="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запроса предложений;</w:t>
      </w:r>
    </w:p>
    <w:p>
      <w:pPr>
        <w:tabs>
          <w:tab w:val="left" w:pos="0"/>
          <w:tab w:val="left" w:pos="1134"/>
        </w:tabs>
        <w:spacing w:after="0" w:line="360" w:lineRule="atLeast"/>
        <w:ind w:left="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предварительного отбора;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открытого конкурса с ограниченным участием, двухэтапного конкурса;</w:t>
      </w:r>
    </w:p>
    <w:p>
      <w:pPr>
        <w:tabs>
          <w:tab w:val="left" w:pos="0"/>
          <w:tab w:val="left" w:pos="1134"/>
        </w:tabs>
        <w:spacing w:after="0" w:line="360" w:lineRule="atLeast"/>
        <w:ind w:left="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закрытого конкурса, закрытого аукциона;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закрытого конкурса с ограниченным участием, закрытого двухэтапного конкурса, запроса котировок в целях оказания гуманитарной помощи либо ликвидации последствий чрезвычайных ситуаций природного или техногенного характера;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закупки, осуществляемой в соответствии с требованиями</w:t>
      </w:r>
      <w:r>
        <w:rPr>
          <w:rFonts w:ascii="Times New Roman" w:hAnsi="Times New Roman"/>
          <w:color w:val="000000" w:themeColor="text1"/>
          <w:sz w:val="28"/>
          <w:szCs w:val="28"/>
          <w:lang w:eastAsia="ru-RU"/>
        </w:rPr>
        <w:br/>
        <w:t>статьи 111 Федерального закона № 44-ФЗ.</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возможности указания в извещении об осуществлении закупки информации о контрактах жизненного цикла и контроля применения критерия оценки заявок участников «Стоимость жизненного цикла товара или созданного в результате выполнения работы объекта» при подготовке </w:t>
      </w:r>
      <w:r>
        <w:rPr>
          <w:rFonts w:ascii="Times New Roman" w:hAnsi="Times New Roman"/>
          <w:color w:val="000000" w:themeColor="text1"/>
          <w:sz w:val="28"/>
          <w:szCs w:val="28"/>
          <w:lang w:eastAsia="ru-RU"/>
        </w:rPr>
        <w:br/>
        <w:t>к размещению информации при определении поставщика (подрядчика, исполнителя).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3. В части модуля формирования и ведения реестра банковских гарантий, предусмотренного Федеральным законом № 44-ФЗ обеспечены:</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возможности формирования и ведения информации</w:t>
      </w:r>
      <w:r>
        <w:rPr>
          <w:rFonts w:ascii="Times New Roman" w:hAnsi="Times New Roman"/>
          <w:color w:val="000000" w:themeColor="text1"/>
          <w:sz w:val="28"/>
          <w:szCs w:val="28"/>
          <w:lang w:eastAsia="ru-RU"/>
        </w:rPr>
        <w:br/>
        <w:t>об обособленных подразделениях банка, закрепления уполномоченных специалистов банка за головным банком или обособленными подразделениями банка с указанием области доступа к размещаемым сведениям в Личном кабинете администратора банка;</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отображение часового пояса обособленного подразделения банка</w:t>
      </w:r>
      <w:r>
        <w:rPr>
          <w:rFonts w:ascii="Times New Roman" w:hAnsi="Times New Roman"/>
          <w:color w:val="000000" w:themeColor="text1"/>
          <w:sz w:val="28"/>
          <w:szCs w:val="28"/>
          <w:lang w:eastAsia="ru-RU"/>
        </w:rPr>
        <w:br/>
        <w:t>в списковой форме, карточке и журнале событий банковской гарантии;</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возможность предоставления банку доступа к реестровым записям иного банка-гаранта, сформировавшего реестровые записи банковских гарантий, при наличии у банка соответствующей настройки доступа, в том числе, обеспечение подписания соответствующего уведомления о передаче реестровых записей банковских гарантий по переданным полномочиям новому банку-гаранту;</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формирование банковской гарантии с возможностью указания сведений об идентификационном коде закупки (далее – ИКЗ);</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информации о номере банковской гарантии</w:t>
      </w:r>
      <w:r>
        <w:rPr>
          <w:rFonts w:ascii="Times New Roman" w:hAnsi="Times New Roman"/>
          <w:color w:val="000000" w:themeColor="text1"/>
          <w:sz w:val="28"/>
          <w:szCs w:val="28"/>
          <w:lang w:eastAsia="ru-RU"/>
        </w:rPr>
        <w:br/>
        <w:t>в составе информации о банковской гарантии;</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добавление параметра «Идентификационный код закупки» </w:t>
      </w:r>
      <w:r>
        <w:rPr>
          <w:rFonts w:ascii="Times New Roman" w:hAnsi="Times New Roman"/>
          <w:color w:val="000000" w:themeColor="text1"/>
          <w:sz w:val="28"/>
          <w:szCs w:val="28"/>
          <w:lang w:eastAsia="ru-RU"/>
        </w:rPr>
        <w:br/>
        <w:t>в фильтры поиска при осуществлении поиска банковской гарантии;</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добавление фильтра поиска «Номер».</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bookmarkStart w:id="9" w:name="_Toc453850677"/>
      <w:r>
        <w:rPr>
          <w:rFonts w:ascii="Times New Roman" w:hAnsi="Times New Roman"/>
          <w:color w:val="000000" w:themeColor="text1"/>
          <w:sz w:val="28"/>
          <w:szCs w:val="28"/>
          <w:lang w:eastAsia="ru-RU"/>
        </w:rPr>
        <w:t xml:space="preserve">4. В части модуля формирования и ведения реестра контрактов, заключенных заказчиками, предусмотренного Федеральным законом </w:t>
      </w:r>
      <w:r>
        <w:rPr>
          <w:rFonts w:ascii="Times New Roman" w:hAnsi="Times New Roman"/>
          <w:color w:val="000000" w:themeColor="text1"/>
          <w:sz w:val="28"/>
          <w:szCs w:val="28"/>
          <w:lang w:eastAsia="ru-RU"/>
        </w:rPr>
        <w:br/>
        <w:t>№ 44-ФЗ обеспечены:</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возможности формирования сведений о бюджетных обязательствах получателей средств федерального бюджета в реестре контрактов</w:t>
      </w:r>
      <w:bookmarkEnd w:id="9"/>
      <w:r>
        <w:rPr>
          <w:rFonts w:ascii="Times New Roman" w:eastAsiaTheme="minorHAnsi" w:hAnsi="Times New Roman"/>
          <w:color w:val="000000" w:themeColor="text1"/>
          <w:sz w:val="28"/>
          <w:szCs w:val="28"/>
        </w:rPr>
        <w:t xml:space="preserve">, заключенных заказчиками в соответствии с Порядком учета территориальными органами Федерального казначейства бюджетных </w:t>
      </w:r>
      <w:r>
        <w:rPr>
          <w:rFonts w:ascii="Times New Roman" w:eastAsiaTheme="minorHAnsi" w:hAnsi="Times New Roman"/>
          <w:color w:val="000000" w:themeColor="text1"/>
          <w:sz w:val="28"/>
          <w:szCs w:val="28"/>
        </w:rPr>
        <w:br/>
        <w:t xml:space="preserve">и денежных обязательств получателей средств федерального бюджета, утвержденным приказом Минфина России от 30 декабря 2015 г. № 221н </w:t>
      </w:r>
      <w:r>
        <w:rPr>
          <w:rFonts w:ascii="Times New Roman" w:eastAsiaTheme="minorHAnsi" w:hAnsi="Times New Roman"/>
          <w:color w:val="000000" w:themeColor="text1"/>
          <w:sz w:val="28"/>
          <w:szCs w:val="28"/>
        </w:rPr>
        <w:br/>
        <w:t>«О Порядке учета территориальными органами Федерального казначейства бюджетных и денежных обязательств получателей средств федерального бюджета»;</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eastAsiaTheme="minorHAnsi" w:hAnsi="Times New Roman"/>
          <w:color w:val="000000" w:themeColor="text1"/>
          <w:sz w:val="28"/>
          <w:szCs w:val="28"/>
        </w:rPr>
        <w:t>– возможность указания</w:t>
      </w:r>
      <w:r>
        <w:rPr>
          <w:rFonts w:ascii="Times New Roman" w:hAnsi="Times New Roman"/>
          <w:color w:val="000000" w:themeColor="text1"/>
          <w:sz w:val="28"/>
          <w:szCs w:val="28"/>
          <w:lang w:eastAsia="ru-RU"/>
        </w:rPr>
        <w:t xml:space="preserve"> идентификатора контракта по оборонному заказу, исключено требование обязательности ежемесячной разбивки</w:t>
      </w:r>
      <w:r>
        <w:rPr>
          <w:rFonts w:ascii="Times New Roman" w:hAnsi="Times New Roman"/>
          <w:color w:val="000000" w:themeColor="text1"/>
          <w:sz w:val="28"/>
          <w:szCs w:val="28"/>
          <w:lang w:eastAsia="ru-RU"/>
        </w:rPr>
        <w:br/>
        <w:t xml:space="preserve">в графике платежей по заключенному контракту, скорректирована справочная информация, используемая в реестре контрактов, заключенных заказчиками, в соответствии с требованиями приказа Минфина России </w:t>
      </w:r>
      <w:r>
        <w:rPr>
          <w:rFonts w:ascii="Times New Roman" w:hAnsi="Times New Roman"/>
          <w:color w:val="000000" w:themeColor="text1"/>
          <w:sz w:val="28"/>
          <w:szCs w:val="28"/>
          <w:lang w:eastAsia="ru-RU"/>
        </w:rPr>
        <w:br/>
        <w:t>от 28 апреля 2016 г. № 56н «О внесении изменений в Порядок формирования информации, а также обмена информацией и документами между заказчиком и Федеральным казначейством в целях ведения реестра контрактов, заключенных заказчиками, утвержденный приказом Министерства финансов Российской Федерации от 24 ноября 2014 г. № 136н»;</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печатной формы сведений при аннулировании информации о контракте;</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возможность указания сведений об ИКЗ при формировании информации о контракте (его изменении);</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добавление параметров ИКЗ, результатов контроля в фильтры поиска в реестре контрактов, заключенных заказчиками.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5. В части модуля формирования и ведения реестра договоров, заключенных заказчиками по результатам закупки, предусмотренного Федеральным законом № 223-ФЗ осуществлены доработки, реализованные </w:t>
      </w:r>
      <w:r>
        <w:rPr>
          <w:rFonts w:ascii="Times New Roman" w:hAnsi="Times New Roman"/>
          <w:color w:val="000000" w:themeColor="text1"/>
          <w:sz w:val="28"/>
          <w:szCs w:val="28"/>
          <w:lang w:eastAsia="ru-RU"/>
        </w:rPr>
        <w:lastRenderedPageBreak/>
        <w:t xml:space="preserve">в реестре договоров, заключенных заказчиками по результатам закупки. </w:t>
      </w:r>
      <w:r>
        <w:rPr>
          <w:rFonts w:ascii="Times New Roman" w:hAnsi="Times New Roman"/>
          <w:color w:val="000000" w:themeColor="text1"/>
          <w:sz w:val="28"/>
          <w:szCs w:val="28"/>
          <w:lang w:eastAsia="ru-RU"/>
        </w:rPr>
        <w:br/>
        <w:t>В 2016 году реализованы следующие возможности: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информации о договоре с субподрядчиком в части использования классификатора «Федеральная информационная адресная система» при заполнении адреса поставщика, с соблюдением соответствия ЕГРЮЛ (Единому государственному реестру индивидуальных предпринимателей);</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информации о договоре с субподрядчиками;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информации об изменении договора с указанием сведений о пролонгации договора;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информации об исполнении договора с указанной информацией о прекращении обязательств по договору в связи</w:t>
      </w:r>
      <w:r>
        <w:rPr>
          <w:rFonts w:ascii="Times New Roman" w:hAnsi="Times New Roman"/>
          <w:color w:val="000000" w:themeColor="text1"/>
          <w:sz w:val="28"/>
          <w:szCs w:val="28"/>
          <w:lang w:eastAsia="ru-RU"/>
        </w:rPr>
        <w:br/>
        <w:t>с окончанием срока действия договора в случае, если в договоре,</w:t>
      </w:r>
      <w:r>
        <w:rPr>
          <w:rFonts w:ascii="Times New Roman" w:hAnsi="Times New Roman"/>
          <w:color w:val="000000" w:themeColor="text1"/>
          <w:sz w:val="28"/>
          <w:szCs w:val="28"/>
          <w:lang w:eastAsia="ru-RU"/>
        </w:rPr>
        <w:br/>
        <w:t>по которому размещается информация об исполнении, указаны сведения</w:t>
      </w:r>
      <w:r>
        <w:rPr>
          <w:rFonts w:ascii="Times New Roman" w:hAnsi="Times New Roman"/>
          <w:color w:val="000000" w:themeColor="text1"/>
          <w:sz w:val="28"/>
          <w:szCs w:val="28"/>
          <w:lang w:eastAsia="ru-RU"/>
        </w:rPr>
        <w:br/>
        <w:t>о том, что договором предусмотрено прекращение обязательств сторон</w:t>
      </w:r>
      <w:r>
        <w:rPr>
          <w:rFonts w:ascii="Times New Roman" w:hAnsi="Times New Roman"/>
          <w:color w:val="000000" w:themeColor="text1"/>
          <w:sz w:val="28"/>
          <w:szCs w:val="28"/>
          <w:lang w:eastAsia="ru-RU"/>
        </w:rPr>
        <w:br/>
        <w:t>по договору в связи с окончанием срока его действия.</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Отдельно стоит отметить доработки модуля осуществления контроля в соответствии с частью 5 статьи 99 Федерального закона № 44-ФЗ.</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Ключевой задачей Федерального казначейства на 2016 год являлась реализация технологического обеспечения полномочий Федерального казначейства, финансовых органов субъектов Российской Федерации</w:t>
      </w:r>
      <w:r>
        <w:rPr>
          <w:rFonts w:ascii="Times New Roman" w:hAnsi="Times New Roman"/>
          <w:color w:val="000000" w:themeColor="text1"/>
          <w:sz w:val="28"/>
          <w:szCs w:val="28"/>
          <w:lang w:eastAsia="ru-RU"/>
        </w:rPr>
        <w:br/>
        <w:t>и муниципальных образований, органов управления государственными внебюджетными фондами, определенных частью 5 статьи 99 Федерального закона № 44-ФЗ, в части осуществления контроля за: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соответствием информации об объеме финансового обеспечения, включенной в планы закупок, информации об объеме финансового обеспечения для осуществления закупок, утвержденном и доведенном</w:t>
      </w:r>
      <w:r>
        <w:rPr>
          <w:rFonts w:ascii="Times New Roman" w:hAnsi="Times New Roman"/>
          <w:color w:val="000000" w:themeColor="text1"/>
          <w:sz w:val="28"/>
          <w:szCs w:val="28"/>
          <w:lang w:eastAsia="ru-RU"/>
        </w:rPr>
        <w:br/>
        <w:t>до заказчика;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соответствием информации об идентификационных кодах закупок </w:t>
      </w:r>
      <w:r>
        <w:rPr>
          <w:rFonts w:ascii="Times New Roman" w:hAnsi="Times New Roman"/>
          <w:color w:val="000000" w:themeColor="text1"/>
          <w:sz w:val="28"/>
          <w:szCs w:val="28"/>
          <w:lang w:eastAsia="ru-RU"/>
        </w:rPr>
        <w:br/>
        <w:t>и об объеме финансового обеспечения для осуществления данных закупок, содержащейся: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планах-графиках – информации, содержащейся в планах закупок;</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извещениях об осуществлении закупок, в документации о закупках – информации, содержащейся в планах-графиках;</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протоколах определения поставщиков (подрядчиков, исполнителей) – информации, содержащейся в документации о закупках;</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условиях проектов контрактов, направляемых участникам закупок, </w:t>
      </w:r>
      <w:r>
        <w:rPr>
          <w:rFonts w:ascii="Times New Roman" w:hAnsi="Times New Roman"/>
          <w:color w:val="000000" w:themeColor="text1"/>
          <w:sz w:val="28"/>
          <w:szCs w:val="28"/>
          <w:lang w:eastAsia="ru-RU"/>
        </w:rPr>
        <w:br/>
        <w:t xml:space="preserve">с которыми заключаются контракты, – информации, содержащейся </w:t>
      </w:r>
      <w:r>
        <w:rPr>
          <w:rFonts w:ascii="Times New Roman" w:hAnsi="Times New Roman"/>
          <w:color w:val="000000" w:themeColor="text1"/>
          <w:sz w:val="28"/>
          <w:szCs w:val="28"/>
          <w:lang w:eastAsia="ru-RU"/>
        </w:rPr>
        <w:br/>
        <w:t>в протоколах определения поставщиков (подрядчиков, исполнителей);</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в реестре контрактов, заключенных заказчиками – условиям контрактов.</w:t>
      </w:r>
    </w:p>
    <w:p>
      <w:pPr>
        <w:tabs>
          <w:tab w:val="left" w:pos="0"/>
          <w:tab w:val="left" w:pos="1134"/>
        </w:tabs>
        <w:spacing w:after="0" w:line="360" w:lineRule="atLeast"/>
        <w:ind w:firstLine="720"/>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С целью осуществления указанного контроля на нормативно-правовом уровне урегулирован порядок его осуществления.</w:t>
      </w:r>
    </w:p>
    <w:p>
      <w:pPr>
        <w:tabs>
          <w:tab w:val="left" w:pos="0"/>
          <w:tab w:val="left" w:pos="1134"/>
        </w:tabs>
        <w:spacing w:after="0" w:line="360" w:lineRule="atLeast"/>
        <w:ind w:firstLine="720"/>
        <w:contextualSpacing/>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2016 году Федеральным казначейством принято участие </w:t>
      </w:r>
      <w:r>
        <w:rPr>
          <w:rFonts w:ascii="Times New Roman" w:hAnsi="Times New Roman"/>
          <w:color w:val="000000" w:themeColor="text1"/>
          <w:sz w:val="28"/>
          <w:szCs w:val="28"/>
          <w:lang w:eastAsia="ru-RU"/>
        </w:rPr>
        <w:br/>
        <w:t xml:space="preserve">в мероприятиях </w:t>
      </w:r>
      <w:r>
        <w:rPr>
          <w:rFonts w:ascii="Times New Roman" w:eastAsia="Times New Roman" w:hAnsi="Times New Roman"/>
          <w:color w:val="000000" w:themeColor="text1"/>
          <w:sz w:val="28"/>
          <w:szCs w:val="28"/>
          <w:lang w:eastAsia="ru-RU"/>
        </w:rPr>
        <w:t>по разработке, рассмотрению и согласованию следующих НПА:</w:t>
      </w:r>
    </w:p>
    <w:p>
      <w:pPr>
        <w:tabs>
          <w:tab w:val="left" w:pos="993"/>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постановление Правительства Российской Федерации </w:t>
      </w:r>
      <w:r>
        <w:rPr>
          <w:rFonts w:ascii="Times New Roman" w:eastAsia="Times New Roman" w:hAnsi="Times New Roman"/>
          <w:color w:val="000000" w:themeColor="text1"/>
          <w:sz w:val="28"/>
          <w:szCs w:val="28"/>
        </w:rPr>
        <w:br/>
        <w:t>от 12 декабря 2015 г. № 1367 «О порядке осуществления контроля, предусмотренного частью 5 статьи 99 Федерального закона</w:t>
      </w:r>
      <w:r>
        <w:rPr>
          <w:rFonts w:ascii="Times New Roman" w:eastAsia="Times New Roman" w:hAnsi="Times New Roman"/>
          <w:color w:val="000000" w:themeColor="text1"/>
          <w:sz w:val="28"/>
          <w:szCs w:val="28"/>
        </w:rPr>
        <w:br/>
        <w:t>«О контрактной системе в сфере закупок товаров, работ, услуг</w:t>
      </w:r>
      <w:r>
        <w:rPr>
          <w:rFonts w:ascii="Times New Roman" w:eastAsia="Times New Roman" w:hAnsi="Times New Roman"/>
          <w:color w:val="000000" w:themeColor="text1"/>
          <w:sz w:val="28"/>
          <w:szCs w:val="28"/>
        </w:rPr>
        <w:br/>
        <w:t>для обеспечения государственных и муниципальных нужд» (далее – Постановление № 1367), а также Правил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p>
    <w:p>
      <w:pPr>
        <w:tabs>
          <w:tab w:val="left" w:pos="993"/>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приказ Минфина России от 4 июля 2016 г № 104н «О порядке взаимодействия Федерального казначейства с субъектами контроля, указанными в пунктах 3 и 6 Правил осуществления контроля, предусмотренного частью 5 статьи 99 Федерального закона</w:t>
      </w:r>
      <w:r>
        <w:rPr>
          <w:rFonts w:ascii="Times New Roman" w:eastAsia="Times New Roman" w:hAnsi="Times New Roman"/>
          <w:color w:val="000000" w:themeColor="text1"/>
          <w:sz w:val="28"/>
          <w:szCs w:val="28"/>
        </w:rPr>
        <w:br/>
        <w:t xml:space="preserve">«О контрактной системе в сфере закупок товаров, работ, услуг </w:t>
      </w:r>
      <w:r>
        <w:rPr>
          <w:rFonts w:ascii="Times New Roman" w:eastAsia="Times New Roman" w:hAnsi="Times New Roman"/>
          <w:color w:val="000000" w:themeColor="text1"/>
          <w:sz w:val="28"/>
          <w:szCs w:val="28"/>
        </w:rPr>
        <w:br/>
        <w:t>для обеспечения государственных и муниципальных нужд»;</w:t>
      </w:r>
    </w:p>
    <w:p>
      <w:pPr>
        <w:tabs>
          <w:tab w:val="left" w:pos="993"/>
        </w:tabs>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rPr>
        <w:t xml:space="preserve">– приказ Минфина России от 22 июля 2016 г. № 120н </w:t>
      </w:r>
      <w:r>
        <w:rPr>
          <w:rFonts w:ascii="Times New Roman" w:eastAsia="Times New Roman" w:hAnsi="Times New Roman"/>
          <w:color w:val="000000" w:themeColor="text1"/>
          <w:sz w:val="28"/>
          <w:szCs w:val="28"/>
        </w:rPr>
        <w:br/>
        <w:t xml:space="preserve">«Об утверждении общих требований к порядку взаимодействия </w:t>
      </w:r>
      <w:r>
        <w:rPr>
          <w:rFonts w:ascii="Times New Roman" w:eastAsia="Times New Roman" w:hAnsi="Times New Roman"/>
          <w:color w:val="000000" w:themeColor="text1"/>
          <w:sz w:val="28"/>
          <w:szCs w:val="28"/>
        </w:rPr>
        <w:br/>
        <w:t>при осуществлении контроля финансовых органов субъектов Российской Федерации и муниципальных образований, органов управления государственными внебюджетными фондами с субъектами контроля, указанными в пунктах 4 и 5 Правил осуществления контроля, предусмотренного частью 5 статьи 99 Федерального закона</w:t>
      </w:r>
      <w:r>
        <w:rPr>
          <w:rFonts w:ascii="Times New Roman" w:eastAsia="Times New Roman" w:hAnsi="Times New Roman"/>
          <w:color w:val="000000" w:themeColor="text1"/>
          <w:sz w:val="28"/>
          <w:szCs w:val="28"/>
        </w:rPr>
        <w:br/>
        <w:t>«О контрактной системе в сфере закупок товаров, работ, услуг</w:t>
      </w:r>
      <w:r>
        <w:rPr>
          <w:rFonts w:ascii="Times New Roman" w:eastAsia="Times New Roman" w:hAnsi="Times New Roman"/>
          <w:color w:val="000000" w:themeColor="text1"/>
          <w:sz w:val="28"/>
          <w:szCs w:val="28"/>
        </w:rPr>
        <w:br/>
        <w:t>для обеспечения государственных</w:t>
      </w:r>
      <w:r>
        <w:rPr>
          <w:rFonts w:ascii="Times New Roman" w:eastAsia="Times New Roman" w:hAnsi="Times New Roman"/>
          <w:color w:val="000000" w:themeColor="text1"/>
          <w:sz w:val="28"/>
          <w:szCs w:val="28"/>
          <w:lang w:eastAsia="ru-RU"/>
        </w:rPr>
        <w:t xml:space="preserve"> и муниципальных нужд», утвержденных постановлением Правительства Российской Федерации от 12 декабря 2015 г. № 1367».</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rPr>
        <w:t xml:space="preserve">Таким образом, в ноябре 2016 года Федеральным казначейством введены в эксплуатацию функциональные возможности первой очереди подсистемы «Управление закупками» ГИИС «Электронный бюджет» </w:t>
      </w:r>
      <w:r>
        <w:rPr>
          <w:rFonts w:ascii="Times New Roman" w:eastAsia="Times New Roman" w:hAnsi="Times New Roman"/>
          <w:color w:val="000000" w:themeColor="text1"/>
          <w:sz w:val="28"/>
          <w:szCs w:val="28"/>
        </w:rPr>
        <w:br/>
      </w:r>
      <w:r>
        <w:rPr>
          <w:rFonts w:ascii="Times New Roman" w:eastAsiaTheme="minorHAnsi" w:hAnsi="Times New Roman"/>
          <w:color w:val="000000" w:themeColor="text1"/>
          <w:sz w:val="28"/>
          <w:szCs w:val="28"/>
        </w:rPr>
        <w:t>в части ведения перечня субъектов контроля согласно части 5 статьи 99 Федерального закона № 44-ФЗ, в том числе, с предоставлением возможности:</w:t>
      </w:r>
    </w:p>
    <w:p>
      <w:pPr>
        <w:tabs>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xml:space="preserve">– выбора организаций по уровню бюджета и значения кода </w:t>
      </w:r>
      <w:r>
        <w:rPr>
          <w:rFonts w:ascii="Times New Roman" w:hAnsi="Times New Roman"/>
          <w:color w:val="000000" w:themeColor="text1"/>
          <w:sz w:val="28"/>
          <w:szCs w:val="28"/>
          <w:lang w:eastAsia="ru-RU"/>
        </w:rPr>
        <w:br/>
        <w:t>согласно Общероссийскому классификатору муниципальных образований;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включения в список субъектов контроля государственных унитарных предприятий (муниципальных унитарных предприятий), зарегистрированных в ЕСИА;</w:t>
      </w:r>
    </w:p>
    <w:p>
      <w:pPr>
        <w:tabs>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добавление записей из перечня субъектов контроля финансовых органов / органов управления ГВФ РФ после подтверждения передачи полномочий финансовых органов / органов управления ГВФ РФ </w:t>
      </w:r>
      <w:r>
        <w:rPr>
          <w:rFonts w:ascii="Times New Roman" w:hAnsi="Times New Roman"/>
          <w:color w:val="000000" w:themeColor="text1"/>
          <w:sz w:val="28"/>
          <w:szCs w:val="28"/>
          <w:lang w:eastAsia="ru-RU"/>
        </w:rPr>
        <w:br/>
        <w:t>в конкретный ТОФК;</w:t>
      </w:r>
    </w:p>
    <w:p>
      <w:pPr>
        <w:tabs>
          <w:tab w:val="left" w:pos="1134"/>
        </w:tabs>
        <w:spacing w:after="0" w:line="38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включения в список субъектов государственных унитарных предприятий (муниципальных унитарных предприятий), зарегистрированных через ЕСИА;</w:t>
      </w:r>
    </w:p>
    <w:p>
      <w:pPr>
        <w:tabs>
          <w:tab w:val="left" w:pos="1134"/>
        </w:tabs>
        <w:spacing w:after="0" w:line="38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добавление записей из перечня субъектов контроля финансовых органов / органов управления ГВФ РФ после подтверждения передачи их полномочий в конкретный ТОФК.</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состоянию на 1 января 2017 года </w:t>
      </w:r>
      <w:r>
        <w:rPr>
          <w:rFonts w:ascii="Times New Roman" w:hAnsi="Times New Roman"/>
          <w:color w:val="000000" w:themeColor="text1"/>
          <w:sz w:val="28"/>
          <w:szCs w:val="28"/>
          <w:lang w:eastAsia="ru-RU"/>
        </w:rPr>
        <w:t xml:space="preserve">Федеральным казначейством проведены следующие мероприятия, направленные на </w:t>
      </w:r>
      <w:r>
        <w:rPr>
          <w:rFonts w:ascii="Times New Roman" w:eastAsia="Times New Roman" w:hAnsi="Times New Roman"/>
          <w:color w:val="000000" w:themeColor="text1"/>
          <w:sz w:val="28"/>
          <w:szCs w:val="28"/>
          <w:lang w:eastAsia="ru-RU"/>
        </w:rPr>
        <w:t xml:space="preserve">обеспечение функционирования </w:t>
      </w:r>
      <w:r>
        <w:rPr>
          <w:rFonts w:ascii="Times New Roman" w:hAnsi="Times New Roman"/>
          <w:color w:val="000000" w:themeColor="text1"/>
          <w:sz w:val="28"/>
          <w:szCs w:val="28"/>
          <w:lang w:eastAsia="ru-RU"/>
        </w:rPr>
        <w:t>модуля осуществления контроля в соответствии</w:t>
      </w:r>
      <w:r>
        <w:rPr>
          <w:rFonts w:ascii="Times New Roman" w:hAnsi="Times New Roman"/>
          <w:color w:val="000000" w:themeColor="text1"/>
          <w:sz w:val="28"/>
          <w:szCs w:val="28"/>
          <w:lang w:eastAsia="ru-RU"/>
        </w:rPr>
        <w:br/>
        <w:t>с частью 5 статьи 99 Федерального закона № 44-ФЗ:</w:t>
      </w:r>
    </w:p>
    <w:p>
      <w:pPr>
        <w:tabs>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обеспечена возможность осуществления предварительных проверок в соответствии с требованиями Постановления № 1367, включая обеспечение информационного взаимодействия с иными информационными системами;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обеспечена возможность осуществления контроля за соответствием содержащейся в планах-графиках информации об идентификационных кодах закупок и об объеме финансового обеспечения для осуществления данных закупок информации, содержащейся в планах закупок, в том числе, посредством:</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просмотра перечня объектов контроля, направленных </w:t>
      </w:r>
      <w:r>
        <w:rPr>
          <w:rFonts w:ascii="Times New Roman" w:hAnsi="Times New Roman"/>
          <w:color w:val="000000" w:themeColor="text1"/>
          <w:sz w:val="28"/>
          <w:szCs w:val="28"/>
          <w:lang w:eastAsia="ru-RU"/>
        </w:rPr>
        <w:br/>
        <w:t>на осуществление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редактирования проекта документа о результатах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печатной формы протокола о несоответствии контролируемой информации;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автоматического формирования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протокола несоответствия при отзыве средств;</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обеспечена возможность осуществления контроля за соответствием содержащейся в извещениях об осуществлении закупок и в документации </w:t>
      </w:r>
      <w:r>
        <w:rPr>
          <w:rFonts w:ascii="Times New Roman" w:hAnsi="Times New Roman"/>
          <w:color w:val="000000" w:themeColor="text1"/>
          <w:sz w:val="28"/>
          <w:szCs w:val="28"/>
          <w:lang w:eastAsia="ru-RU"/>
        </w:rPr>
        <w:br/>
      </w:r>
      <w:r>
        <w:rPr>
          <w:rFonts w:ascii="Times New Roman" w:hAnsi="Times New Roman"/>
          <w:color w:val="000000" w:themeColor="text1"/>
          <w:sz w:val="28"/>
          <w:szCs w:val="28"/>
          <w:lang w:eastAsia="ru-RU"/>
        </w:rPr>
        <w:lastRenderedPageBreak/>
        <w:t>о закупках информации об ИКЗ и объеме финансового обеспечения</w:t>
      </w:r>
      <w:r>
        <w:rPr>
          <w:rFonts w:ascii="Times New Roman" w:hAnsi="Times New Roman"/>
          <w:color w:val="000000" w:themeColor="text1"/>
          <w:sz w:val="28"/>
          <w:szCs w:val="28"/>
          <w:lang w:eastAsia="ru-RU"/>
        </w:rPr>
        <w:br/>
        <w:t>для осуществления данных закупок информации, содержащейся в планах-графиках, в том числе, посредством:</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просмотра перечня объектов контроля, направленных </w:t>
      </w:r>
      <w:r>
        <w:rPr>
          <w:rFonts w:ascii="Times New Roman" w:hAnsi="Times New Roman"/>
          <w:color w:val="000000" w:themeColor="text1"/>
          <w:sz w:val="28"/>
          <w:szCs w:val="28"/>
          <w:lang w:eastAsia="ru-RU"/>
        </w:rPr>
        <w:br/>
        <w:t>на осуществления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результатов контроля для «</w:t>
      </w:r>
      <w:proofErr w:type="spellStart"/>
      <w:r>
        <w:rPr>
          <w:rFonts w:ascii="Times New Roman" w:hAnsi="Times New Roman"/>
          <w:color w:val="000000" w:themeColor="text1"/>
          <w:sz w:val="28"/>
          <w:szCs w:val="28"/>
          <w:lang w:eastAsia="ru-RU"/>
        </w:rPr>
        <w:t>однолотового</w:t>
      </w:r>
      <w:proofErr w:type="spellEnd"/>
      <w:r>
        <w:rPr>
          <w:rFonts w:ascii="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br/>
        <w:t>и «</w:t>
      </w:r>
      <w:proofErr w:type="spellStart"/>
      <w:r>
        <w:rPr>
          <w:rFonts w:ascii="Times New Roman" w:hAnsi="Times New Roman"/>
          <w:color w:val="000000" w:themeColor="text1"/>
          <w:sz w:val="28"/>
          <w:szCs w:val="28"/>
          <w:lang w:eastAsia="ru-RU"/>
        </w:rPr>
        <w:t>многолотового</w:t>
      </w:r>
      <w:proofErr w:type="spellEnd"/>
      <w:r>
        <w:rPr>
          <w:rFonts w:ascii="Times New Roman" w:hAnsi="Times New Roman"/>
          <w:color w:val="000000" w:themeColor="text1"/>
          <w:sz w:val="28"/>
          <w:szCs w:val="28"/>
          <w:lang w:eastAsia="ru-RU"/>
        </w:rPr>
        <w:t>» извещения, совместных торгов и централизованных закупок;</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редактирования проекта документа о результатах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печатной формы протокола о несоответствии контролируемой информации;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автоматического формирования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обеспечена возможность осуществления контроля за соответствием информации об ИКЗ и об объеме финансового обеспечения </w:t>
      </w:r>
      <w:r>
        <w:rPr>
          <w:rFonts w:ascii="Times New Roman" w:hAnsi="Times New Roman"/>
          <w:color w:val="000000" w:themeColor="text1"/>
          <w:sz w:val="28"/>
          <w:szCs w:val="28"/>
          <w:lang w:eastAsia="ru-RU"/>
        </w:rPr>
        <w:br/>
        <w:t>для осуществления данных закупок, содержащейся в протоколах определения поставщиков (подрядчиков, исполнителей), информации, содержащейся: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документации о закупках, в том числе, посредством:</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перечня объектов контроля, направленных на контроль;</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редактирования проекта документа о результатах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печатной формы протокола о несоответствии контролируемой информации;</w:t>
      </w:r>
    </w:p>
    <w:p>
      <w:pPr>
        <w:tabs>
          <w:tab w:val="left" w:pos="0"/>
          <w:tab w:val="left" w:pos="1134"/>
        </w:tabs>
        <w:spacing w:after="0" w:line="360" w:lineRule="atLeast"/>
        <w:ind w:left="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автоматического формирования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обеспечена возможность осуществления контроля за соответствием информации об ИКЗ и объеме финансового обеспечения</w:t>
      </w:r>
      <w:r>
        <w:rPr>
          <w:rFonts w:ascii="Times New Roman" w:hAnsi="Times New Roman"/>
          <w:color w:val="000000" w:themeColor="text1"/>
          <w:sz w:val="28"/>
          <w:szCs w:val="28"/>
          <w:lang w:eastAsia="ru-RU"/>
        </w:rPr>
        <w:br/>
        <w:t>для осуществления данных закупок, содержащейся в условиях проектов контрактов, направляемых участникам закупок, с которыми заключаются контракты информации, содержащейся в протоколах определения поставщиков (подрядчиков, исполнителей) и в реестре контрактов, заключенных заказчиками, условиям контрактов, в том числе, посредством:</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просмотра перечня объектов контроля, направленных </w:t>
      </w:r>
      <w:r>
        <w:rPr>
          <w:rFonts w:ascii="Times New Roman" w:hAnsi="Times New Roman"/>
          <w:color w:val="000000" w:themeColor="text1"/>
          <w:sz w:val="28"/>
          <w:szCs w:val="28"/>
          <w:lang w:eastAsia="ru-RU"/>
        </w:rPr>
        <w:br/>
        <w:t>на осуществление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проекта документа о результатах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редактирования проекта документа о результатах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формирования результата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результатов контроля;</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просмотра печатной формы результатов контроля.</w:t>
      </w:r>
    </w:p>
    <w:p>
      <w:pPr>
        <w:tabs>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xml:space="preserve">Кроме того, обеспечены следующие функциональные возможности </w:t>
      </w:r>
      <w:r>
        <w:rPr>
          <w:rFonts w:ascii="Times New Roman" w:hAnsi="Times New Roman"/>
          <w:color w:val="000000" w:themeColor="text1"/>
          <w:sz w:val="28"/>
          <w:szCs w:val="28"/>
          <w:lang w:eastAsia="ru-RU"/>
        </w:rPr>
        <w:br/>
        <w:t>в части эргономичности и удобства пользовательского интерфейса:</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изменение статусной модели сведений, направленных на контроль, </w:t>
      </w:r>
      <w:r>
        <w:rPr>
          <w:rFonts w:ascii="Times New Roman" w:hAnsi="Times New Roman"/>
          <w:color w:val="000000" w:themeColor="text1"/>
          <w:sz w:val="28"/>
          <w:szCs w:val="28"/>
          <w:lang w:eastAsia="ru-RU"/>
        </w:rPr>
        <w:br/>
        <w:t>с использованием следующих статусов «На контроле», «Не принят</w:t>
      </w:r>
      <w:r>
        <w:rPr>
          <w:rFonts w:ascii="Times New Roman" w:hAnsi="Times New Roman"/>
          <w:color w:val="000000" w:themeColor="text1"/>
          <w:sz w:val="28"/>
          <w:szCs w:val="28"/>
          <w:lang w:eastAsia="ru-RU"/>
        </w:rPr>
        <w:br/>
        <w:t>на контроль», «Контроль пройден», «Контроль не пройден»;</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отображение сообщения о начале контроля, сообщения</w:t>
      </w:r>
      <w:r>
        <w:rPr>
          <w:rFonts w:ascii="Times New Roman" w:hAnsi="Times New Roman"/>
          <w:color w:val="000000" w:themeColor="text1"/>
          <w:sz w:val="28"/>
          <w:szCs w:val="28"/>
          <w:lang w:eastAsia="ru-RU"/>
        </w:rPr>
        <w:br/>
        <w:t>о невозможности контроля, уведомления о прохождении контроля, протокола о несоответствии требованиям;</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возможность указания ответственного сотрудника органа контроля при формировании записи в перечне субъектов контроля.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heme="minorHAnsi" w:hAnsi="Times New Roman"/>
          <w:color w:val="000000" w:themeColor="text1"/>
          <w:sz w:val="28"/>
          <w:szCs w:val="28"/>
        </w:rPr>
        <w:t>В случае успешного прохождения контроля в соответствии с частью</w:t>
      </w:r>
      <w:r>
        <w:rPr>
          <w:rFonts w:ascii="Times New Roman" w:eastAsiaTheme="minorHAnsi" w:hAnsi="Times New Roman"/>
          <w:color w:val="000000" w:themeColor="text1"/>
          <w:sz w:val="28"/>
          <w:szCs w:val="28"/>
          <w:lang w:val="en-US"/>
        </w:rPr>
        <w:t> </w:t>
      </w:r>
      <w:r>
        <w:rPr>
          <w:rFonts w:ascii="Times New Roman" w:eastAsiaTheme="minorHAnsi" w:hAnsi="Times New Roman"/>
          <w:color w:val="000000" w:themeColor="text1"/>
          <w:sz w:val="28"/>
          <w:szCs w:val="28"/>
        </w:rPr>
        <w:t>5 статьи</w:t>
      </w:r>
      <w:r>
        <w:rPr>
          <w:rFonts w:ascii="Times New Roman" w:eastAsiaTheme="minorHAnsi" w:hAnsi="Times New Roman"/>
          <w:color w:val="000000" w:themeColor="text1"/>
          <w:sz w:val="28"/>
          <w:szCs w:val="28"/>
          <w:lang w:val="en-US"/>
        </w:rPr>
        <w:t> </w:t>
      </w:r>
      <w:r>
        <w:rPr>
          <w:rFonts w:ascii="Times New Roman" w:eastAsiaTheme="minorHAnsi" w:hAnsi="Times New Roman"/>
          <w:color w:val="000000" w:themeColor="text1"/>
          <w:sz w:val="28"/>
          <w:szCs w:val="28"/>
        </w:rPr>
        <w:t xml:space="preserve">99 Федерального закона № 44-ФЗ документ подлежит автоматическому размещению в ЕИС с отметкой об успешно пройденном контроле, а также надлежащем уведомлением органа контроля </w:t>
      </w:r>
      <w:r>
        <w:rPr>
          <w:rFonts w:ascii="Times New Roman" w:eastAsiaTheme="minorHAnsi" w:hAnsi="Times New Roman"/>
          <w:color w:val="000000" w:themeColor="text1"/>
          <w:sz w:val="28"/>
          <w:szCs w:val="28"/>
        </w:rPr>
        <w:br/>
        <w:t>о соответствии содержащейся в нем информации требованиям законодательства о контрактной системе.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4.2. Создание и развитие второй очереди программно-аппаратного комплекса государственной интегрированной информационной системы управления общественными финансами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части развития второй очереди программно-аппаратного комплекса ГИИС «Электронный бюджет» обеспечено расширение программно-аппаратного комплекса в соответствии с увеличением количества пользователей ГИИС «Электронный бюджет». Так, количество пользователей, зарегистрированных в ГИИС «Электронный бюджет», </w:t>
      </w:r>
      <w:r>
        <w:rPr>
          <w:rFonts w:ascii="Times New Roman" w:hAnsi="Times New Roman"/>
          <w:color w:val="000000" w:themeColor="text1"/>
          <w:sz w:val="28"/>
          <w:szCs w:val="28"/>
        </w:rPr>
        <w:br/>
        <w:t xml:space="preserve">по состоянию на 1 января 2017 года составляет 143 198 пользователей, </w:t>
      </w:r>
      <w:r>
        <w:rPr>
          <w:rFonts w:ascii="Times New Roman" w:hAnsi="Times New Roman"/>
          <w:color w:val="000000" w:themeColor="text1"/>
          <w:sz w:val="28"/>
          <w:szCs w:val="28"/>
        </w:rPr>
        <w:br/>
        <w:t>что на 59 198 пользователей больше по сравнению с аналогичным периодом 2015 года (84 000).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создания и развития программно-аппаратного комплекса ГИИС «Электронный бюджет» в 2016 году, был заключен и исполнен Государственный контракт от 20 июня 2016 г. № УИС-26/2016 на поставку оборудования, включая работы по установке и настройке, а также оказание услуг по расширению функциональных возможностей оборудования </w:t>
      </w:r>
      <w:r>
        <w:rPr>
          <w:rFonts w:ascii="Times New Roman" w:hAnsi="Times New Roman"/>
          <w:color w:val="000000" w:themeColor="text1"/>
          <w:sz w:val="28"/>
          <w:szCs w:val="28"/>
        </w:rPr>
        <w:br/>
        <w:t xml:space="preserve">в целях модернизации централизованной информационно-технологической инфраструктуры Федерального казначейства. В рамках данного контракта был модернизирован программно-аппаратный комплекс ГИИС «Электронный бюджет», текущий суммарный общий объем вычислительных мощностей на данный момент составляет 25 стоек сервисного оборудования, 950 ядер высокопроизводительных процессоров </w:t>
      </w:r>
      <w:r>
        <w:rPr>
          <w:rFonts w:ascii="Times New Roman" w:hAnsi="Times New Roman"/>
          <w:color w:val="000000" w:themeColor="text1"/>
          <w:sz w:val="28"/>
          <w:szCs w:val="28"/>
        </w:rPr>
        <w:lastRenderedPageBreak/>
        <w:t xml:space="preserve">RISC архитектуры «IBM </w:t>
      </w:r>
      <w:proofErr w:type="spellStart"/>
      <w:r>
        <w:rPr>
          <w:rFonts w:ascii="Times New Roman" w:hAnsi="Times New Roman"/>
          <w:color w:val="000000" w:themeColor="text1"/>
          <w:sz w:val="28"/>
          <w:szCs w:val="28"/>
        </w:rPr>
        <w:t>Power</w:t>
      </w:r>
      <w:proofErr w:type="spellEnd"/>
      <w:r>
        <w:rPr>
          <w:rFonts w:ascii="Times New Roman" w:hAnsi="Times New Roman"/>
          <w:color w:val="000000" w:themeColor="text1"/>
          <w:sz w:val="28"/>
          <w:szCs w:val="28"/>
        </w:rPr>
        <w:t>», 724 ядра процессоров стандартной архитектуры. Создана инфраструктура для тестовых зон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принято в пользование оборудование, закупленное </w:t>
      </w:r>
      <w:r>
        <w:rPr>
          <w:rFonts w:ascii="Times New Roman" w:hAnsi="Times New Roman"/>
          <w:color w:val="000000" w:themeColor="text1"/>
          <w:sz w:val="28"/>
          <w:szCs w:val="28"/>
        </w:rPr>
        <w:br/>
        <w:t xml:space="preserve">в рамках постановления Правительства Российской Федерации от 5 декабря 2011 г. № 995 «Об осуществлении бюджетных инвестиций </w:t>
      </w:r>
      <w:r>
        <w:rPr>
          <w:rFonts w:ascii="Times New Roman" w:hAnsi="Times New Roman"/>
          <w:color w:val="000000" w:themeColor="text1"/>
          <w:sz w:val="28"/>
          <w:szCs w:val="28"/>
        </w:rPr>
        <w:br/>
        <w:t xml:space="preserve">в проектирование и строительство объектов капитального строительства – центров обработки данных, подведомственных Федеральной налоговой службе», федеральным казенным учреждением «Налог-Сервис» ФНС России (г. Москва), размещенное в региональном центре обработки данных г. Городец системы центра обработки данных Минфина России. Произведена настройка пилотной инфраструктуры, апробированы технологии резервирования данных для ГИИС «Электронного бюджет» </w:t>
      </w:r>
      <w:r>
        <w:rPr>
          <w:rFonts w:ascii="Times New Roman" w:hAnsi="Times New Roman"/>
          <w:color w:val="000000" w:themeColor="text1"/>
          <w:sz w:val="28"/>
          <w:szCs w:val="28"/>
        </w:rPr>
        <w:br/>
        <w:t xml:space="preserve">в региональном центре обработки данных г. Городец. Суммарный общий объем вычислительных мощностей на данный момент составляет 40 стоек сервисного оборудования, 621 ядро высокопроизводительных процессоров RISC архитектуры «IBM </w:t>
      </w:r>
      <w:proofErr w:type="spellStart"/>
      <w:r>
        <w:rPr>
          <w:rFonts w:ascii="Times New Roman" w:hAnsi="Times New Roman"/>
          <w:color w:val="000000" w:themeColor="text1"/>
          <w:sz w:val="28"/>
          <w:szCs w:val="28"/>
        </w:rPr>
        <w:t>Power</w:t>
      </w:r>
      <w:proofErr w:type="spellEnd"/>
      <w:r>
        <w:rPr>
          <w:rFonts w:ascii="Times New Roman" w:hAnsi="Times New Roman"/>
          <w:color w:val="000000" w:themeColor="text1"/>
          <w:sz w:val="28"/>
          <w:szCs w:val="28"/>
        </w:rPr>
        <w:t>», 1836 ядер процессоров стандартной архитектуры.</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4.3. Обеспечение функционирования и развитие единого портала бюджетной системы Российской Федерации (www.budget.gov.ru)</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4.3.1. Развитие единого портала бюджетной системы Российской Федерации (</w:t>
      </w:r>
      <w:hyperlink r:id="rId162" w:history="1">
        <w:r>
          <w:rPr>
            <w:rFonts w:ascii="Times New Roman" w:eastAsia="Times New Roman" w:hAnsi="Times New Roman"/>
            <w:b/>
            <w:color w:val="000000" w:themeColor="text1"/>
            <w:sz w:val="28"/>
            <w:szCs w:val="28"/>
            <w:lang w:eastAsia="ru-RU"/>
          </w:rPr>
          <w:t>www.budget.gov.ru</w:t>
        </w:r>
      </w:hyperlink>
      <w:r>
        <w:rPr>
          <w:rFonts w:ascii="Times New Roman" w:eastAsia="Times New Roman" w:hAnsi="Times New Roman"/>
          <w:b/>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Единый портал создан в соответствии с приказом Минфина России </w:t>
      </w:r>
      <w:r>
        <w:rPr>
          <w:rFonts w:ascii="Times New Roman" w:eastAsia="Times New Roman" w:hAnsi="Times New Roman"/>
          <w:color w:val="000000" w:themeColor="text1"/>
          <w:sz w:val="28"/>
          <w:szCs w:val="28"/>
          <w:lang w:eastAsia="ru-RU"/>
        </w:rPr>
        <w:br/>
        <w:t>от 27 декабря 2013 г. № 141н «О создании и ведении единого портала бюджетной системы Российской Федерации»</w:t>
      </w:r>
      <w:r>
        <w:rPr>
          <w:rFonts w:ascii="Times New Roman" w:hAnsi="Times New Roman"/>
          <w:color w:val="000000" w:themeColor="text1"/>
          <w:sz w:val="28"/>
          <w:szCs w:val="28"/>
        </w:rPr>
        <w:t xml:space="preserve"> </w:t>
      </w:r>
      <w:r>
        <w:rPr>
          <w:rFonts w:ascii="Times New Roman" w:eastAsia="Times New Roman" w:hAnsi="Times New Roman"/>
          <w:color w:val="000000" w:themeColor="text1"/>
          <w:sz w:val="28"/>
          <w:szCs w:val="28"/>
          <w:lang w:eastAsia="ru-RU"/>
        </w:rPr>
        <w:t xml:space="preserve">и введен в эксплуатацию </w:t>
      </w:r>
      <w:r>
        <w:rPr>
          <w:rFonts w:ascii="Times New Roman" w:eastAsia="Times New Roman" w:hAnsi="Times New Roman"/>
          <w:color w:val="000000" w:themeColor="text1"/>
          <w:sz w:val="28"/>
          <w:szCs w:val="28"/>
          <w:lang w:eastAsia="ru-RU"/>
        </w:rPr>
        <w:br/>
        <w:t>с 1 июля 2015 года приказом Минфина России от 30 июня 2015 г. № 192.</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течение 2016 года Федеральное казначейство проводило работы </w:t>
      </w:r>
      <w:r>
        <w:rPr>
          <w:rFonts w:ascii="Times New Roman" w:eastAsia="Times New Roman" w:hAnsi="Times New Roman"/>
          <w:color w:val="000000" w:themeColor="text1"/>
          <w:sz w:val="28"/>
          <w:szCs w:val="28"/>
          <w:lang w:eastAsia="ru-RU"/>
        </w:rPr>
        <w:br/>
        <w:t>по развитию Единого портала.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выполнения </w:t>
      </w:r>
      <w:r>
        <w:rPr>
          <w:rFonts w:ascii="Times New Roman" w:eastAsia="SimSun" w:hAnsi="Times New Roman"/>
          <w:color w:val="000000" w:themeColor="text1"/>
          <w:sz w:val="28"/>
          <w:szCs w:val="28"/>
        </w:rPr>
        <w:t>пункта 3.1.2 Плана задач по развитию ГИИС «Электронный бюджет» на 2016 год</w:t>
      </w:r>
      <w:r>
        <w:rPr>
          <w:rFonts w:ascii="Times New Roman" w:eastAsia="Times New Roman" w:hAnsi="Times New Roman"/>
          <w:color w:val="000000" w:themeColor="text1"/>
          <w:sz w:val="28"/>
          <w:szCs w:val="28"/>
          <w:lang w:eastAsia="ru-RU"/>
        </w:rPr>
        <w:t xml:space="preserve"> был проведен открытый конкурс на выполнение работ по развитию Единого портала, по результатам которого был заключен Государственный контракт от 10 ноября 2016 г. </w:t>
      </w:r>
      <w:r>
        <w:rPr>
          <w:rFonts w:ascii="Times New Roman" w:eastAsia="Times New Roman" w:hAnsi="Times New Roman"/>
          <w:color w:val="000000" w:themeColor="text1"/>
          <w:sz w:val="28"/>
          <w:szCs w:val="28"/>
          <w:lang w:eastAsia="ru-RU"/>
        </w:rPr>
        <w:br/>
        <w:t>№ УФТ-55/2016 на выполнение работ по развитию Единого портала.</w:t>
      </w:r>
    </w:p>
    <w:p>
      <w:pPr>
        <w:spacing w:after="0" w:line="360" w:lineRule="atLeast"/>
        <w:ind w:firstLine="709"/>
        <w:jc w:val="both"/>
        <w:rPr>
          <w:rFonts w:ascii="Times New Roman" w:eastAsia="SimSun" w:hAnsi="Times New Roman"/>
          <w:color w:val="000000" w:themeColor="text1"/>
          <w:sz w:val="28"/>
          <w:szCs w:val="28"/>
        </w:rPr>
      </w:pPr>
      <w:r>
        <w:rPr>
          <w:rFonts w:ascii="Times New Roman" w:eastAsia="Times New Roman" w:hAnsi="Times New Roman"/>
          <w:color w:val="000000" w:themeColor="text1"/>
          <w:sz w:val="28"/>
          <w:szCs w:val="28"/>
          <w:lang w:eastAsia="ru-RU"/>
        </w:rPr>
        <w:t>В соответствии с условиями указанного государственного контракта Федеральным казначейством было</w:t>
      </w:r>
      <w:r>
        <w:rPr>
          <w:rFonts w:ascii="Times New Roman" w:eastAsia="SimSun" w:hAnsi="Times New Roman"/>
          <w:color w:val="000000" w:themeColor="text1"/>
          <w:sz w:val="28"/>
          <w:szCs w:val="28"/>
        </w:rPr>
        <w:t xml:space="preserve"> обеспечено выполнение работ </w:t>
      </w:r>
      <w:r>
        <w:rPr>
          <w:rFonts w:ascii="Times New Roman" w:eastAsia="SimSun" w:hAnsi="Times New Roman"/>
          <w:color w:val="000000" w:themeColor="text1"/>
          <w:sz w:val="28"/>
          <w:szCs w:val="28"/>
        </w:rPr>
        <w:br/>
        <w:t>по развитию ППО Единого портала в части функционала, обеспечивающего в соответствии с требованиями положений постановления Правительства Российской Федерации от 24 февраля 2014 г. № 151 размещение на Едином портале БПГМУ, а также ВПГМУ (рисунок 27).</w:t>
      </w: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27</w:t>
      </w:r>
    </w:p>
    <w:p>
      <w:pPr>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Размещение на Едином портале БПГМУ и ВПГМУ</w:t>
      </w:r>
    </w:p>
    <w:p>
      <w:pPr>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279666" cy="2965836"/>
            <wp:effectExtent l="19050" t="19050" r="16510" b="2540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78852" cy="2965379"/>
                    </a:xfrm>
                    <a:prstGeom prst="rect">
                      <a:avLst/>
                    </a:prstGeom>
                    <a:noFill/>
                    <a:ln w="6350">
                      <a:solidFill>
                        <a:schemeClr val="tx1"/>
                      </a:solidFill>
                    </a:ln>
                  </pic:spPr>
                </pic:pic>
              </a:graphicData>
            </a:graphic>
          </wp:inline>
        </w:drawing>
      </w:r>
    </w:p>
    <w:p>
      <w:pPr>
        <w:tabs>
          <w:tab w:val="left" w:pos="851"/>
        </w:tabs>
        <w:spacing w:line="360" w:lineRule="exac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указанных работ были доработаны хранилища данных Единого портала, реализованы модули информационного взаимодействия </w:t>
      </w:r>
      <w:r>
        <w:rPr>
          <w:rFonts w:ascii="Times New Roman" w:hAnsi="Times New Roman"/>
          <w:color w:val="000000" w:themeColor="text1"/>
          <w:sz w:val="28"/>
          <w:szCs w:val="28"/>
        </w:rPr>
        <w:br/>
        <w:t xml:space="preserve">и модули интеграции Единого портала с подсистемами ГИИС «Электронный бюджет», являющимися источниками указанной информации, в том числе с сервисами по централизованному ведению </w:t>
      </w:r>
      <w:r>
        <w:rPr>
          <w:rFonts w:ascii="Times New Roman" w:hAnsi="Times New Roman"/>
          <w:color w:val="000000" w:themeColor="text1"/>
          <w:sz w:val="28"/>
          <w:szCs w:val="28"/>
        </w:rPr>
        <w:br/>
        <w:t>и распространению нормативно-справочной информации ГИИС «Электронный бюджет».</w:t>
      </w:r>
    </w:p>
    <w:p>
      <w:pPr>
        <w:tabs>
          <w:tab w:val="left" w:pos="851"/>
        </w:tabs>
        <w:spacing w:line="360" w:lineRule="exac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Проведены предварительные приемочные испытания доработанного ППО Единого портала, выполнена его опытная эксплуатация, проведены приемочные испытания, в том числе нагрузочное, интеграционное </w:t>
      </w:r>
      <w:r>
        <w:rPr>
          <w:rFonts w:ascii="Times New Roman" w:hAnsi="Times New Roman"/>
          <w:color w:val="000000" w:themeColor="text1"/>
          <w:sz w:val="28"/>
          <w:szCs w:val="28"/>
        </w:rPr>
        <w:br/>
        <w:t>и регрессионное тестирования ППО Единого портала.</w:t>
      </w:r>
    </w:p>
    <w:p>
      <w:pPr>
        <w:tabs>
          <w:tab w:val="left" w:pos="851"/>
        </w:tabs>
        <w:spacing w:line="360" w:lineRule="exac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результатам проведенных работ был актуализирован комплект рабочей и эксплуатационной документации на Единый портал, а также подписаны в соответствии с требованиями приказа Минфина России </w:t>
      </w:r>
      <w:r>
        <w:rPr>
          <w:rFonts w:ascii="Times New Roman" w:hAnsi="Times New Roman"/>
          <w:color w:val="000000" w:themeColor="text1"/>
          <w:sz w:val="28"/>
          <w:szCs w:val="28"/>
        </w:rPr>
        <w:br/>
        <w:t>от 15 декабря 2014 г. № 467 «О документации, разрабатываемой в рамках создания и развития государственной интегрированной информационной системы «Электронный бюджет» акты приемки в эксплуатацию ППО соответствующего функционала Единого портала.</w:t>
      </w:r>
    </w:p>
    <w:p>
      <w:pPr>
        <w:tabs>
          <w:tab w:val="left" w:pos="851"/>
        </w:tabs>
        <w:spacing w:line="360" w:lineRule="exact"/>
        <w:ind w:firstLine="709"/>
        <w:contextualSpacing/>
        <w:jc w:val="both"/>
        <w:rPr>
          <w:rFonts w:ascii="Times New Roman" w:eastAsia="SimSun" w:hAnsi="Times New Roman"/>
          <w:color w:val="000000" w:themeColor="text1"/>
          <w:sz w:val="28"/>
          <w:szCs w:val="28"/>
        </w:rPr>
      </w:pPr>
      <w:r>
        <w:rPr>
          <w:rFonts w:ascii="Times New Roman" w:hAnsi="Times New Roman"/>
          <w:color w:val="000000" w:themeColor="text1"/>
          <w:sz w:val="28"/>
          <w:szCs w:val="28"/>
        </w:rPr>
        <w:t>Также в 2016 году Федеральным казначейством обеспечена эксплуатация Единого портала, в том числе техническая поддержка пользователей</w:t>
      </w:r>
      <w:r>
        <w:rPr>
          <w:rFonts w:ascii="Times New Roman" w:eastAsia="SimSun" w:hAnsi="Times New Roman"/>
          <w:color w:val="000000" w:themeColor="text1"/>
          <w:sz w:val="28"/>
          <w:szCs w:val="28"/>
        </w:rPr>
        <w:t>.</w:t>
      </w:r>
    </w:p>
    <w:p>
      <w:pPr>
        <w:tabs>
          <w:tab w:val="left" w:pos="851"/>
        </w:tabs>
        <w:spacing w:after="0" w:line="360" w:lineRule="atLeast"/>
        <w:ind w:firstLine="709"/>
        <w:jc w:val="both"/>
        <w:rPr>
          <w:rFonts w:ascii="Times New Roman" w:eastAsia="SimSun" w:hAnsi="Times New Roman"/>
          <w:color w:val="000000" w:themeColor="text1"/>
          <w:sz w:val="28"/>
          <w:szCs w:val="28"/>
        </w:rPr>
      </w:pPr>
      <w:r>
        <w:rPr>
          <w:rFonts w:ascii="Times New Roman" w:hAnsi="Times New Roman"/>
          <w:color w:val="000000" w:themeColor="text1"/>
          <w:sz w:val="28"/>
          <w:szCs w:val="28"/>
        </w:rPr>
        <w:lastRenderedPageBreak/>
        <w:t xml:space="preserve">Необходимо также отметить, что количество уникальных пользователей Единого портала в 2016 году достигло 333,9 тысяч </w:t>
      </w:r>
      <w:r>
        <w:rPr>
          <w:rFonts w:ascii="Times New Roman" w:hAnsi="Times New Roman"/>
          <w:color w:val="000000" w:themeColor="text1"/>
          <w:sz w:val="28"/>
          <w:szCs w:val="28"/>
        </w:rPr>
        <w:br/>
        <w:t>(в 2015 году – 266,58 тысяч).</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4.4. Участие Федерального казначейства в контрактной системе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4.4.1. </w:t>
      </w:r>
      <w:r>
        <w:rPr>
          <w:rFonts w:ascii="Times New Roman" w:eastAsia="Times New Roman" w:hAnsi="Times New Roman"/>
          <w:b/>
          <w:color w:val="000000" w:themeColor="text1"/>
          <w:sz w:val="28"/>
          <w:szCs w:val="28"/>
          <w:lang w:eastAsia="ru-RU"/>
        </w:rPr>
        <w:t>Обеспечение интеграции подсистемы «Управление закупками» ГИИС «Электронный бюджет» с единой информационной системой в сфере закупок</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Федеральным казначейством принято участие:</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в разработке и согласовании изменений в постановления Правительства Российской Федерации:</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29 октября 2015 г. № 1168 «Об утверждении Правил размещения </w:t>
      </w:r>
      <w:r>
        <w:rPr>
          <w:rFonts w:ascii="Times New Roman" w:hAnsi="Times New Roman"/>
          <w:color w:val="000000" w:themeColor="text1"/>
          <w:sz w:val="28"/>
          <w:szCs w:val="28"/>
        </w:rPr>
        <w:br/>
        <w:t>в единой информационной системе в сфере закупок планов закупок товаров, работ, услуг для обеспечения государственных и муниципальных нужд, планов-графиков закупок товаров, работ, услуг для обеспечения государственных и муниципальных нужд» (далее – Постановление № 1168);</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от 28 ноября 2013 г. № 1084 «О порядке ведения реестра контрактов, заключенных заказчиками, и реестра контрактов, содержавшего сведения, составляющие государственную тайну»;</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от 5 июля 2015 г. № 552 «Об утверждении Правил формирования, утверждения и ведения плана закупок товаров, работ, услуг для обеспечения федеральных нужд, а также требований к форме плана закупок товаров, работ, услуг для обеспечения федеральных нужд»</w:t>
      </w:r>
      <w:r>
        <w:rPr>
          <w:rFonts w:ascii="Times New Roman" w:hAnsi="Times New Roman"/>
          <w:color w:val="000000" w:themeColor="text1"/>
        </w:rPr>
        <w:t xml:space="preserve"> </w:t>
      </w:r>
      <w:r>
        <w:rPr>
          <w:rFonts w:ascii="Times New Roman" w:hAnsi="Times New Roman"/>
          <w:color w:val="000000" w:themeColor="text1"/>
          <w:sz w:val="28"/>
          <w:szCs w:val="28"/>
        </w:rPr>
        <w:t>(далее – Постановление № 552);</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5 июля 2015 г. № 553 «Об утверждении Правил формирования, утверждения и ведения плана-графика закупок товаров, работ, услуг </w:t>
      </w:r>
      <w:r>
        <w:rPr>
          <w:rFonts w:ascii="Times New Roman" w:hAnsi="Times New Roman"/>
          <w:color w:val="000000" w:themeColor="text1"/>
          <w:sz w:val="28"/>
          <w:szCs w:val="28"/>
        </w:rPr>
        <w:br/>
        <w:t>для обеспечения федеральных нужд, а также требований к форме плана-графика закупок товаров, работ, услуг для обеспечения федеральных нужд» (далее – Постановление № 553);</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5 июля 2015 г. № 554 «О требованиях к формированию, утверждению и ведению плана-графика закупок товаров, работ, услуг </w:t>
      </w:r>
      <w:r>
        <w:rPr>
          <w:rFonts w:ascii="Times New Roman" w:hAnsi="Times New Roman"/>
          <w:color w:val="000000" w:themeColor="text1"/>
          <w:sz w:val="28"/>
          <w:szCs w:val="28"/>
        </w:rPr>
        <w:br/>
        <w:t>для обеспечения нужд субъекта Российской Федерации и муниципальных нужд, а также о требованиях к форме плана-графика закупок товаров, работ, услуг»;</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21 ноября 2013 г. № 1043 «О требованиях к формированию, утверждению и ведению планов закупок товаров, работ, услуг </w:t>
      </w:r>
      <w:r>
        <w:rPr>
          <w:rFonts w:ascii="Times New Roman" w:hAnsi="Times New Roman"/>
          <w:color w:val="000000" w:themeColor="text1"/>
          <w:sz w:val="28"/>
          <w:szCs w:val="28"/>
        </w:rPr>
        <w:br/>
        <w:t>для обеспечения нужд субъекта Российской Федерации и муниципальных нужд, а также требованиях к форме планов закупок товаров, работ, услуг»;</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в разработке и согласовании приказов Минфина России:</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от 4 июля 2016 г. № 104н «О порядке взаимодействия Федерального казначейства с субъектами контроля, указанными в пунктах 3 и 6 Правил осуществления контроля, предусмотренного частью 5 статьи 99 Федерального закона от 5 апреля 2013 г. № 44-ФЗ «О контрактной системе </w:t>
      </w:r>
      <w:r>
        <w:rPr>
          <w:rFonts w:ascii="Times New Roman" w:hAnsi="Times New Roman"/>
          <w:color w:val="000000" w:themeColor="text1"/>
          <w:sz w:val="28"/>
          <w:szCs w:val="28"/>
        </w:rPr>
        <w:br/>
        <w:t xml:space="preserve">в сфере закупок товаров, работ, услуг для обеспечения государственных </w:t>
      </w:r>
      <w:r>
        <w:rPr>
          <w:rFonts w:ascii="Times New Roman" w:hAnsi="Times New Roman"/>
          <w:color w:val="000000" w:themeColor="text1"/>
          <w:sz w:val="28"/>
          <w:szCs w:val="28"/>
        </w:rPr>
        <w:br/>
        <w:t>и муниципальных нужд»;</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 22 июля 2016 г. № 120н «Об утверждении общих требований </w:t>
      </w:r>
      <w:r>
        <w:rPr>
          <w:rFonts w:ascii="Times New Roman" w:hAnsi="Times New Roman"/>
          <w:color w:val="000000" w:themeColor="text1"/>
          <w:sz w:val="28"/>
          <w:szCs w:val="28"/>
        </w:rPr>
        <w:br/>
        <w:t xml:space="preserve">к порядку взаимодействия при осуществлении контроля финансовых органов субъектов Российской Федерации и муниципальных образований, органов управления государственными внебюджетными фондами </w:t>
      </w:r>
      <w:r>
        <w:rPr>
          <w:rFonts w:ascii="Times New Roman" w:hAnsi="Times New Roman"/>
          <w:color w:val="000000" w:themeColor="text1"/>
          <w:sz w:val="28"/>
          <w:szCs w:val="28"/>
        </w:rPr>
        <w:br/>
        <w:t xml:space="preserve">с субъектами контроля, указанными в пунктах 4 и 5 Правил осуществления контроля, предусмотренного частью 5 статьи 99 Федерального закона </w:t>
      </w:r>
      <w:r>
        <w:rPr>
          <w:rFonts w:ascii="Times New Roman" w:hAnsi="Times New Roman"/>
          <w:color w:val="000000" w:themeColor="text1"/>
          <w:sz w:val="28"/>
          <w:szCs w:val="28"/>
        </w:rPr>
        <w:br/>
        <w:t>от 5 апреля 2013 г. № 44-ФЗ «О контрактной системе в сфере закупок товаров, работ, услуг для обеспечения государственных и муниципальных нужд», утвержденных постановлением Правительства Российской Федерации от 12 декабря 2015 г. № 1367»;</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во внесении изменений в приказ Минэкономразвития России </w:t>
      </w:r>
      <w:r>
        <w:rPr>
          <w:rFonts w:ascii="Times New Roman" w:hAnsi="Times New Roman"/>
          <w:color w:val="000000" w:themeColor="text1"/>
          <w:sz w:val="28"/>
          <w:szCs w:val="28"/>
        </w:rPr>
        <w:br/>
        <w:t>от 29 июня 2015 г. № 422 «Об утверждении Порядка формирования идентификационного кода закупки».</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Разработан функционал подсистемы «Управление закупками» ГИИС «Электронный бюджет» в целях реализации автоматической постановки на учет бюджетных обязательств в подсистеме «Управление расходами» ГИИС «Электронный бюджет» при включении информации </w:t>
      </w:r>
      <w:r>
        <w:rPr>
          <w:rFonts w:ascii="Times New Roman" w:hAnsi="Times New Roman"/>
          <w:color w:val="000000" w:themeColor="text1"/>
          <w:sz w:val="28"/>
          <w:szCs w:val="28"/>
        </w:rPr>
        <w:br/>
        <w:t>о заключенном контракте в реестр контрактов.</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частью 5 статьи 99 Федерального закона № 44-ФЗ </w:t>
      </w:r>
      <w:r>
        <w:rPr>
          <w:rFonts w:ascii="Times New Roman" w:hAnsi="Times New Roman"/>
          <w:color w:val="000000" w:themeColor="text1"/>
          <w:sz w:val="28"/>
          <w:szCs w:val="28"/>
        </w:rPr>
        <w:br/>
        <w:t>в подсистеме «Управление закупками» ГИИС «Электронный бюджет» реализован модуль осуществления контроля, а именно личный кабинет органа контроля, доступ к которому предоставлен, помимо ТОФК, всем финансовым органам субъектов Российской Федерации и муниципальных образований, государственным внебюджетным фондам для осуществления своих контрольных полномочий в соответствии с Федеральным законом № 44-ФЗ.</w:t>
      </w:r>
    </w:p>
    <w:p>
      <w:pPr>
        <w:pStyle w:val="a5"/>
        <w:pageBreakBefore/>
        <w:spacing w:after="120" w:line="240" w:lineRule="auto"/>
        <w:ind w:left="0" w:firstLine="720"/>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28</w:t>
      </w:r>
    </w:p>
    <w:p>
      <w:pPr>
        <w:pStyle w:val="a5"/>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Схема осуществления контроля в соответствии с ч. 5 ст. 99 Федерального закона № 44-ФЗ Федеральным казначейством</w:t>
      </w:r>
      <w:r>
        <w:rPr>
          <w:rFonts w:ascii="Times New Roman" w:hAnsi="Times New Roman"/>
          <w:b/>
          <w:color w:val="000000" w:themeColor="text1"/>
          <w:sz w:val="28"/>
          <w:szCs w:val="28"/>
        </w:rPr>
        <w:br/>
        <w:t>(в отношении субъектов контроля федерального уровня)</w:t>
      </w:r>
    </w:p>
    <w:p>
      <w:pPr>
        <w:pStyle w:val="a5"/>
        <w:spacing w:after="0" w:line="360" w:lineRule="atLeast"/>
        <w:ind w:left="0"/>
        <w:jc w:val="center"/>
        <w:rPr>
          <w:rFonts w:ascii="Times New Roman" w:hAnsi="Times New Roman"/>
          <w:noProof/>
          <w:color w:val="000000" w:themeColor="text1"/>
          <w:sz w:val="28"/>
          <w:szCs w:val="28"/>
          <w:lang w:eastAsia="ru-RU"/>
        </w:rPr>
      </w:pPr>
    </w:p>
    <w:p>
      <w:pPr>
        <w:pStyle w:val="a5"/>
        <w:spacing w:after="0" w:line="360" w:lineRule="atLeast"/>
        <w:ind w:left="0"/>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923721" cy="3466769"/>
            <wp:effectExtent l="0" t="0" r="1270" b="635"/>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rotWithShape="1">
                    <a:blip r:embed="rId164" cstate="print">
                      <a:extLst>
                        <a:ext uri="{28A0092B-C50C-407E-A947-70E740481C1C}">
                          <a14:useLocalDpi xmlns:a14="http://schemas.microsoft.com/office/drawing/2010/main" val="0"/>
                        </a:ext>
                      </a:extLst>
                    </a:blip>
                    <a:srcRect b="4327"/>
                    <a:stretch/>
                  </pic:blipFill>
                  <pic:spPr bwMode="auto">
                    <a:xfrm>
                      <a:off x="0" y="0"/>
                      <a:ext cx="5918598" cy="3463771"/>
                    </a:xfrm>
                    <a:prstGeom prst="rect">
                      <a:avLst/>
                    </a:prstGeom>
                    <a:ln>
                      <a:noFill/>
                    </a:ln>
                    <a:extLst>
                      <a:ext uri="{53640926-AAD7-44D8-BBD7-CCE9431645EC}">
                        <a14:shadowObscured xmlns:a14="http://schemas.microsoft.com/office/drawing/2010/main"/>
                      </a:ext>
                    </a:extLst>
                  </pic:spPr>
                </pic:pic>
              </a:graphicData>
            </a:graphic>
          </wp:inline>
        </w:drawing>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В соответствии с Постановлением № 552, Постановлением № 553,</w:t>
      </w:r>
      <w:r>
        <w:rPr>
          <w:rFonts w:ascii="Times New Roman" w:hAnsi="Times New Roman"/>
          <w:color w:val="000000" w:themeColor="text1"/>
        </w:rPr>
        <w:t xml:space="preserve"> </w:t>
      </w:r>
      <w:r>
        <w:rPr>
          <w:rFonts w:ascii="Times New Roman" w:hAnsi="Times New Roman"/>
          <w:color w:val="000000" w:themeColor="text1"/>
          <w:sz w:val="28"/>
          <w:szCs w:val="28"/>
        </w:rPr>
        <w:t xml:space="preserve">постановлением Правительства Российской Федерации от 5 июля 2015 г. № 555 «Об установлении порядка обоснования закупок товаров, работ </w:t>
      </w:r>
      <w:r>
        <w:rPr>
          <w:rFonts w:ascii="Times New Roman" w:hAnsi="Times New Roman"/>
          <w:color w:val="000000" w:themeColor="text1"/>
          <w:sz w:val="28"/>
          <w:szCs w:val="28"/>
        </w:rPr>
        <w:br/>
        <w:t>и услуг для обеспечения государственных и муниципальных нужд и форм такого обоснования»,</w:t>
      </w:r>
      <w:r>
        <w:rPr>
          <w:rFonts w:ascii="Times New Roman" w:hAnsi="Times New Roman"/>
          <w:color w:val="000000" w:themeColor="text1"/>
        </w:rPr>
        <w:t xml:space="preserve"> </w:t>
      </w:r>
      <w:r>
        <w:rPr>
          <w:rFonts w:ascii="Times New Roman" w:hAnsi="Times New Roman"/>
          <w:color w:val="000000" w:themeColor="text1"/>
          <w:sz w:val="28"/>
          <w:szCs w:val="28"/>
        </w:rPr>
        <w:t xml:space="preserve">Постановлением № 1168 в подсистеме «Управление закупками» ГИИС «Электронный бюджет» разработан модуль формирования и ведения документации по планированию закупок, </w:t>
      </w:r>
      <w:r>
        <w:rPr>
          <w:rFonts w:ascii="Times New Roman" w:hAnsi="Times New Roman"/>
          <w:color w:val="000000" w:themeColor="text1"/>
          <w:sz w:val="28"/>
          <w:szCs w:val="28"/>
        </w:rPr>
        <w:br/>
        <w:t xml:space="preserve">в котором реализованы: </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формы планов закупок, планов-графиков закупок, обоснований планов закупок, планов-графиков закупок, а также возможность направления указанных документов на размещение в ЕИС </w:t>
      </w:r>
      <w:r>
        <w:rPr>
          <w:rFonts w:ascii="Times New Roman" w:hAnsi="Times New Roman"/>
          <w:color w:val="000000" w:themeColor="text1"/>
          <w:sz w:val="28"/>
          <w:szCs w:val="28"/>
        </w:rPr>
        <w:br/>
        <w:t xml:space="preserve">в структурированном виде; </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возможность направления заказчиком плана закупок </w:t>
      </w:r>
      <w:r>
        <w:rPr>
          <w:rFonts w:ascii="Times New Roman" w:hAnsi="Times New Roman"/>
          <w:color w:val="000000" w:themeColor="text1"/>
          <w:sz w:val="28"/>
          <w:szCs w:val="28"/>
        </w:rPr>
        <w:br/>
        <w:t>на рассмотрение главному распорядителю бюджетных средств;</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сервисная возможность формирования получателями бюджетных средств в подсистеме «Управление закупками» ГИИС «Электронный бюджет предложений по закупкам и направления их на согласование ГРБС в подсистему «Бюджетное планирование» ГИИС «Электронный бюджет» </w:t>
      </w:r>
      <w:r>
        <w:rPr>
          <w:rFonts w:ascii="Times New Roman" w:hAnsi="Times New Roman"/>
          <w:color w:val="000000" w:themeColor="text1"/>
          <w:sz w:val="28"/>
          <w:szCs w:val="28"/>
        </w:rPr>
        <w:br/>
        <w:t>в целях формирования обоснования бюджетных ассигнований.</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 целях обеспечения возможности осуществления закупок заказчиками в соответствии с Федеральным законом № 44-ФЗ разработан модуль формирования и ведения документации в целях определения поставщика (подрядчика, исполнителя). На текущий момент проводится пилотирование указанного функционала.</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Разработан модуль формирования и ведения документации </w:t>
      </w:r>
      <w:r>
        <w:rPr>
          <w:rFonts w:ascii="Times New Roman" w:hAnsi="Times New Roman"/>
          <w:color w:val="000000" w:themeColor="text1"/>
          <w:sz w:val="28"/>
          <w:szCs w:val="28"/>
        </w:rPr>
        <w:br/>
        <w:t xml:space="preserve">о заключении, исполнении, изменении и расторжении контракта (договора). </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разработки концепции подсистемы «Управление закупками»</w:t>
      </w:r>
      <w:r>
        <w:rPr>
          <w:rFonts w:ascii="Times New Roman" w:hAnsi="Times New Roman"/>
          <w:color w:val="000000" w:themeColor="text1"/>
        </w:rPr>
        <w:t xml:space="preserve"> </w:t>
      </w:r>
      <w:r>
        <w:rPr>
          <w:rFonts w:ascii="Times New Roman" w:hAnsi="Times New Roman"/>
          <w:color w:val="000000" w:themeColor="text1"/>
          <w:sz w:val="28"/>
          <w:szCs w:val="28"/>
        </w:rPr>
        <w:t>ГИИС «Электронный бюджет» были предложены схемы взаимодействия подсистемы «Управление закупками» и подсистемы «Финансовый контроль»</w:t>
      </w:r>
      <w:r>
        <w:rPr>
          <w:rFonts w:ascii="Times New Roman" w:hAnsi="Times New Roman"/>
          <w:color w:val="000000" w:themeColor="text1"/>
        </w:rPr>
        <w:t xml:space="preserve"> </w:t>
      </w:r>
      <w:r>
        <w:rPr>
          <w:rFonts w:ascii="Times New Roman" w:hAnsi="Times New Roman"/>
          <w:color w:val="000000" w:themeColor="text1"/>
          <w:sz w:val="28"/>
          <w:szCs w:val="28"/>
        </w:rPr>
        <w:t>ГИИС «Электронный бюджет.</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Реализован функционал ЕИС по регистрации лиц в соответствии </w:t>
      </w:r>
      <w:r>
        <w:rPr>
          <w:rFonts w:ascii="Times New Roman" w:hAnsi="Times New Roman"/>
          <w:color w:val="000000" w:themeColor="text1"/>
          <w:sz w:val="28"/>
          <w:szCs w:val="28"/>
        </w:rPr>
        <w:br/>
        <w:t>с положениями приказа Федерального казначейства от 30 декабря 2015 г. № 27н «Об утверждении Порядка регистрации в единой информационной системе в сфере закупок и признании утратившим силу приказа Федерального казначейства от 25 марта 2014 г. № 4н» (далее – Приказ № 27н).</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реализован функционал в целях реализации постановления Правительства Российской Федерации от 2 августа 2016 г. № 835 </w:t>
      </w:r>
      <w:r>
        <w:rPr>
          <w:rFonts w:ascii="Times New Roman" w:hAnsi="Times New Roman"/>
          <w:color w:val="000000" w:themeColor="text1"/>
          <w:sz w:val="28"/>
          <w:szCs w:val="28"/>
        </w:rPr>
        <w:br/>
        <w:t>«Об утверждении Правил проведения обязательного общественного обсуждения закупок товаров, работ, услуг для обеспечения государственных и муниципальных нужд».</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согласован проект постановления Правительства Российской Федерации «О формировании, ведении </w:t>
      </w:r>
      <w:r>
        <w:rPr>
          <w:rFonts w:ascii="Times New Roman" w:hAnsi="Times New Roman"/>
          <w:color w:val="000000" w:themeColor="text1"/>
          <w:sz w:val="28"/>
          <w:szCs w:val="28"/>
        </w:rPr>
        <w:br/>
        <w:t>и использовании каталога товаров, работ и услуг».</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заключено четырехстороннее соглашение </w:t>
      </w:r>
      <w:r>
        <w:rPr>
          <w:rFonts w:ascii="Times New Roman" w:hAnsi="Times New Roman"/>
          <w:color w:val="000000" w:themeColor="text1"/>
          <w:sz w:val="28"/>
          <w:szCs w:val="28"/>
        </w:rPr>
        <w:br/>
        <w:t xml:space="preserve">с Минэкономразвития России, Правительством г. Москвы и Федеральным государственным автономным образовательным учреждением высшего профессионального образования «Национальным исследовательским университетом «Высшая школа экономики» о сотрудничестве </w:t>
      </w:r>
      <w:r>
        <w:rPr>
          <w:rFonts w:ascii="Times New Roman" w:hAnsi="Times New Roman"/>
          <w:color w:val="000000" w:themeColor="text1"/>
          <w:sz w:val="28"/>
          <w:szCs w:val="28"/>
        </w:rPr>
        <w:br/>
        <w:t xml:space="preserve">при формировании и внедрении каталога товаров, работ, услуг </w:t>
      </w:r>
      <w:r>
        <w:rPr>
          <w:rFonts w:ascii="Times New Roman" w:hAnsi="Times New Roman"/>
          <w:color w:val="000000" w:themeColor="text1"/>
          <w:sz w:val="28"/>
          <w:szCs w:val="28"/>
        </w:rPr>
        <w:br/>
        <w:t>для обеспечения государственных и муниципальных нужд.</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перечня поручений Президента Российской Федерации № Пр-1567 Федеральным казначейством согласована с Минэкономразвития России «дорожная карта» по нормативно-правовому регулированию </w:t>
      </w:r>
      <w:r>
        <w:rPr>
          <w:rFonts w:ascii="Times New Roman" w:hAnsi="Times New Roman"/>
          <w:color w:val="000000" w:themeColor="text1"/>
          <w:sz w:val="28"/>
          <w:szCs w:val="28"/>
        </w:rPr>
        <w:br/>
        <w:t>и доработке ЕИС для обеспечения интеграции с создаваемой информационно-аналитической системой в части структурирования различных характеристик товара (лекарственных препаратов) в едином машиночитаемом формате.</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Также согласовано с Минздравом России техническое задание </w:t>
      </w:r>
      <w:r>
        <w:rPr>
          <w:rFonts w:ascii="Times New Roman" w:hAnsi="Times New Roman"/>
          <w:color w:val="000000" w:themeColor="text1"/>
          <w:sz w:val="28"/>
          <w:szCs w:val="28"/>
        </w:rPr>
        <w:br/>
        <w:t xml:space="preserve">на создание информационно-аналитической системы мониторинга </w:t>
      </w:r>
      <w:r>
        <w:rPr>
          <w:rFonts w:ascii="Times New Roman" w:hAnsi="Times New Roman"/>
          <w:color w:val="000000" w:themeColor="text1"/>
          <w:sz w:val="28"/>
          <w:szCs w:val="28"/>
        </w:rPr>
        <w:br/>
        <w:t xml:space="preserve">и контроля за осуществлением закупок лекарственных препаратов </w:t>
      </w:r>
      <w:r>
        <w:rPr>
          <w:rFonts w:ascii="Times New Roman" w:hAnsi="Times New Roman"/>
          <w:color w:val="000000" w:themeColor="text1"/>
          <w:sz w:val="28"/>
          <w:szCs w:val="28"/>
        </w:rPr>
        <w:br/>
        <w:t xml:space="preserve">для обеспечения государственных и муниципальных нужд (далее – ИАС). </w:t>
      </w:r>
    </w:p>
    <w:p>
      <w:pPr>
        <w:tabs>
          <w:tab w:val="left" w:pos="840"/>
        </w:tabs>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Кроме того, согласован перечень информации, в целях обеспечения информационного обмена между ЕИС и ИАС.</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4.4.2. Информационное обеспечение контрактной системы</w:t>
      </w:r>
    </w:p>
    <w:p>
      <w:pPr>
        <w:spacing w:after="0" w:line="360" w:lineRule="atLeast"/>
        <w:ind w:firstLine="709"/>
        <w:jc w:val="both"/>
        <w:rPr>
          <w:rFonts w:ascii="Times New Roman" w:eastAsia="Times New Roman" w:hAnsi="Times New Roman"/>
          <w:color w:val="000000" w:themeColor="text1"/>
          <w:spacing w:val="2"/>
          <w:sz w:val="28"/>
          <w:szCs w:val="28"/>
          <w:lang w:eastAsia="ru-RU"/>
        </w:rPr>
      </w:pPr>
      <w:r>
        <w:rPr>
          <w:rFonts w:ascii="Times New Roman" w:eastAsia="Times New Roman" w:hAnsi="Times New Roman"/>
          <w:color w:val="000000" w:themeColor="text1"/>
          <w:spacing w:val="2"/>
          <w:sz w:val="28"/>
          <w:szCs w:val="28"/>
          <w:lang w:eastAsia="ru-RU"/>
        </w:rPr>
        <w:t>Новым этапом информационного обеспечения развития контрактных отношений в сфере закупок явился запуск ЕИС (рисунок 29).</w:t>
      </w:r>
    </w:p>
    <w:p>
      <w:pPr>
        <w:spacing w:before="120" w:after="120" w:line="240" w:lineRule="auto"/>
        <w:ind w:firstLine="709"/>
        <w:jc w:val="right"/>
        <w:rPr>
          <w:rFonts w:ascii="Times New Roman" w:eastAsia="Times New Roman" w:hAnsi="Times New Roman"/>
          <w:color w:val="000000" w:themeColor="text1"/>
          <w:spacing w:val="2"/>
          <w:sz w:val="28"/>
          <w:szCs w:val="28"/>
          <w:lang w:eastAsia="ru-RU"/>
        </w:rPr>
      </w:pPr>
      <w:r>
        <w:rPr>
          <w:rFonts w:ascii="Times New Roman" w:eastAsia="Times New Roman" w:hAnsi="Times New Roman"/>
          <w:color w:val="000000" w:themeColor="text1"/>
          <w:spacing w:val="2"/>
          <w:sz w:val="28"/>
          <w:szCs w:val="28"/>
          <w:lang w:eastAsia="ru-RU"/>
        </w:rPr>
        <w:t>Рисунок 29</w:t>
      </w:r>
    </w:p>
    <w:p>
      <w:pPr>
        <w:spacing w:after="0" w:line="380" w:lineRule="atLeast"/>
        <w:jc w:val="center"/>
        <w:rPr>
          <w:rFonts w:ascii="Times New Roman" w:eastAsia="Times New Roman" w:hAnsi="Times New Roman"/>
          <w:color w:val="000000" w:themeColor="text1"/>
          <w:spacing w:val="2"/>
          <w:sz w:val="28"/>
          <w:szCs w:val="28"/>
          <w:lang w:eastAsia="ru-RU"/>
        </w:rPr>
      </w:pPr>
      <w:r>
        <w:rPr>
          <w:rFonts w:ascii="Times New Roman" w:eastAsia="Times New Roman" w:hAnsi="Times New Roman"/>
          <w:noProof/>
          <w:color w:val="000000" w:themeColor="text1"/>
          <w:spacing w:val="2"/>
          <w:sz w:val="28"/>
          <w:szCs w:val="28"/>
          <w:lang w:eastAsia="ru-RU"/>
        </w:rPr>
        <w:drawing>
          <wp:inline distT="0" distB="0" distL="0" distR="0">
            <wp:extent cx="5255812" cy="3681454"/>
            <wp:effectExtent l="0" t="0" r="0" b="0"/>
            <wp:docPr id="27723" name="Рисунок 2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56814" cy="3682156"/>
                    </a:xfrm>
                    <a:prstGeom prst="rect">
                      <a:avLst/>
                    </a:prstGeom>
                    <a:noFill/>
                  </pic:spPr>
                </pic:pic>
              </a:graphicData>
            </a:graphic>
          </wp:inline>
        </w:drawing>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rPr>
        <w:t xml:space="preserve">Создание ЕИС осуществлялось путем модернизации официального сайта Российской Федерации в информационно-телекоммуникационной сети «Интернет» для размещения информации о размещении заказов </w:t>
      </w:r>
      <w:r>
        <w:rPr>
          <w:rFonts w:ascii="Times New Roman" w:eastAsia="Times New Roman" w:hAnsi="Times New Roman"/>
          <w:color w:val="000000" w:themeColor="text1"/>
          <w:sz w:val="28"/>
          <w:szCs w:val="28"/>
        </w:rPr>
        <w:br/>
        <w:t>на поставки товаров, выполнение работ, оказание услуг (</w:t>
      </w:r>
      <w:hyperlink r:id="rId166" w:history="1">
        <w:r>
          <w:rPr>
            <w:rFonts w:ascii="Times New Roman" w:eastAsia="Times New Roman" w:hAnsi="Times New Roman"/>
            <w:color w:val="000000" w:themeColor="text1"/>
            <w:sz w:val="28"/>
            <w:szCs w:val="28"/>
          </w:rPr>
          <w:t>www.zakupki.gov.ru</w:t>
        </w:r>
      </w:hyperlink>
      <w:r>
        <w:rPr>
          <w:rFonts w:ascii="Times New Roman" w:eastAsia="Times New Roman" w:hAnsi="Times New Roman"/>
          <w:color w:val="000000" w:themeColor="text1"/>
          <w:sz w:val="28"/>
          <w:szCs w:val="28"/>
        </w:rPr>
        <w:t xml:space="preserve">) (далее – Официальный сайт </w:t>
      </w:r>
      <w:hyperlink r:id="rId167" w:history="1">
        <w:r>
          <w:rPr>
            <w:rFonts w:ascii="Times New Roman" w:eastAsia="Times New Roman" w:hAnsi="Times New Roman"/>
            <w:color w:val="000000" w:themeColor="text1"/>
            <w:sz w:val="28"/>
            <w:szCs w:val="28"/>
          </w:rPr>
          <w:t>www.zakupki.gov.ru</w:t>
        </w:r>
      </w:hyperlink>
      <w:r>
        <w:rPr>
          <w:rFonts w:ascii="Times New Roman" w:eastAsia="Times New Roman" w:hAnsi="Times New Roman"/>
          <w:color w:val="000000" w:themeColor="text1"/>
          <w:sz w:val="28"/>
          <w:szCs w:val="28"/>
        </w:rPr>
        <w:t xml:space="preserve">), </w:t>
      </w:r>
      <w:r>
        <w:rPr>
          <w:rFonts w:ascii="Times New Roman" w:eastAsia="Times New Roman" w:hAnsi="Times New Roman"/>
          <w:color w:val="000000" w:themeColor="text1"/>
          <w:sz w:val="28"/>
          <w:szCs w:val="28"/>
        </w:rPr>
        <w:br/>
      </w:r>
      <w:r>
        <w:rPr>
          <w:rFonts w:ascii="Times New Roman" w:eastAsiaTheme="minorHAnsi" w:hAnsi="Times New Roman"/>
          <w:color w:val="000000" w:themeColor="text1"/>
          <w:sz w:val="28"/>
          <w:szCs w:val="28"/>
        </w:rPr>
        <w:t xml:space="preserve">а также путем разработки новых функциональных модулей, позволяющих устранить имеющиеся технологические недостатки, включая обеспечение информационного взаимодействия ЕИС со всеми внешними информационными системами. Данный подход </w:t>
      </w:r>
      <w:r>
        <w:rPr>
          <w:rFonts w:ascii="Times New Roman" w:eastAsia="Times New Roman" w:hAnsi="Times New Roman"/>
          <w:color w:val="000000" w:themeColor="text1"/>
          <w:sz w:val="28"/>
          <w:szCs w:val="28"/>
        </w:rPr>
        <w:t>позволил обеспечить своевременный поэтапный запуск функционала ЕИС без серьезных потрясений для заказчиков и поставщиков (подрядчиков, исполнителей).</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lastRenderedPageBreak/>
        <w:t xml:space="preserve">Так, с 1 января 2016 года Федеральным казначейством </w:t>
      </w:r>
      <w:r>
        <w:rPr>
          <w:rFonts w:ascii="Times New Roman" w:eastAsiaTheme="minorHAnsi" w:hAnsi="Times New Roman"/>
          <w:color w:val="000000" w:themeColor="text1"/>
          <w:sz w:val="28"/>
          <w:szCs w:val="28"/>
        </w:rPr>
        <w:br/>
      </w:r>
      <w:r>
        <w:rPr>
          <w:rFonts w:ascii="Times New Roman" w:hAnsi="Times New Roman"/>
          <w:color w:val="000000" w:themeColor="text1"/>
          <w:sz w:val="28"/>
          <w:szCs w:val="28"/>
        </w:rPr>
        <w:t>успешно запущена в эксплуатацию ЕИС</w:t>
      </w:r>
      <w:r>
        <w:rPr>
          <w:rFonts w:ascii="Times New Roman" w:eastAsiaTheme="minorHAnsi" w:hAnsi="Times New Roman"/>
          <w:color w:val="000000" w:themeColor="text1"/>
          <w:sz w:val="28"/>
          <w:szCs w:val="28"/>
        </w:rPr>
        <w:t xml:space="preserve"> во исполнение требований постановления Правительства Российской Федерации от 23 января 2015 г. № 36 «О порядке и сроках ввода в эксплуатацию единой информационной системы в сфере закупок» и функциональных</w:t>
      </w:r>
      <w:r>
        <w:rPr>
          <w:rFonts w:ascii="Times New Roman" w:hAnsi="Times New Roman"/>
          <w:color w:val="000000" w:themeColor="text1"/>
          <w:sz w:val="28"/>
          <w:szCs w:val="28"/>
        </w:rPr>
        <w:t xml:space="preserve"> требований </w:t>
      </w:r>
      <w:r>
        <w:rPr>
          <w:rFonts w:ascii="Times New Roman" w:eastAsiaTheme="minorHAnsi" w:hAnsi="Times New Roman"/>
          <w:color w:val="000000" w:themeColor="text1"/>
          <w:sz w:val="28"/>
          <w:szCs w:val="28"/>
        </w:rPr>
        <w:t>Минэкономразвития России на создание и развитие ЕИС</w:t>
      </w:r>
      <w:r>
        <w:rPr>
          <w:rFonts w:ascii="Times New Roman" w:hAnsi="Times New Roman"/>
          <w:color w:val="000000" w:themeColor="text1"/>
          <w:sz w:val="28"/>
          <w:szCs w:val="28"/>
        </w:rPr>
        <w:t>.</w:t>
      </w:r>
    </w:p>
    <w:p>
      <w:pPr>
        <w:tabs>
          <w:tab w:val="left" w:pos="1276"/>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heme="minorHAnsi" w:hAnsi="Times New Roman"/>
          <w:color w:val="000000" w:themeColor="text1"/>
          <w:sz w:val="28"/>
          <w:szCs w:val="28"/>
        </w:rPr>
        <w:t xml:space="preserve">С момента ввода ЕИС в эксплуатацию реализован обновленный дизайн Официального сайта </w:t>
      </w:r>
      <w:hyperlink r:id="rId168"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 xml:space="preserve">. </w:t>
      </w:r>
      <w:r>
        <w:rPr>
          <w:rFonts w:ascii="Times New Roman" w:eastAsia="Times New Roman" w:hAnsi="Times New Roman"/>
          <w:color w:val="000000" w:themeColor="text1"/>
          <w:sz w:val="28"/>
          <w:szCs w:val="28"/>
        </w:rPr>
        <w:t xml:space="preserve">При этом с момента запуска </w:t>
      </w:r>
      <w:r>
        <w:rPr>
          <w:rFonts w:ascii="Times New Roman" w:eastAsiaTheme="minorHAnsi" w:hAnsi="Times New Roman"/>
          <w:color w:val="000000" w:themeColor="text1"/>
          <w:sz w:val="28"/>
          <w:szCs w:val="28"/>
        </w:rPr>
        <w:t xml:space="preserve">указанный сайт </w:t>
      </w:r>
      <w:r>
        <w:rPr>
          <w:rFonts w:ascii="Times New Roman" w:eastAsia="Times New Roman" w:hAnsi="Times New Roman"/>
          <w:color w:val="000000" w:themeColor="text1"/>
          <w:sz w:val="28"/>
          <w:szCs w:val="28"/>
        </w:rPr>
        <w:t xml:space="preserve">был реализован в двух вариантах: «историческом» </w:t>
      </w:r>
      <w:r>
        <w:rPr>
          <w:rFonts w:ascii="Times New Roman" w:eastAsiaTheme="minorHAnsi" w:hAnsi="Times New Roman"/>
          <w:color w:val="000000" w:themeColor="text1"/>
          <w:sz w:val="28"/>
          <w:szCs w:val="28"/>
        </w:rPr>
        <w:t>–</w:t>
      </w:r>
      <w:r>
        <w:rPr>
          <w:rFonts w:ascii="Times New Roman" w:eastAsia="Times New Roman" w:hAnsi="Times New Roman"/>
          <w:color w:val="000000" w:themeColor="text1"/>
          <w:sz w:val="28"/>
          <w:szCs w:val="28"/>
        </w:rPr>
        <w:t xml:space="preserve"> привычном для пользователей дизайне и обновленном дизайне. Вариант «исторического» дизайна является основным для нивелирования возможных сложностей при работе пользователей</w:t>
      </w:r>
      <w:r>
        <w:rPr>
          <w:rFonts w:ascii="Times New Roman" w:eastAsiaTheme="minorHAnsi" w:hAnsi="Times New Roman"/>
          <w:color w:val="000000" w:themeColor="text1"/>
          <w:sz w:val="28"/>
          <w:szCs w:val="28"/>
        </w:rPr>
        <w:t xml:space="preserve"> Официального сайта </w:t>
      </w:r>
      <w:hyperlink r:id="rId169" w:history="1">
        <w:r>
          <w:rPr>
            <w:rFonts w:ascii="Times New Roman" w:eastAsiaTheme="minorHAnsi" w:hAnsi="Times New Roman"/>
            <w:color w:val="000000" w:themeColor="text1"/>
            <w:sz w:val="28"/>
            <w:szCs w:val="28"/>
          </w:rPr>
          <w:t>www.zakupki.gov.ru</w:t>
        </w:r>
      </w:hyperlink>
      <w:r>
        <w:rPr>
          <w:rFonts w:ascii="Times New Roman" w:eastAsia="Times New Roman" w:hAnsi="Times New Roman"/>
          <w:color w:val="000000" w:themeColor="text1"/>
          <w:sz w:val="28"/>
          <w:szCs w:val="28"/>
        </w:rPr>
        <w:t xml:space="preserve"> с обновленным его интерфейсом.</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Новый дизайн </w:t>
      </w:r>
      <w:r>
        <w:rPr>
          <w:rFonts w:ascii="Times New Roman" w:eastAsiaTheme="minorHAnsi" w:hAnsi="Times New Roman"/>
          <w:color w:val="000000" w:themeColor="text1"/>
          <w:sz w:val="28"/>
          <w:szCs w:val="28"/>
          <w:lang w:eastAsia="ru-RU"/>
        </w:rPr>
        <w:t xml:space="preserve">Официального сайта </w:t>
      </w:r>
      <w:hyperlink r:id="rId170" w:history="1">
        <w:r>
          <w:rPr>
            <w:rFonts w:ascii="Times New Roman" w:eastAsiaTheme="minorHAnsi" w:hAnsi="Times New Roman"/>
            <w:color w:val="000000" w:themeColor="text1"/>
            <w:sz w:val="28"/>
            <w:szCs w:val="28"/>
            <w:lang w:eastAsia="ru-RU"/>
          </w:rPr>
          <w:t>www.zakupki.gov.ru</w:t>
        </w:r>
      </w:hyperlink>
      <w:r>
        <w:rPr>
          <w:rFonts w:ascii="Times New Roman" w:hAnsi="Times New Roman"/>
          <w:color w:val="000000" w:themeColor="text1"/>
          <w:sz w:val="28"/>
          <w:szCs w:val="28"/>
          <w:lang w:eastAsia="ru-RU"/>
        </w:rPr>
        <w:t xml:space="preserve">, отличающийся своей многофункциональностью, разработанный с учетом подходов, используемых на официальных сайтах Правительства Российской Федерации и ФОИВ, позволил усовершенствовать основную функцию </w:t>
      </w:r>
      <w:r>
        <w:rPr>
          <w:rFonts w:ascii="Times New Roman" w:eastAsiaTheme="minorHAnsi" w:hAnsi="Times New Roman"/>
          <w:color w:val="000000" w:themeColor="text1"/>
          <w:sz w:val="28"/>
          <w:szCs w:val="28"/>
          <w:lang w:eastAsia="ru-RU"/>
        </w:rPr>
        <w:t xml:space="preserve">Официального сайта </w:t>
      </w:r>
      <w:hyperlink r:id="rId171" w:history="1">
        <w:r>
          <w:rPr>
            <w:rFonts w:ascii="Times New Roman" w:eastAsiaTheme="minorHAnsi" w:hAnsi="Times New Roman"/>
            <w:color w:val="000000" w:themeColor="text1"/>
            <w:sz w:val="28"/>
            <w:szCs w:val="28"/>
            <w:lang w:eastAsia="ru-RU"/>
          </w:rPr>
          <w:t>www.zakupki.gov.ru</w:t>
        </w:r>
      </w:hyperlink>
      <w:r>
        <w:rPr>
          <w:rFonts w:ascii="Times New Roman" w:eastAsiaTheme="minorHAnsi" w:hAnsi="Times New Roman"/>
          <w:color w:val="000000" w:themeColor="text1"/>
          <w:sz w:val="28"/>
          <w:szCs w:val="28"/>
          <w:lang w:eastAsia="ru-RU"/>
        </w:rPr>
        <w:t xml:space="preserve"> </w:t>
      </w:r>
      <w:r>
        <w:rPr>
          <w:rFonts w:ascii="Times New Roman" w:hAnsi="Times New Roman"/>
          <w:color w:val="000000" w:themeColor="text1"/>
          <w:sz w:val="28"/>
          <w:szCs w:val="28"/>
          <w:lang w:eastAsia="ru-RU"/>
        </w:rPr>
        <w:t>– поиск информации, размещенной заказчиками в общедоступной части ЕИС.</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Так, начиная с 2016 года оптимизированы алгоритмы поиска информации с использованием «сквозного» ее поиска одновременно во всех реестрах подсистемы «Размещение информации» ЕИС, расширен состав реквизитов параметров обычного и расширенного поиска информации, </w:t>
      </w:r>
      <w:r>
        <w:rPr>
          <w:rFonts w:ascii="Times New Roman" w:hAnsi="Times New Roman"/>
          <w:color w:val="000000" w:themeColor="text1"/>
          <w:sz w:val="28"/>
          <w:szCs w:val="28"/>
          <w:lang w:eastAsia="ru-RU"/>
        </w:rPr>
        <w:br/>
        <w:t xml:space="preserve">при этом главным нововведением </w:t>
      </w:r>
      <w:r>
        <w:rPr>
          <w:rFonts w:ascii="Times New Roman" w:eastAsiaTheme="minorHAnsi" w:hAnsi="Times New Roman"/>
          <w:color w:val="000000" w:themeColor="text1"/>
          <w:sz w:val="28"/>
          <w:szCs w:val="28"/>
          <w:lang w:eastAsia="ru-RU"/>
        </w:rPr>
        <w:t xml:space="preserve">Официального сайта </w:t>
      </w:r>
      <w:hyperlink r:id="rId172" w:history="1">
        <w:r>
          <w:rPr>
            <w:rFonts w:ascii="Times New Roman" w:eastAsiaTheme="minorHAnsi" w:hAnsi="Times New Roman"/>
            <w:color w:val="000000" w:themeColor="text1"/>
            <w:sz w:val="28"/>
            <w:szCs w:val="28"/>
            <w:lang w:eastAsia="ru-RU"/>
          </w:rPr>
          <w:t>www.zakupki.gov.ru</w:t>
        </w:r>
      </w:hyperlink>
      <w:r>
        <w:rPr>
          <w:rFonts w:ascii="Times New Roman" w:eastAsiaTheme="minorHAnsi" w:hAnsi="Times New Roman"/>
          <w:color w:val="000000" w:themeColor="text1"/>
          <w:sz w:val="28"/>
          <w:szCs w:val="28"/>
          <w:lang w:eastAsia="ru-RU"/>
        </w:rPr>
        <w:t xml:space="preserve"> </w:t>
      </w:r>
      <w:r>
        <w:rPr>
          <w:rFonts w:ascii="Times New Roman" w:hAnsi="Times New Roman"/>
          <w:color w:val="000000" w:themeColor="text1"/>
          <w:sz w:val="28"/>
          <w:szCs w:val="28"/>
          <w:lang w:eastAsia="ru-RU"/>
        </w:rPr>
        <w:t xml:space="preserve">стало внедрение конструктора поиска, позволяющего пользователю самостоятельно формировать поисковый запрос на основании всех структурированных данных документов, размещенных в том или ином реестре </w:t>
      </w:r>
      <w:r>
        <w:rPr>
          <w:rFonts w:ascii="Times New Roman" w:eastAsiaTheme="minorHAnsi" w:hAnsi="Times New Roman"/>
          <w:color w:val="000000" w:themeColor="text1"/>
          <w:sz w:val="28"/>
          <w:szCs w:val="28"/>
          <w:lang w:eastAsia="ru-RU"/>
        </w:rPr>
        <w:t xml:space="preserve">Официального сайта </w:t>
      </w:r>
      <w:hyperlink r:id="rId173" w:history="1">
        <w:r>
          <w:rPr>
            <w:rFonts w:ascii="Times New Roman" w:eastAsiaTheme="minorHAnsi" w:hAnsi="Times New Roman"/>
            <w:color w:val="000000" w:themeColor="text1"/>
            <w:sz w:val="28"/>
            <w:szCs w:val="28"/>
            <w:lang w:eastAsia="ru-RU"/>
          </w:rPr>
          <w:t>www.zakupki.gov.ru</w:t>
        </w:r>
      </w:hyperlink>
      <w:r>
        <w:rPr>
          <w:rFonts w:ascii="Times New Roman" w:eastAsiaTheme="minorHAnsi" w:hAnsi="Times New Roman"/>
          <w:color w:val="000000" w:themeColor="text1"/>
          <w:sz w:val="28"/>
          <w:szCs w:val="28"/>
          <w:lang w:eastAsia="ru-RU"/>
        </w:rPr>
        <w:t xml:space="preserve"> </w:t>
      </w:r>
      <w:r>
        <w:rPr>
          <w:rFonts w:ascii="Times New Roman" w:hAnsi="Times New Roman"/>
          <w:color w:val="000000" w:themeColor="text1"/>
          <w:sz w:val="28"/>
          <w:szCs w:val="28"/>
          <w:lang w:eastAsia="ru-RU"/>
        </w:rPr>
        <w:t>(в том числе, сохранять каждый поисковый запрос, формируя множество самостоятельных запросов).</w:t>
      </w:r>
    </w:p>
    <w:p>
      <w:pPr>
        <w:pStyle w:val="11"/>
        <w:tabs>
          <w:tab w:val="left" w:pos="709"/>
          <w:tab w:val="left" w:pos="1134"/>
        </w:tabs>
        <w:spacing w:after="0" w:line="360" w:lineRule="atLeast"/>
        <w:ind w:left="0" w:firstLine="709"/>
        <w:contextualSpacing w:val="0"/>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Кроме того, новые возможности Официального сайта </w:t>
      </w:r>
      <w:hyperlink r:id="rId174"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 xml:space="preserve"> позволяют настроить рабочую область в соответствии </w:t>
      </w:r>
      <w:r>
        <w:rPr>
          <w:rFonts w:ascii="Times New Roman" w:eastAsiaTheme="minorHAnsi" w:hAnsi="Times New Roman"/>
          <w:color w:val="000000" w:themeColor="text1"/>
          <w:sz w:val="28"/>
          <w:szCs w:val="28"/>
        </w:rPr>
        <w:br/>
        <w:t xml:space="preserve">с потребностями пользователя, обеспечивая возможность скрыть </w:t>
      </w:r>
      <w:r>
        <w:rPr>
          <w:rFonts w:ascii="Times New Roman" w:eastAsiaTheme="minorHAnsi" w:hAnsi="Times New Roman"/>
          <w:color w:val="000000" w:themeColor="text1"/>
          <w:sz w:val="28"/>
          <w:szCs w:val="28"/>
        </w:rPr>
        <w:br/>
        <w:t xml:space="preserve">не используемые разделы Официального сайта </w:t>
      </w:r>
      <w:hyperlink r:id="rId175"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 xml:space="preserve">. Также при первичном входе на указанный сайт осуществляется определение местоположения пользователя, поиск закупок с привязкой к определенному субъекту Российской Федерации. Обеспечена возможность перехода </w:t>
      </w:r>
      <w:r>
        <w:rPr>
          <w:rFonts w:ascii="Times New Roman" w:eastAsiaTheme="minorHAnsi" w:hAnsi="Times New Roman"/>
          <w:color w:val="000000" w:themeColor="text1"/>
          <w:sz w:val="28"/>
          <w:szCs w:val="28"/>
        </w:rPr>
        <w:br/>
        <w:t>к социально значимым сервисам (обсуждение крупных закупок, поиск закупок у субъектов малого предпринимательства (далее – СМП),</w:t>
      </w:r>
      <w:r>
        <w:rPr>
          <w:rFonts w:ascii="Times New Roman" w:eastAsiaTheme="minorHAnsi" w:hAnsi="Times New Roman"/>
          <w:b/>
          <w:color w:val="000000" w:themeColor="text1"/>
          <w:sz w:val="28"/>
          <w:szCs w:val="28"/>
          <w:u w:val="single"/>
        </w:rPr>
        <w:t xml:space="preserve"> </w:t>
      </w:r>
      <w:r>
        <w:rPr>
          <w:rFonts w:ascii="Times New Roman" w:eastAsiaTheme="minorHAnsi" w:hAnsi="Times New Roman"/>
          <w:color w:val="000000" w:themeColor="text1"/>
          <w:sz w:val="28"/>
          <w:szCs w:val="28"/>
        </w:rPr>
        <w:lastRenderedPageBreak/>
        <w:t xml:space="preserve">социально-ориентированных некоммерческих организаций (далее – СОНО) с Главной страницы Официального сайта </w:t>
      </w:r>
      <w:hyperlink r:id="rId176"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w:t>
      </w:r>
    </w:p>
    <w:p>
      <w:pPr>
        <w:pStyle w:val="11"/>
        <w:tabs>
          <w:tab w:val="left" w:pos="709"/>
          <w:tab w:val="left" w:pos="1134"/>
        </w:tabs>
        <w:spacing w:after="0" w:line="360" w:lineRule="atLeast"/>
        <w:ind w:left="0" w:firstLine="709"/>
        <w:contextualSpacing w:val="0"/>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Новые возможности Официального сайта </w:t>
      </w:r>
      <w:hyperlink r:id="rId177"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 xml:space="preserve"> представлены на рисунке 30.</w:t>
      </w:r>
    </w:p>
    <w:p>
      <w:pPr>
        <w:pStyle w:val="11"/>
        <w:tabs>
          <w:tab w:val="left" w:pos="709"/>
          <w:tab w:val="left" w:pos="1134"/>
        </w:tabs>
        <w:spacing w:after="120" w:line="360" w:lineRule="atLeast"/>
        <w:ind w:left="0" w:firstLine="709"/>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30</w:t>
      </w:r>
    </w:p>
    <w:p>
      <w:pPr>
        <w:pStyle w:val="11"/>
        <w:spacing w:line="380" w:lineRule="atLeast"/>
        <w:ind w:left="0"/>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748793" cy="4118776"/>
            <wp:effectExtent l="0" t="0" r="4445" b="0"/>
            <wp:docPr id="27725" name="Рисунок 2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2566" cy="4121479"/>
                    </a:xfrm>
                    <a:prstGeom prst="rect">
                      <a:avLst/>
                    </a:prstGeom>
                    <a:noFill/>
                  </pic:spPr>
                </pic:pic>
              </a:graphicData>
            </a:graphic>
          </wp:inline>
        </w:drawing>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4.4.3. Обеспечение регистрации пользователей ЕИС </w:t>
      </w:r>
      <w:r>
        <w:rPr>
          <w:rFonts w:ascii="Times New Roman" w:hAnsi="Times New Roman"/>
          <w:b/>
          <w:color w:val="000000" w:themeColor="text1"/>
          <w:sz w:val="28"/>
          <w:szCs w:val="28"/>
        </w:rPr>
        <w:br/>
        <w:t>в соответствии с новым порядком, утвержденным Приказом № 27н</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Как уже отмечалось выше, в ЕИС к началу его эксплуатации </w:t>
      </w:r>
      <w:r>
        <w:rPr>
          <w:rFonts w:ascii="Times New Roman" w:eastAsiaTheme="minorHAnsi" w:hAnsi="Times New Roman"/>
          <w:color w:val="000000" w:themeColor="text1"/>
          <w:sz w:val="28"/>
          <w:szCs w:val="28"/>
        </w:rPr>
        <w:br/>
        <w:t xml:space="preserve">в указанной системе была обеспечена работа всех категорий пользователей, прошедших процедуру регистрации на </w:t>
      </w:r>
      <w:r>
        <w:rPr>
          <w:rFonts w:ascii="Times New Roman" w:eastAsia="Times New Roman" w:hAnsi="Times New Roman"/>
          <w:color w:val="000000" w:themeColor="text1"/>
          <w:sz w:val="28"/>
          <w:szCs w:val="28"/>
        </w:rPr>
        <w:t xml:space="preserve">Официальном сайте </w:t>
      </w:r>
      <w:hyperlink r:id="rId179" w:history="1">
        <w:r>
          <w:rPr>
            <w:rFonts w:ascii="Times New Roman" w:eastAsia="Times New Roman" w:hAnsi="Times New Roman"/>
            <w:color w:val="000000" w:themeColor="text1"/>
            <w:sz w:val="28"/>
            <w:szCs w:val="28"/>
          </w:rPr>
          <w:t>www.zakupki.gov.ru</w:t>
        </w:r>
      </w:hyperlink>
      <w:r>
        <w:rPr>
          <w:rFonts w:ascii="Times New Roman" w:eastAsiaTheme="minorHAnsi" w:hAnsi="Times New Roman"/>
          <w:color w:val="000000" w:themeColor="text1"/>
          <w:sz w:val="28"/>
          <w:szCs w:val="28"/>
        </w:rPr>
        <w:t>.</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heme="minorHAnsi" w:hAnsi="Times New Roman"/>
          <w:color w:val="000000" w:themeColor="text1"/>
          <w:sz w:val="28"/>
          <w:szCs w:val="28"/>
        </w:rPr>
        <w:t xml:space="preserve">Вместе с тем, 30 декабря 2015 года утвержден приказ Федерального казначейства </w:t>
      </w:r>
      <w:r>
        <w:rPr>
          <w:rFonts w:ascii="Times New Roman" w:eastAsia="Times New Roman" w:hAnsi="Times New Roman"/>
          <w:color w:val="000000" w:themeColor="text1"/>
          <w:sz w:val="28"/>
          <w:szCs w:val="28"/>
        </w:rPr>
        <w:t>«Об утверждении Порядка регистрации в единой информационной системе в сфере закупок и признании утратившим силу приказа Федерального казначейства от 25 марта 2014 г. № 4н», предусматривающий осуществление регистрации в ЕИС:</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информационных систем;</w:t>
      </w:r>
    </w:p>
    <w:p>
      <w:pPr>
        <w:tabs>
          <w:tab w:val="left" w:pos="709"/>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участников контрактной системы в сфере закупок</w:t>
      </w:r>
      <w:r>
        <w:rPr>
          <w:rFonts w:ascii="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t xml:space="preserve">с использованием сведений, содержащихся в </w:t>
      </w:r>
      <w:r>
        <w:rPr>
          <w:rFonts w:ascii="Times New Roman" w:hAnsi="Times New Roman"/>
          <w:color w:val="000000" w:themeColor="text1"/>
          <w:sz w:val="28"/>
          <w:szCs w:val="28"/>
          <w:lang w:eastAsia="ru-RU"/>
        </w:rPr>
        <w:t xml:space="preserve">Реестре УБП и НУБП, ведение которого осуществляется в соответствии с Приказом № 163н, в случае если информация о таких участниках подлежит включению в указанный реестр. </w:t>
      </w:r>
      <w:r>
        <w:rPr>
          <w:rFonts w:ascii="Times New Roman" w:hAnsi="Times New Roman"/>
          <w:color w:val="000000" w:themeColor="text1"/>
          <w:sz w:val="28"/>
          <w:szCs w:val="28"/>
          <w:lang w:eastAsia="ru-RU"/>
        </w:rPr>
        <w:lastRenderedPageBreak/>
        <w:t>При этом в процессе указанной регистрации определены следующие особенности:</w:t>
      </w:r>
    </w:p>
    <w:p>
      <w:pPr>
        <w:tabs>
          <w:tab w:val="left" w:pos="993"/>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регистрация руководителя организации осуществляется автоматически, на основании сведений, включенных в Реестр УБП и НУБП и регламентируется пунктом 4.2 Порядка регистрации в единой информационной системе в сфере закупок (далее – Порядок регистрации </w:t>
      </w:r>
      <w:r>
        <w:rPr>
          <w:rFonts w:ascii="Times New Roman" w:hAnsi="Times New Roman"/>
          <w:color w:val="000000" w:themeColor="text1"/>
          <w:sz w:val="28"/>
          <w:szCs w:val="28"/>
          <w:lang w:eastAsia="ru-RU"/>
        </w:rPr>
        <w:br/>
        <w:t>в ЕИС), утвержденного Приказом № 27н;</w:t>
      </w:r>
    </w:p>
    <w:p>
      <w:pPr>
        <w:tabs>
          <w:tab w:val="left" w:pos="993"/>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регистрация администратора организации осуществляется руководителем организации и регламентируется пунктами 4.2 и 4.3 Порядка регистрации в ЕИС;</w:t>
      </w:r>
    </w:p>
    <w:p>
      <w:pPr>
        <w:tabs>
          <w:tab w:val="left" w:pos="993"/>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регистрация иных уполномоченных лиц осуществляется администратором организации и регламентируется пунктами 4.4 и 4.5 Порядка регистрации в ЕИС;</w:t>
      </w:r>
    </w:p>
    <w:p>
      <w:pPr>
        <w:pStyle w:val="a5"/>
        <w:tabs>
          <w:tab w:val="left" w:pos="1134"/>
        </w:tabs>
        <w:spacing w:after="0" w:line="360" w:lineRule="atLeast"/>
        <w:ind w:left="0"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юридических лиц и их представителей, информация о которых</w:t>
      </w:r>
      <w:r>
        <w:rPr>
          <w:rFonts w:ascii="Times New Roman" w:eastAsiaTheme="minorHAnsi" w:hAnsi="Times New Roman"/>
          <w:color w:val="000000" w:themeColor="text1"/>
          <w:sz w:val="28"/>
          <w:szCs w:val="28"/>
        </w:rPr>
        <w:br/>
        <w:t>не подлежит включению в Реестр УБП и НУБП, с использованием функциональных возможностей ЕСИА.</w:t>
      </w:r>
    </w:p>
    <w:p>
      <w:pPr>
        <w:pStyle w:val="11"/>
        <w:tabs>
          <w:tab w:val="left" w:pos="709"/>
          <w:tab w:val="left" w:pos="1134"/>
        </w:tabs>
        <w:spacing w:before="120" w:after="120" w:line="240" w:lineRule="auto"/>
        <w:ind w:left="0" w:firstLine="709"/>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31</w:t>
      </w:r>
    </w:p>
    <w:p>
      <w:pPr>
        <w:pStyle w:val="11"/>
        <w:tabs>
          <w:tab w:val="left" w:pos="709"/>
          <w:tab w:val="left" w:pos="2325"/>
        </w:tabs>
        <w:spacing w:after="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Схема регистрации Руководителя организации в соответствии </w:t>
      </w:r>
      <w:r>
        <w:rPr>
          <w:rFonts w:ascii="Times New Roman" w:hAnsi="Times New Roman"/>
          <w:b/>
          <w:color w:val="000000" w:themeColor="text1"/>
          <w:sz w:val="28"/>
          <w:szCs w:val="28"/>
        </w:rPr>
        <w:br/>
        <w:t>с Приказом № 27н</w:t>
      </w:r>
    </w:p>
    <w:p>
      <w:pPr>
        <w:pStyle w:val="11"/>
        <w:tabs>
          <w:tab w:val="left" w:pos="709"/>
          <w:tab w:val="left" w:pos="1134"/>
        </w:tabs>
        <w:spacing w:before="120" w:after="120" w:line="240" w:lineRule="auto"/>
        <w:ind w:left="0"/>
        <w:contextualSpacing w:val="0"/>
        <w:jc w:val="center"/>
        <w:rPr>
          <w:rFonts w:ascii="Times New Roman" w:hAnsi="Times New Roman"/>
          <w:noProof/>
          <w:color w:val="000000" w:themeColor="text1"/>
          <w:sz w:val="28"/>
          <w:szCs w:val="28"/>
          <w:lang w:eastAsia="ru-RU"/>
        </w:rPr>
      </w:pPr>
      <w:r>
        <w:rPr>
          <w:rFonts w:ascii="Times New Roman" w:hAnsi="Times New Roman"/>
          <w:noProof/>
          <w:color w:val="000000" w:themeColor="text1"/>
          <w:sz w:val="28"/>
          <w:szCs w:val="28"/>
          <w:lang w:eastAsia="ru-RU"/>
        </w:rPr>
        <w:drawing>
          <wp:inline distT="0" distB="0" distL="0" distR="0">
            <wp:extent cx="4762831" cy="2814761"/>
            <wp:effectExtent l="0" t="0" r="0" b="0"/>
            <wp:docPr id="27727" name="Рисунок 2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b="12743"/>
                    <a:stretch/>
                  </pic:blipFill>
                  <pic:spPr bwMode="auto">
                    <a:xfrm>
                      <a:off x="0" y="0"/>
                      <a:ext cx="4762831" cy="2814761"/>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11"/>
        <w:pageBreakBefore/>
        <w:tabs>
          <w:tab w:val="left" w:pos="709"/>
          <w:tab w:val="left" w:pos="1134"/>
        </w:tabs>
        <w:spacing w:after="120" w:line="240" w:lineRule="auto"/>
        <w:ind w:left="0"/>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Рисунок 32</w:t>
      </w:r>
    </w:p>
    <w:p>
      <w:pPr>
        <w:pStyle w:val="11"/>
        <w:tabs>
          <w:tab w:val="left" w:pos="709"/>
          <w:tab w:val="left" w:pos="1134"/>
        </w:tabs>
        <w:spacing w:line="380" w:lineRule="atLeast"/>
        <w:ind w:left="0"/>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589766" cy="3578087"/>
            <wp:effectExtent l="0" t="0" r="0" b="0"/>
            <wp:docPr id="27728" name="Рисунок 2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131" b="4751"/>
                    <a:stretch/>
                  </pic:blipFill>
                  <pic:spPr bwMode="auto">
                    <a:xfrm>
                      <a:off x="0" y="0"/>
                      <a:ext cx="5593797" cy="3580667"/>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11"/>
        <w:tabs>
          <w:tab w:val="left" w:pos="709"/>
          <w:tab w:val="left" w:pos="1134"/>
        </w:tabs>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Одной из доработок 2016 года также стала возможность функционирования ЕИС без указания в ключах проверки электронной подписи полномочий организации и пользователей. Указанная доработка позволяет организации сократить издержки на выпуск сертификатов электронной подписи на каждое полномочие в сфере закупок, что приводит к значительной экономии бюджетных средств. </w:t>
      </w:r>
    </w:p>
    <w:p>
      <w:pPr>
        <w:pStyle w:val="11"/>
        <w:tabs>
          <w:tab w:val="left" w:pos="0"/>
          <w:tab w:val="left" w:pos="1134"/>
        </w:tabs>
        <w:spacing w:before="120" w:after="120" w:line="240" w:lineRule="auto"/>
        <w:ind w:left="0" w:firstLine="709"/>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4.4.4. Технологическое обеспечение контрактной системы</w:t>
      </w:r>
    </w:p>
    <w:p>
      <w:pPr>
        <w:tabs>
          <w:tab w:val="left" w:pos="1276"/>
        </w:tabs>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Федеральным казначейством на протяжении 2016 года проводились мероприятия, направленных на развитие функциональных возможностей ЕИС.</w:t>
      </w:r>
    </w:p>
    <w:p>
      <w:pPr>
        <w:tabs>
          <w:tab w:val="left" w:pos="1276"/>
        </w:tabs>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 xml:space="preserve">С 1 января 2016 года посредством ЕИС обеспечивалось исполнение </w:t>
      </w:r>
      <w:r>
        <w:rPr>
          <w:rFonts w:ascii="Times New Roman" w:eastAsia="Times New Roman" w:hAnsi="Times New Roman"/>
          <w:color w:val="000000" w:themeColor="text1"/>
          <w:sz w:val="28"/>
          <w:szCs w:val="28"/>
        </w:rPr>
        <w:t>положений законодательства Российской Федерации о контрактной системе в сфере закупок, вступающих в силу с 1 января 2016 года</w:t>
      </w:r>
      <w:r>
        <w:rPr>
          <w:rFonts w:ascii="Times New Roman" w:eastAsiaTheme="minorEastAsia" w:hAnsi="Times New Roman"/>
          <w:color w:val="000000" w:themeColor="text1"/>
          <w:sz w:val="28"/>
          <w:szCs w:val="28"/>
          <w:lang w:eastAsia="ru-RU"/>
        </w:rPr>
        <w:t>, в том числе, следующие функциональные возможности:</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формирование и размещение информации посредством информационного взаимодействия ЕИС с иными информационными системами, включая ГИИС «Электронный бюджет», информационными системами органов контроля и аудита и иными системами, предусмотренными функциональными требованиями;</w:t>
      </w:r>
    </w:p>
    <w:p>
      <w:pPr>
        <w:tabs>
          <w:tab w:val="left" w:pos="709"/>
        </w:tabs>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 формирование и размещение информации с использованием нового общероссийского классификатора продукции по видам экономической деятельности (ОКПД2) и нового общероссийского классификатора видов </w:t>
      </w:r>
      <w:r>
        <w:rPr>
          <w:rFonts w:ascii="Times New Roman" w:eastAsiaTheme="minorHAnsi" w:hAnsi="Times New Roman"/>
          <w:color w:val="000000" w:themeColor="text1"/>
          <w:sz w:val="28"/>
          <w:szCs w:val="28"/>
        </w:rPr>
        <w:lastRenderedPageBreak/>
        <w:t>деятельности (ОКВЭД2) в соответствии с приказом Федерального агентства по техническому регулированию</w:t>
      </w:r>
      <w:r>
        <w:rPr>
          <w:rFonts w:ascii="Times New Roman" w:hAnsi="Times New Roman"/>
          <w:color w:val="000000" w:themeColor="text1"/>
          <w:sz w:val="28"/>
          <w:szCs w:val="28"/>
        </w:rPr>
        <w:t xml:space="preserve"> и метрологии от 31 января 2014 г. № 14-ст «О принятии и введении в действие общероссийского классификатора видов экономической деятельности (ОКВЭД2) ОК 029-2014 (КДЕС ред. 2) </w:t>
      </w:r>
      <w:r>
        <w:rPr>
          <w:rFonts w:ascii="Times New Roman" w:hAnsi="Times New Roman"/>
          <w:color w:val="000000" w:themeColor="text1"/>
          <w:sz w:val="28"/>
          <w:szCs w:val="28"/>
        </w:rPr>
        <w:br/>
        <w:t>и общероссийского классификатора продукции по видам экономической деятельности (ОКПД2) ОК 034-2014 (КПЕС 2008)»;</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формирование и размещение информации с использованием новой структуры бюджетной классификации в соответствии с приказом Минфина России от 8 июня 2015 г. № 90н «О внесении изменений в Указания </w:t>
      </w:r>
      <w:r>
        <w:rPr>
          <w:rFonts w:ascii="Times New Roman" w:eastAsiaTheme="minorHAnsi" w:hAnsi="Times New Roman"/>
          <w:color w:val="000000" w:themeColor="text1"/>
          <w:sz w:val="28"/>
          <w:szCs w:val="28"/>
        </w:rPr>
        <w:br/>
        <w:t xml:space="preserve">о порядке применения бюджетной классификации Российской Федерации, утвержденные приказом Министерства финансов Российской Федерации </w:t>
      </w:r>
      <w:r>
        <w:rPr>
          <w:rFonts w:ascii="Times New Roman" w:eastAsiaTheme="minorHAnsi" w:hAnsi="Times New Roman"/>
          <w:color w:val="000000" w:themeColor="text1"/>
          <w:sz w:val="28"/>
          <w:szCs w:val="28"/>
        </w:rPr>
        <w:br/>
        <w:t>от 1 июля 2013 г. № 65н»;</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обеспечение контролей информации и документов, подлежащих размещению в ЕИС, во взаимодействии с иными информационными системами, путем повышения степени структурированности размещаемых документов;</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расширенные возможности осуществления мониторинга закупок;</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повышение уровня доступности и открытости информации, размещаемой на Официальном сайте </w:t>
      </w:r>
      <w:hyperlink r:id="rId182" w:history="1">
        <w:r>
          <w:rPr>
            <w:rFonts w:ascii="Times New Roman" w:eastAsiaTheme="minorHAnsi" w:hAnsi="Times New Roman"/>
            <w:color w:val="000000" w:themeColor="text1"/>
            <w:sz w:val="28"/>
            <w:szCs w:val="28"/>
          </w:rPr>
          <w:t>www.zakupki.gov.ru</w:t>
        </w:r>
      </w:hyperlink>
      <w:r>
        <w:rPr>
          <w:rFonts w:ascii="Times New Roman" w:eastAsiaTheme="minorHAnsi" w:hAnsi="Times New Roman"/>
          <w:color w:val="000000" w:themeColor="text1"/>
          <w:sz w:val="28"/>
          <w:szCs w:val="28"/>
        </w:rPr>
        <w:t>;</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формирование сведений об определении поставщика (подрядчика, исполнителя) для следующих организаций:</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организации, осуществляющих закупки в соответствии с частью 5 статьи 15 Федерального закона № 44-ФЗ;</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организации, осуществляющих закупки в соответствии с частью 5 и 6 статьи 8 Федерального закона № 223-ФЗ;</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организациями, осуществляющими закупки в соответствии с частью 5 статьи 26 Федерального закона № 44-ФЗ;</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формирование извещения об осуществлении закупки путем проведения открытого конкурса для заключения договора на проведение аудита бухгалтерской (финансовой) отчетности в соответствии</w:t>
      </w:r>
      <w:r>
        <w:rPr>
          <w:rFonts w:ascii="Times New Roman" w:eastAsia="Times New Roman" w:hAnsi="Times New Roman"/>
          <w:color w:val="000000" w:themeColor="text1"/>
          <w:sz w:val="28"/>
          <w:szCs w:val="28"/>
          <w:lang w:eastAsia="ru-RU"/>
        </w:rPr>
        <w:br/>
        <w:t>с требованиями части 4 статьи 5 Федерального закона № 307-ФЗ;</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осуществление закупок в соответствии с особенностями, определенными статьей 111 Федерального закона № 44-ФЗ;</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указания в составе извещения об осуществлении закупки признака заключения контракта жизненного цикла в соответствии Постановлением Правительства Российской Федерации от 28 ноября 2013 г. № 1087</w:t>
      </w:r>
      <w:r>
        <w:rPr>
          <w:rFonts w:ascii="Times New Roman" w:eastAsia="Times New Roman" w:hAnsi="Times New Roman"/>
          <w:color w:val="000000" w:themeColor="text1"/>
          <w:sz w:val="28"/>
          <w:szCs w:val="28"/>
          <w:lang w:eastAsia="ru-RU"/>
        </w:rPr>
        <w:br/>
        <w:t>«Об определении случаев заключения контракта жизненного цикла»;</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проведения обязательного общественного обсуждения закупок товаров, работ, услуг в соответствии с приказом Минэкономразвития России от 30 октября 2015 г. № 795 «Об утверждении Порядка </w:t>
      </w:r>
      <w:r>
        <w:rPr>
          <w:rFonts w:ascii="Times New Roman" w:eastAsia="Times New Roman" w:hAnsi="Times New Roman"/>
          <w:color w:val="000000" w:themeColor="text1"/>
          <w:sz w:val="28"/>
          <w:szCs w:val="28"/>
          <w:lang w:eastAsia="ru-RU"/>
        </w:rPr>
        <w:lastRenderedPageBreak/>
        <w:t>обязательного общественного обсуждения закупок товаров, работ, услуг для обеспечения государственных и муниципальных нужд в случае, если начальная (максимальная) цена контракта либо цена контракта, заключаемого с единственным поставщиком (подрядчиком, исполнителем), превышает один миллиард рублей». Кроме того, обеспечено автоматическое формирование протокола нарушений порядка проведения обязательного общественного обсуждения закупок товаров, работ, услуг;</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обеспечена возможность формирования обязательного общественного обсуждения закупок товаров, работ, услуг для обеспечения государственных и муниципальных нужд, начиная со 2-го этапа </w:t>
      </w:r>
      <w:r>
        <w:rPr>
          <w:rFonts w:ascii="Times New Roman" w:eastAsia="Times New Roman" w:hAnsi="Times New Roman"/>
          <w:color w:val="000000" w:themeColor="text1"/>
          <w:sz w:val="28"/>
          <w:szCs w:val="28"/>
          <w:lang w:eastAsia="ru-RU"/>
        </w:rPr>
        <w:br/>
        <w:t>для организаций, осуществляющих закупки в соответствии с частью 5 статьи 15 Федерального закона № 44-ФЗ;</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обеспечены следующие функциональные возможности для работы </w:t>
      </w:r>
      <w:r>
        <w:rPr>
          <w:rFonts w:ascii="Times New Roman" w:eastAsia="Times New Roman" w:hAnsi="Times New Roman"/>
          <w:color w:val="000000" w:themeColor="text1"/>
          <w:sz w:val="28"/>
          <w:szCs w:val="28"/>
          <w:lang w:eastAsia="ru-RU"/>
        </w:rPr>
        <w:br/>
        <w:t>в ЕИС в соответствии с требованиями законодательства о контрактной системе организаций со следующими полномочиями в сфере закупок:</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заказчик, осуществляющий закупки в соответствии с частью 5 статьи 15 Федерального закона № 44-ФЗ;</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заказчик, осуществляющий закупки в соответствии с Федеральным законом № 44-ФЗ, в связи с </w:t>
      </w:r>
      <w:proofErr w:type="spellStart"/>
      <w:r>
        <w:rPr>
          <w:rFonts w:ascii="Times New Roman" w:eastAsia="Times New Roman" w:hAnsi="Times New Roman"/>
          <w:color w:val="000000" w:themeColor="text1"/>
          <w:sz w:val="28"/>
          <w:szCs w:val="28"/>
          <w:lang w:eastAsia="ru-RU"/>
        </w:rPr>
        <w:t>неразмещением</w:t>
      </w:r>
      <w:proofErr w:type="spellEnd"/>
      <w:r>
        <w:rPr>
          <w:rFonts w:ascii="Times New Roman" w:eastAsia="Times New Roman" w:hAnsi="Times New Roman"/>
          <w:color w:val="000000" w:themeColor="text1"/>
          <w:sz w:val="28"/>
          <w:szCs w:val="28"/>
          <w:lang w:eastAsia="ru-RU"/>
        </w:rPr>
        <w:t xml:space="preserve"> положения о закупке</w:t>
      </w:r>
      <w:r>
        <w:rPr>
          <w:rFonts w:ascii="Times New Roman" w:eastAsia="Times New Roman" w:hAnsi="Times New Roman"/>
          <w:color w:val="000000" w:themeColor="text1"/>
          <w:sz w:val="28"/>
          <w:szCs w:val="28"/>
          <w:lang w:eastAsia="ru-RU"/>
        </w:rPr>
        <w:br/>
        <w:t>в соответствии с положениями Федерального закона № 223-ФЗ;</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заказчик, осуществляющий закупку для целей проведения обязательного аудита;</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 уполномоченный на ведение библиотеки типовых контрактов; </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 осуществляющий мониторинг закупок;</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организация, осуществляющая мониторинг соответствия </w:t>
      </w:r>
      <w:r>
        <w:rPr>
          <w:rFonts w:ascii="Times New Roman" w:eastAsia="Times New Roman" w:hAnsi="Times New Roman"/>
          <w:color w:val="000000" w:themeColor="text1"/>
          <w:sz w:val="28"/>
          <w:szCs w:val="28"/>
          <w:lang w:eastAsia="ru-RU"/>
        </w:rPr>
        <w:br/>
        <w:t>в соответствии с Федеральным законом № 223-ФЗ;</w:t>
      </w:r>
    </w:p>
    <w:p>
      <w:pPr>
        <w:tabs>
          <w:tab w:val="left" w:pos="1134"/>
        </w:tabs>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организация, осуществляющая оценку соответствия в соответствии </w:t>
      </w:r>
      <w:r>
        <w:rPr>
          <w:rFonts w:ascii="Times New Roman" w:eastAsia="Times New Roman" w:hAnsi="Times New Roman"/>
          <w:color w:val="000000" w:themeColor="text1"/>
          <w:sz w:val="28"/>
          <w:szCs w:val="28"/>
          <w:lang w:eastAsia="ru-RU"/>
        </w:rPr>
        <w:br/>
        <w:t>с Федеральным законом № 223-ФЗ.</w:t>
      </w:r>
    </w:p>
    <w:p>
      <w:pPr>
        <w:widowControl w:val="0"/>
        <w:tabs>
          <w:tab w:val="left" w:pos="1134"/>
        </w:tabs>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размещение проектов правил нормирования затрат для обсуждения </w:t>
      </w:r>
      <w:r>
        <w:rPr>
          <w:rFonts w:ascii="Times New Roman" w:eastAsia="Times New Roman" w:hAnsi="Times New Roman"/>
          <w:color w:val="000000" w:themeColor="text1"/>
          <w:sz w:val="28"/>
          <w:szCs w:val="28"/>
          <w:lang w:eastAsia="ru-RU"/>
        </w:rPr>
        <w:br/>
        <w:t xml:space="preserve">с целью проведения общественного контроля в соответствии </w:t>
      </w:r>
      <w:r>
        <w:rPr>
          <w:rFonts w:ascii="Times New Roman" w:eastAsia="Times New Roman" w:hAnsi="Times New Roman"/>
          <w:color w:val="000000" w:themeColor="text1"/>
          <w:sz w:val="28"/>
          <w:szCs w:val="28"/>
          <w:lang w:eastAsia="ru-RU"/>
        </w:rPr>
        <w:br/>
        <w:t xml:space="preserve">с требованиями постановлений Правительства Российской Федерации </w:t>
      </w:r>
      <w:r>
        <w:rPr>
          <w:rFonts w:ascii="Times New Roman" w:eastAsia="Times New Roman" w:hAnsi="Times New Roman"/>
          <w:color w:val="000000" w:themeColor="text1"/>
          <w:sz w:val="28"/>
          <w:szCs w:val="28"/>
          <w:lang w:eastAsia="ru-RU"/>
        </w:rPr>
        <w:br/>
        <w:t xml:space="preserve">от 18 мая 2015 г. № 476 «Об утверждении общих требований к порядку разработки и принятия правовых актов о нормировании в сфере закупок, содержанию указанных актов и обеспечению их исполнения» и от 19 мая 2015 г. № 479 «Об утверждении требований к порядку разработки </w:t>
      </w:r>
      <w:r>
        <w:rPr>
          <w:rFonts w:ascii="Times New Roman" w:eastAsia="Times New Roman" w:hAnsi="Times New Roman"/>
          <w:color w:val="000000" w:themeColor="text1"/>
          <w:sz w:val="28"/>
          <w:szCs w:val="28"/>
          <w:lang w:eastAsia="ru-RU"/>
        </w:rPr>
        <w:br/>
        <w:t xml:space="preserve">и принятия правовых актов о нормировании в сфере закупок </w:t>
      </w:r>
      <w:r>
        <w:rPr>
          <w:rFonts w:ascii="Times New Roman" w:eastAsia="Times New Roman" w:hAnsi="Times New Roman"/>
          <w:color w:val="000000" w:themeColor="text1"/>
          <w:sz w:val="28"/>
          <w:szCs w:val="28"/>
          <w:lang w:eastAsia="ru-RU"/>
        </w:rPr>
        <w:br/>
        <w:t xml:space="preserve">для обеспечения федеральных нужд, содержанию указанных актов </w:t>
      </w:r>
      <w:r>
        <w:rPr>
          <w:rFonts w:ascii="Times New Roman" w:eastAsia="Times New Roman" w:hAnsi="Times New Roman"/>
          <w:color w:val="000000" w:themeColor="text1"/>
          <w:sz w:val="28"/>
          <w:szCs w:val="28"/>
          <w:lang w:eastAsia="ru-RU"/>
        </w:rPr>
        <w:br/>
        <w:t>и обеспечению их исполнения».</w:t>
      </w:r>
    </w:p>
    <w:p>
      <w:pPr>
        <w:widowControl w:val="0"/>
        <w:tabs>
          <w:tab w:val="left" w:pos="1134"/>
        </w:tabs>
        <w:autoSpaceDE w:val="0"/>
        <w:autoSpaceDN w:val="0"/>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Необходимо отметить также возможности интеграционного взаимодействия внешних информационных систем с ЕИС: существующие </w:t>
      </w:r>
      <w:r>
        <w:rPr>
          <w:rFonts w:ascii="Times New Roman" w:eastAsia="Times New Roman" w:hAnsi="Times New Roman"/>
          <w:color w:val="000000" w:themeColor="text1"/>
          <w:sz w:val="28"/>
          <w:szCs w:val="28"/>
          <w:lang w:eastAsia="ru-RU"/>
        </w:rPr>
        <w:lastRenderedPageBreak/>
        <w:t xml:space="preserve">инструменты и интерфейсы формирования </w:t>
      </w:r>
      <w:r>
        <w:rPr>
          <w:rFonts w:ascii="Times New Roman" w:eastAsiaTheme="minorEastAsia" w:hAnsi="Times New Roman"/>
          <w:color w:val="000000" w:themeColor="text1"/>
          <w:sz w:val="28"/>
          <w:szCs w:val="28"/>
          <w:lang w:eastAsia="ru-RU"/>
        </w:rPr>
        <w:t xml:space="preserve">проектов информации </w:t>
      </w:r>
    </w:p>
    <w:p>
      <w:pPr>
        <w:widowControl w:val="0"/>
        <w:tabs>
          <w:tab w:val="left" w:pos="1134"/>
        </w:tabs>
        <w:autoSpaceDE w:val="0"/>
        <w:autoSpaceDN w:val="0"/>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 xml:space="preserve">и документов путем взаимодействия с внешними информационными системами сохранились в ЕИС, что позволило избежать доработки </w:t>
      </w:r>
      <w:r>
        <w:rPr>
          <w:rFonts w:ascii="Times New Roman" w:eastAsiaTheme="minorEastAsia" w:hAnsi="Times New Roman"/>
          <w:color w:val="000000" w:themeColor="text1"/>
          <w:sz w:val="28"/>
          <w:szCs w:val="28"/>
          <w:lang w:eastAsia="ru-RU"/>
        </w:rPr>
        <w:br/>
        <w:t xml:space="preserve">и перерегистрации информационных систем, которые уже созданы </w:t>
      </w:r>
      <w:r>
        <w:rPr>
          <w:rFonts w:ascii="Times New Roman" w:eastAsiaTheme="minorEastAsia" w:hAnsi="Times New Roman"/>
          <w:color w:val="000000" w:themeColor="text1"/>
          <w:sz w:val="28"/>
          <w:szCs w:val="28"/>
          <w:lang w:eastAsia="ru-RU"/>
        </w:rPr>
        <w:br/>
        <w:t>и функционируют в субъектах и муниципальных образованиях Российской Федерации.</w:t>
      </w:r>
    </w:p>
    <w:p>
      <w:pPr>
        <w:spacing w:after="0" w:line="360" w:lineRule="atLeast"/>
        <w:ind w:firstLine="709"/>
        <w:jc w:val="both"/>
        <w:rPr>
          <w:rFonts w:ascii="Times New Roman" w:eastAsiaTheme="minorEastAsia" w:hAnsi="Times New Roman"/>
          <w:color w:val="000000" w:themeColor="text1"/>
          <w:sz w:val="28"/>
          <w:szCs w:val="28"/>
          <w:lang w:eastAsia="ru-RU"/>
        </w:rPr>
      </w:pPr>
      <w:r>
        <w:rPr>
          <w:rFonts w:ascii="Times New Roman" w:eastAsiaTheme="minorHAnsi" w:hAnsi="Times New Roman"/>
          <w:color w:val="000000" w:themeColor="text1"/>
          <w:sz w:val="28"/>
          <w:szCs w:val="28"/>
        </w:rPr>
        <w:t xml:space="preserve">При этом предоставлены новые возможности использования технологии </w:t>
      </w:r>
      <w:r>
        <w:rPr>
          <w:rFonts w:ascii="Times New Roman" w:eastAsiaTheme="minorEastAsia" w:hAnsi="Times New Roman"/>
          <w:color w:val="000000" w:themeColor="text1"/>
          <w:sz w:val="28"/>
          <w:szCs w:val="28"/>
          <w:lang w:eastAsia="ru-RU"/>
        </w:rPr>
        <w:t xml:space="preserve">«бесшовной» интеграции для региональных </w:t>
      </w:r>
      <w:r>
        <w:rPr>
          <w:rFonts w:ascii="Times New Roman" w:eastAsiaTheme="minorHAnsi" w:hAnsi="Times New Roman"/>
          <w:color w:val="000000" w:themeColor="text1"/>
          <w:sz w:val="28"/>
          <w:szCs w:val="28"/>
        </w:rPr>
        <w:t>и муниципальных информационных систем в сфере закупок (далее – РМИС),</w:t>
      </w:r>
      <w:r>
        <w:rPr>
          <w:rFonts w:ascii="Times New Roman" w:eastAsia="Times New Roman" w:hAnsi="Times New Roman"/>
          <w:i/>
          <w:color w:val="000000" w:themeColor="text1"/>
          <w:sz w:val="28"/>
          <w:szCs w:val="28"/>
          <w:lang w:eastAsia="ru-RU"/>
        </w:rPr>
        <w:t xml:space="preserve"> </w:t>
      </w:r>
      <w:r>
        <w:rPr>
          <w:rFonts w:ascii="Times New Roman" w:eastAsiaTheme="minorEastAsia" w:hAnsi="Times New Roman"/>
          <w:color w:val="000000" w:themeColor="text1"/>
          <w:sz w:val="28"/>
          <w:szCs w:val="28"/>
          <w:lang w:eastAsia="ru-RU"/>
        </w:rPr>
        <w:t xml:space="preserve">формирования </w:t>
      </w:r>
      <w:r>
        <w:rPr>
          <w:rFonts w:ascii="Times New Roman" w:eastAsiaTheme="minorEastAsia" w:hAnsi="Times New Roman"/>
          <w:color w:val="000000" w:themeColor="text1"/>
          <w:sz w:val="28"/>
          <w:szCs w:val="28"/>
          <w:lang w:eastAsia="ru-RU"/>
        </w:rPr>
        <w:br/>
        <w:t xml:space="preserve">и подписания электронной подписью информации и документов, подлежащих размещению в ЕИС, непосредственно в РМИС, а также </w:t>
      </w:r>
      <w:r>
        <w:rPr>
          <w:rFonts w:ascii="Times New Roman" w:eastAsiaTheme="minorEastAsia" w:hAnsi="Times New Roman"/>
          <w:color w:val="000000" w:themeColor="text1"/>
          <w:sz w:val="28"/>
          <w:szCs w:val="28"/>
          <w:lang w:eastAsia="ru-RU"/>
        </w:rPr>
        <w:br/>
        <w:t xml:space="preserve">их направления в ЕИС с осуществлением соответствующих контролей </w:t>
      </w:r>
      <w:r>
        <w:rPr>
          <w:rFonts w:ascii="Times New Roman" w:eastAsiaTheme="minorEastAsia" w:hAnsi="Times New Roman"/>
          <w:color w:val="000000" w:themeColor="text1"/>
          <w:sz w:val="28"/>
          <w:szCs w:val="28"/>
          <w:lang w:eastAsia="ru-RU"/>
        </w:rPr>
        <w:br/>
        <w:t>и автоматического размещения в ЕИС.</w:t>
      </w:r>
    </w:p>
    <w:p>
      <w:pPr>
        <w:spacing w:before="120" w:after="120" w:line="240" w:lineRule="auto"/>
        <w:ind w:firstLine="709"/>
        <w:jc w:val="right"/>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Рисунок 33</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Схема осуществления «бесшовной» интеграции</w:t>
      </w:r>
    </w:p>
    <w:p>
      <w:pPr>
        <w:spacing w:after="0" w:line="38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669280" cy="3427012"/>
            <wp:effectExtent l="0" t="0" r="762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675464" cy="3430750"/>
                    </a:xfrm>
                    <a:prstGeom prst="rect">
                      <a:avLst/>
                    </a:prstGeom>
                  </pic:spPr>
                </pic:pic>
              </a:graphicData>
            </a:graphic>
          </wp:inline>
        </w:drawing>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Вместе с тем, с 1 апреля 2016 года в соответствии с постановлением Правительства Российской Федерации от 27 октября 2015 г. № 1148</w:t>
      </w:r>
      <w:r>
        <w:rPr>
          <w:rFonts w:ascii="Times New Roman" w:eastAsiaTheme="minorHAnsi" w:hAnsi="Times New Roman"/>
          <w:color w:val="000000" w:themeColor="text1"/>
          <w:sz w:val="28"/>
          <w:szCs w:val="28"/>
        </w:rPr>
        <w:br/>
        <w:t>«О порядке ведения реестра жалоб, плановых и внеплановых проверок, принятых по ним решений и выданных предписаний» в рамках развития ЕИС реализованы возможности по ведению единого реестра жалоб, плановых и внеплановых проверок, их результатов и выданных предписаний.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Для работы органов контроля в сфере закупок в соответствии</w:t>
      </w:r>
      <w:r>
        <w:rPr>
          <w:rFonts w:ascii="Times New Roman" w:eastAsiaTheme="minorHAnsi" w:hAnsi="Times New Roman"/>
          <w:color w:val="000000" w:themeColor="text1"/>
          <w:sz w:val="28"/>
          <w:szCs w:val="28"/>
        </w:rPr>
        <w:br/>
        <w:t>с Федеральным законом № 44-ФЗ в ЕИС создана подсистема «Контроль</w:t>
      </w:r>
      <w:r>
        <w:rPr>
          <w:rFonts w:ascii="Times New Roman" w:eastAsiaTheme="minorHAnsi" w:hAnsi="Times New Roman"/>
          <w:color w:val="000000" w:themeColor="text1"/>
          <w:sz w:val="28"/>
          <w:szCs w:val="28"/>
        </w:rPr>
        <w:br/>
        <w:t>и аудит в сфере закупок», обеспечивающая, в том числе, ведение:</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реестра жалоб, плановых и внеплановых проверок, их результатов </w:t>
      </w:r>
      <w:r>
        <w:rPr>
          <w:rFonts w:ascii="Times New Roman" w:eastAsia="Times New Roman" w:hAnsi="Times New Roman"/>
          <w:color w:val="000000" w:themeColor="text1"/>
          <w:sz w:val="28"/>
          <w:szCs w:val="28"/>
        </w:rPr>
        <w:br/>
        <w:t>и выданных предписаний;</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реестра недобросовестных поставщиков (подрядчиков исполнителей).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Также с 1 января 2016 года стали доступны дополнительные возможности: </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передача информации о жалобе по подведомственности</w:t>
      </w:r>
      <w:r>
        <w:rPr>
          <w:rFonts w:ascii="Times New Roman" w:eastAsia="Times New Roman" w:hAnsi="Times New Roman"/>
          <w:color w:val="000000" w:themeColor="text1"/>
          <w:sz w:val="28"/>
          <w:szCs w:val="28"/>
        </w:rPr>
        <w:br/>
        <w:t>и ведомственной принадлежности;</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поиск информации о жалобах по информации плана-графика закупок и плана закупок;</w:t>
      </w:r>
    </w:p>
    <w:p>
      <w:pPr>
        <w:pStyle w:val="a5"/>
        <w:tabs>
          <w:tab w:val="left" w:pos="1134"/>
        </w:tabs>
        <w:spacing w:after="0" w:line="360" w:lineRule="atLeast"/>
        <w:ind w:left="0"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работа с перечнем отчетов о проведенных мероприятиях контрольного органа в сфере закупок и органа внутреннего контроля.</w:t>
      </w:r>
    </w:p>
    <w:p>
      <w:pPr>
        <w:pStyle w:val="a5"/>
        <w:spacing w:before="120" w:after="120" w:line="240" w:lineRule="auto"/>
        <w:ind w:left="0"/>
        <w:contextualSpacing w:val="0"/>
        <w:jc w:val="right"/>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Рисунок 34</w:t>
      </w:r>
    </w:p>
    <w:p>
      <w:pPr>
        <w:pStyle w:val="11"/>
        <w:tabs>
          <w:tab w:val="left" w:pos="709"/>
          <w:tab w:val="left" w:pos="1134"/>
        </w:tabs>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Реестр жалоб, плановых и внеплановых проверок, их результатов и выданных предписаний</w:t>
      </w:r>
    </w:p>
    <w:p>
      <w:pPr>
        <w:pStyle w:val="11"/>
        <w:tabs>
          <w:tab w:val="left" w:pos="709"/>
          <w:tab w:val="left" w:pos="1134"/>
        </w:tabs>
        <w:spacing w:line="380" w:lineRule="atLeast"/>
        <w:ind w:left="0"/>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285753" cy="4317558"/>
            <wp:effectExtent l="0" t="0" r="635"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88854" cy="4320682"/>
                    </a:xfrm>
                    <a:prstGeom prst="rect">
                      <a:avLst/>
                    </a:prstGeom>
                    <a:noFill/>
                    <a:ln>
                      <a:noFill/>
                    </a:ln>
                  </pic:spPr>
                </pic:pic>
              </a:graphicData>
            </a:graphic>
          </wp:inline>
        </w:drawing>
      </w:r>
    </w:p>
    <w:p>
      <w:pPr>
        <w:pageBreakBefore/>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Таким образом, в 2016 году обеспечено:</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 части сведений о жалобах:</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указание расширенной информации о юридическом лице и субъекте жалобы;</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указание информации о юридическом лице и субъекте жалобы на основании ЕГРЮЛ;</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использование единого формата уникального номера реестровой записи в части сведений о жалобе;</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 части сведений о внеплановых проверках (ревизиях, обследованиях) обеспечено указание:</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расширенной информации о субъекте контроля и источнике поступления информации;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субъекте контроля и источнике поступления информации на основании ЕГРЮЛ;</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приказе (распоряжении) о проведении внеплановой проверки (ревизии, обследовании);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уведомления о проведении внеплановой проверки (ревизии, обследовании);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использования единого формата уникального номера реестровой записи в части сведений о внеплановой проверке (ревизии, обследовании);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 части сведений о планах проверок (ревизий, обследований):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указание расширенной информации о субъекте контроля;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указание информации о субъекте контроля на основании ЕГРЮЛ;</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указание информации о приказе (распоряжении) о проведении плановой проверки (ревизии, обследовании);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указание информации об уведомлении о проведении плановой проверки (ревизии, обследовании);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использование единого формата уникального номера реестровой записи в части сведений о плане проверок (ревизий, обследований);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 части сведений о результатах контроля жалоб, внеплановых</w:t>
      </w:r>
      <w:r>
        <w:rPr>
          <w:rFonts w:ascii="Times New Roman" w:hAnsi="Times New Roman"/>
          <w:color w:val="000000" w:themeColor="text1"/>
          <w:sz w:val="28"/>
          <w:szCs w:val="28"/>
          <w:lang w:eastAsia="ru-RU"/>
        </w:rPr>
        <w:br/>
        <w:t>и плановых проверок (ревизий, обследований) обеспечено указание:</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расширенной информации о субъекте жалобы и субъекте контроля;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судебных актах, принятых в связи с обжалованием решений органов контроля, выданных ими предписаний;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результатах рассмотрения жалобы;</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результатах проведения внеплановой проверки (ревизии, обследования);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информации о выдаче предписания;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использование единого формата уникального номера реестровой записи в части сведений о результатах контроля;</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 xml:space="preserve">– возможность ведения информации о списке нарушений сроков размещения информации о жалобах, проверках (ревизиях, обследованиях) </w:t>
      </w:r>
      <w:r>
        <w:rPr>
          <w:rFonts w:ascii="Times New Roman" w:eastAsiaTheme="minorHAnsi" w:hAnsi="Times New Roman"/>
          <w:color w:val="000000" w:themeColor="text1"/>
          <w:sz w:val="28"/>
          <w:szCs w:val="28"/>
        </w:rPr>
        <w:br/>
        <w:t>и результатах контроля в Личном кабинете ФОИВ по регулированию контрактной системы в сфере закупок.</w:t>
      </w:r>
    </w:p>
    <w:p>
      <w:pPr>
        <w:tabs>
          <w:tab w:val="left" w:pos="1134"/>
        </w:tabs>
        <w:spacing w:before="120" w:after="120" w:line="240" w:lineRule="auto"/>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4.4.5. Планирование закупок на 2017 год</w:t>
      </w:r>
    </w:p>
    <w:p>
      <w:pPr>
        <w:tabs>
          <w:tab w:val="left" w:pos="113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Значительные изменения претерпели функциональные возможности ЕИС в части осуществления планирования закупок для нужд субъектов Российской Федерации и муниципальных образований. Формирование планов закупок и планов-графиков закупок для обеспечения нужд субъектов Российской Федерации и муниципальных образований на 2017 </w:t>
      </w:r>
      <w:r>
        <w:rPr>
          <w:rFonts w:ascii="Times New Roman" w:hAnsi="Times New Roman"/>
          <w:color w:val="000000" w:themeColor="text1"/>
          <w:sz w:val="28"/>
          <w:szCs w:val="28"/>
        </w:rPr>
        <w:br/>
        <w:t>и последующие годы осуществляется в соответствии с требованиями: Постановления № 1043, Постановления № 554, а также Постановления № 554 с «Правилами обоснования закупок товаров, работ и услуг для обеспечения государственных и муниципальных нужд».</w:t>
      </w:r>
    </w:p>
    <w:p>
      <w:pPr>
        <w:pStyle w:val="11"/>
        <w:tabs>
          <w:tab w:val="left" w:pos="0"/>
          <w:tab w:val="left" w:pos="1134"/>
        </w:tabs>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результате мероприятий, проведенных Федеральным казначейством, в целях своевременного обеспечения размещения в ЕИС информации о планах закупок и планах-графиках закупок для обеспечения нужд субъектов Российской Федерации и муниципальных образований, </w:t>
      </w:r>
      <w:r>
        <w:rPr>
          <w:rFonts w:ascii="Times New Roman" w:hAnsi="Times New Roman"/>
          <w:color w:val="000000" w:themeColor="text1"/>
          <w:sz w:val="28"/>
          <w:szCs w:val="28"/>
        </w:rPr>
        <w:br/>
        <w:t>в ноябре 2016 года обеспечена возможность размещения данных документов в структурированном виде. Кроме того, обеспечена возможность направления для размещения в ЕИС проектов планов закупок и планов-графиков закупок посредством интеграционного взаимодействия региональных информационных систем.</w:t>
      </w:r>
    </w:p>
    <w:p>
      <w:pPr>
        <w:pStyle w:val="11"/>
        <w:tabs>
          <w:tab w:val="left" w:pos="709"/>
          <w:tab w:val="left" w:pos="1134"/>
        </w:tabs>
        <w:spacing w:before="120" w:after="120" w:line="240" w:lineRule="auto"/>
        <w:ind w:left="0" w:firstLine="709"/>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4.4.6. Участие предприятий малого и среднего предпринимательства в контрактной системе</w:t>
      </w:r>
    </w:p>
    <w:p>
      <w:pPr>
        <w:pStyle w:val="11"/>
        <w:tabs>
          <w:tab w:val="left" w:pos="709"/>
          <w:tab w:val="left" w:pos="1134"/>
        </w:tabs>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Государственными заказчиками соблюдаются требования законодательства о контрактной системе в части осуществления закупок </w:t>
      </w:r>
      <w:r>
        <w:rPr>
          <w:rFonts w:ascii="Times New Roman" w:hAnsi="Times New Roman"/>
          <w:color w:val="000000" w:themeColor="text1"/>
          <w:sz w:val="28"/>
          <w:szCs w:val="28"/>
        </w:rPr>
        <w:br/>
        <w:t xml:space="preserve">у СМП и СОНО и предоставлению данным участникам закупок соответствующих преимуществ. Так, по итогам 2016 года для СМП размещено закупок на 636 734,6 млн рублей, что составляет 7,5 % </w:t>
      </w:r>
      <w:r>
        <w:rPr>
          <w:rFonts w:ascii="Times New Roman" w:hAnsi="Times New Roman"/>
          <w:color w:val="000000" w:themeColor="text1"/>
          <w:sz w:val="28"/>
          <w:szCs w:val="28"/>
        </w:rPr>
        <w:br/>
        <w:t>от совокупного годового объема закупок, предусмотренного планом-графиком, при этом в 2016 году государственных контрактов заключено на сумму 1 580 290 млн рублей, что на 321 550 тыс. рублей больше, чем сумма контрактов, заключенных в 2015 году.</w:t>
      </w:r>
    </w:p>
    <w:p>
      <w:pPr>
        <w:pStyle w:val="a5"/>
        <w:pageBreakBefore/>
        <w:spacing w:before="120" w:after="120" w:line="240" w:lineRule="auto"/>
        <w:ind w:left="0"/>
        <w:contextualSpacing w:val="0"/>
        <w:jc w:val="right"/>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lastRenderedPageBreak/>
        <w:t>Диаграмма 55</w:t>
      </w:r>
    </w:p>
    <w:p>
      <w:pPr>
        <w:pStyle w:val="11"/>
        <w:tabs>
          <w:tab w:val="left" w:pos="709"/>
          <w:tab w:val="left" w:pos="1134"/>
        </w:tabs>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Доля закупок, размещенных для субъектов малого предпринимательства</w:t>
      </w:r>
    </w:p>
    <w:p>
      <w:pPr>
        <w:pStyle w:val="11"/>
        <w:tabs>
          <w:tab w:val="left" w:pos="426"/>
          <w:tab w:val="left" w:pos="1134"/>
        </w:tabs>
        <w:spacing w:before="120" w:after="120" w:line="240" w:lineRule="auto"/>
        <w:ind w:left="0"/>
        <w:contextualSpacing w:val="0"/>
        <w:jc w:val="center"/>
        <w:rPr>
          <w:rFonts w:ascii="Times New Roman" w:eastAsiaTheme="minorEastAsia" w:hAnsi="Times New Roman"/>
          <w:color w:val="000000" w:themeColor="text1"/>
          <w:sz w:val="28"/>
          <w:szCs w:val="28"/>
          <w:lang w:eastAsia="ru-RU"/>
        </w:rPr>
      </w:pPr>
      <w:r>
        <w:rPr>
          <w:rFonts w:ascii="Times New Roman" w:hAnsi="Times New Roman"/>
          <w:noProof/>
          <w:color w:val="000000" w:themeColor="text1"/>
          <w:sz w:val="28"/>
          <w:szCs w:val="28"/>
          <w:lang w:eastAsia="ru-RU"/>
        </w:rPr>
        <w:drawing>
          <wp:inline distT="0" distB="0" distL="0" distR="0">
            <wp:extent cx="5947410" cy="31496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7410" cy="3149600"/>
                    </a:xfrm>
                    <a:prstGeom prst="rect">
                      <a:avLst/>
                    </a:prstGeom>
                    <a:noFill/>
                    <a:ln>
                      <a:noFill/>
                    </a:ln>
                  </pic:spPr>
                </pic:pic>
              </a:graphicData>
            </a:graphic>
          </wp:inline>
        </w:drawing>
      </w:r>
    </w:p>
    <w:p>
      <w:pPr>
        <w:pStyle w:val="11"/>
        <w:tabs>
          <w:tab w:val="left" w:pos="426"/>
          <w:tab w:val="left" w:pos="1134"/>
        </w:tabs>
        <w:spacing w:before="120" w:after="120" w:line="240" w:lineRule="auto"/>
        <w:ind w:left="0"/>
        <w:contextualSpacing w:val="0"/>
        <w:jc w:val="right"/>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Диаграмма 56</w:t>
      </w:r>
    </w:p>
    <w:p>
      <w:pPr>
        <w:pStyle w:val="11"/>
        <w:tabs>
          <w:tab w:val="left" w:pos="426"/>
          <w:tab w:val="left" w:pos="1134"/>
        </w:tabs>
        <w:spacing w:before="120" w:after="120" w:line="240" w:lineRule="auto"/>
        <w:ind w:left="0"/>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Статистика заключения контрактов с субъектами малого предпринимательства</w:t>
      </w:r>
    </w:p>
    <w:p>
      <w:pPr>
        <w:pStyle w:val="11"/>
        <w:tabs>
          <w:tab w:val="left" w:pos="426"/>
          <w:tab w:val="left" w:pos="1134"/>
        </w:tabs>
        <w:spacing w:line="380" w:lineRule="atLeast"/>
        <w:ind w:left="0"/>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4635610" cy="2790908"/>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43337" cy="2795560"/>
                    </a:xfrm>
                    <a:prstGeom prst="rect">
                      <a:avLst/>
                    </a:prstGeom>
                    <a:noFill/>
                    <a:ln>
                      <a:noFill/>
                    </a:ln>
                  </pic:spPr>
                </pic:pic>
              </a:graphicData>
            </a:graphic>
          </wp:inline>
        </w:drawing>
      </w:r>
    </w:p>
    <w:p>
      <w:pPr>
        <w:tabs>
          <w:tab w:val="left" w:pos="851"/>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с 1 января 2017 года предусматривается иной способ указания преимуществ и требований, предъявляемым к СМП и СОНО: информация о преимуществах и требованиях о закупках у СМП и СОНО будет формироваться на этапе формирования плана-графика закупок, </w:t>
      </w:r>
      <w:r>
        <w:rPr>
          <w:rFonts w:ascii="Times New Roman" w:hAnsi="Times New Roman"/>
          <w:color w:val="000000" w:themeColor="text1"/>
          <w:sz w:val="28"/>
          <w:szCs w:val="28"/>
          <w:lang w:eastAsia="ru-RU"/>
        </w:rPr>
        <w:br/>
        <w:t xml:space="preserve">в соответствии с требованиями, утвержденными Постановлением № 553 </w:t>
      </w:r>
      <w:r>
        <w:rPr>
          <w:rFonts w:ascii="Times New Roman" w:hAnsi="Times New Roman"/>
          <w:color w:val="000000" w:themeColor="text1"/>
          <w:sz w:val="28"/>
          <w:szCs w:val="28"/>
          <w:lang w:eastAsia="ru-RU"/>
        </w:rPr>
        <w:br/>
        <w:t xml:space="preserve">и Постановлением № 554 </w:t>
      </w:r>
      <w:r>
        <w:rPr>
          <w:rFonts w:ascii="Times New Roman" w:hAnsi="Times New Roman"/>
          <w:bCs/>
          <w:color w:val="000000" w:themeColor="text1"/>
          <w:sz w:val="28"/>
          <w:szCs w:val="28"/>
          <w:shd w:val="clear" w:color="auto" w:fill="FFFFFF"/>
          <w:lang w:eastAsia="ru-RU"/>
        </w:rPr>
        <w:t xml:space="preserve">«Об утверждении Правил формирования, </w:t>
      </w:r>
      <w:r>
        <w:rPr>
          <w:rFonts w:ascii="Times New Roman" w:hAnsi="Times New Roman"/>
          <w:bCs/>
          <w:color w:val="000000" w:themeColor="text1"/>
          <w:sz w:val="28"/>
          <w:szCs w:val="28"/>
          <w:shd w:val="clear" w:color="auto" w:fill="FFFFFF"/>
          <w:lang w:eastAsia="ru-RU"/>
        </w:rPr>
        <w:lastRenderedPageBreak/>
        <w:t>утверждения и ведения плана-графика закупок товаров, работ, услуг</w:t>
      </w:r>
      <w:r>
        <w:rPr>
          <w:rFonts w:ascii="Times New Roman" w:hAnsi="Times New Roman"/>
          <w:bCs/>
          <w:color w:val="000000" w:themeColor="text1"/>
          <w:sz w:val="28"/>
          <w:szCs w:val="28"/>
          <w:shd w:val="clear" w:color="auto" w:fill="FFFFFF"/>
          <w:lang w:eastAsia="ru-RU"/>
        </w:rPr>
        <w:br/>
        <w:t>для обеспечения федеральных нужд, а также требований к форме плана-графика закупок товаров, работ, услуг для обеспечения федеральных нужд».</w:t>
      </w:r>
    </w:p>
    <w:p>
      <w:pPr>
        <w:tabs>
          <w:tab w:val="left" w:pos="709"/>
          <w:tab w:val="left" w:pos="1134"/>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Поддержка малого предпринимательства осуществляется также</w:t>
      </w:r>
      <w:r>
        <w:rPr>
          <w:rFonts w:ascii="Times New Roman" w:hAnsi="Times New Roman"/>
          <w:color w:val="000000" w:themeColor="text1"/>
          <w:sz w:val="28"/>
          <w:szCs w:val="28"/>
          <w:lang w:eastAsia="ru-RU"/>
        </w:rPr>
        <w:br/>
        <w:t xml:space="preserve">в рамках закупок, осуществляемых отдельными видами юридических лиц согласно </w:t>
      </w:r>
      <w:r>
        <w:rPr>
          <w:rFonts w:ascii="Times New Roman" w:hAnsi="Times New Roman"/>
          <w:color w:val="000000" w:themeColor="text1"/>
          <w:sz w:val="28"/>
          <w:szCs w:val="28"/>
        </w:rPr>
        <w:t>Федеральному закону № 223-ФЗ.</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rPr>
        <w:t xml:space="preserve">Во исполнение требований Федерального закона от 29 июня 2015 г. № 156-ФЗ «О внесении изменений в отдельные законодательные акты Российской Федерации по вопросам развития малого и среднего предпринимательства в Российской Федерации» (далее </w:t>
      </w:r>
      <w:r>
        <w:rPr>
          <w:rFonts w:ascii="Times New Roman" w:hAnsi="Times New Roman"/>
          <w:color w:val="000000" w:themeColor="text1"/>
          <w:sz w:val="28"/>
          <w:szCs w:val="28"/>
          <w:lang w:eastAsia="ru-RU"/>
        </w:rPr>
        <w:t>–</w:t>
      </w:r>
      <w:r>
        <w:rPr>
          <w:rFonts w:ascii="Times New Roman" w:hAnsi="Times New Roman"/>
          <w:color w:val="000000" w:themeColor="text1"/>
          <w:sz w:val="28"/>
          <w:szCs w:val="28"/>
        </w:rPr>
        <w:t xml:space="preserve"> Федеральный закон № 156-ФЗ), а также постановления Правительства Российской Федерации от 29 октября 2015 г № 1169 «О порядке проведения мониторинга соответствия планов закупки товаров, работ, услуг, планов закупки инновационной продукции, высокотехнологичной продукции, лекарственных средств, изменений, внесенных в такие планы, оценки соответствия проектов таких планов, проектов изменений, вносимых </w:t>
      </w:r>
      <w:r>
        <w:rPr>
          <w:rFonts w:ascii="Times New Roman" w:hAnsi="Times New Roman"/>
          <w:color w:val="000000" w:themeColor="text1"/>
          <w:sz w:val="28"/>
          <w:szCs w:val="28"/>
        </w:rPr>
        <w:br/>
        <w:t xml:space="preserve">в такие планы, требованиям законодательства Российской Федерации, предусматривающим участие субъектов малого и среднего предпринимательства в закупке, порядке и сроках приостановки реализации указанных планов по результатам таких оценки и мониторинга» (далее </w:t>
      </w:r>
      <w:r>
        <w:rPr>
          <w:rFonts w:ascii="Times New Roman" w:hAnsi="Times New Roman"/>
          <w:color w:val="000000" w:themeColor="text1"/>
          <w:sz w:val="28"/>
          <w:szCs w:val="28"/>
          <w:lang w:eastAsia="ru-RU"/>
        </w:rPr>
        <w:t>–</w:t>
      </w:r>
      <w:r>
        <w:rPr>
          <w:rFonts w:ascii="Times New Roman" w:hAnsi="Times New Roman"/>
          <w:color w:val="000000" w:themeColor="text1"/>
          <w:sz w:val="28"/>
          <w:szCs w:val="28"/>
        </w:rPr>
        <w:t xml:space="preserve"> Постановление № 1169) Федеральным казначейством обеспечена возможность исполнения функций </w:t>
      </w:r>
      <w:r>
        <w:rPr>
          <w:rFonts w:ascii="Times New Roman" w:hAnsi="Times New Roman"/>
          <w:color w:val="000000" w:themeColor="text1"/>
          <w:sz w:val="28"/>
          <w:szCs w:val="28"/>
          <w:lang w:eastAsia="ru-RU"/>
        </w:rPr>
        <w:t>органов исполнительной власти субъектов Российской Федерации (созданных ими организаций), уполномоченных на осуществление следующих полномочий:</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осуществления оценки соответствия проектов планов закупки товаров, работ, услуг, проектов изменений, вносимых в такие планы, требованиям законодательства Российской Федерации, предусматривающим участие субъектов малого и среднего предпринимательства в закупке (далее – Оценка соответствия);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осуществление мониторинга соответствия планов закупки товаров, работ, услуг, изменений, внесенных в такие планы, годовых отчетов</w:t>
      </w:r>
      <w:r>
        <w:rPr>
          <w:rFonts w:ascii="Times New Roman" w:hAnsi="Times New Roman"/>
          <w:color w:val="000000" w:themeColor="text1"/>
          <w:sz w:val="28"/>
          <w:szCs w:val="28"/>
          <w:lang w:eastAsia="ru-RU"/>
        </w:rPr>
        <w:br/>
        <w:t>о закупке товаров, работ, услуг у субъектов малого и среднего предпринимательства требованиям законодательства Российской Федерации, предусматривающим участие субъектов малого и среднего предпринимательства в закупке (далее – Мониторинг соответствия);</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функциональные возможности просмотра в личном кабинете </w:t>
      </w:r>
      <w:r>
        <w:rPr>
          <w:rFonts w:ascii="Times New Roman" w:hAnsi="Times New Roman"/>
          <w:color w:val="000000" w:themeColor="text1"/>
          <w:sz w:val="28"/>
          <w:szCs w:val="28"/>
        </w:rPr>
        <w:t xml:space="preserve">ФАС России (либо территориального управления ФАС России, в случае, если управление зарегистрировано в ЕИС в соответствии с требованиями </w:t>
      </w:r>
      <w:r>
        <w:rPr>
          <w:rFonts w:ascii="Times New Roman" w:hAnsi="Times New Roman"/>
          <w:color w:val="000000" w:themeColor="text1"/>
          <w:sz w:val="28"/>
          <w:szCs w:val="28"/>
          <w:lang w:eastAsia="ru-RU"/>
        </w:rPr>
        <w:t>Порядка регистрации в ЕИС</w:t>
      </w:r>
      <w:r>
        <w:rPr>
          <w:rFonts w:ascii="Times New Roman" w:hAnsi="Times New Roman"/>
          <w:color w:val="000000" w:themeColor="text1"/>
          <w:sz w:val="28"/>
          <w:szCs w:val="28"/>
        </w:rPr>
        <w:t xml:space="preserve">) в части просмотра направленных </w:t>
      </w:r>
      <w:r>
        <w:rPr>
          <w:rFonts w:ascii="Times New Roman" w:hAnsi="Times New Roman"/>
          <w:color w:val="000000" w:themeColor="text1"/>
          <w:sz w:val="28"/>
          <w:szCs w:val="28"/>
          <w:lang w:eastAsia="ru-RU"/>
        </w:rPr>
        <w:t xml:space="preserve">акционерным обществом «Федеральная корпорация по развитию малого </w:t>
      </w:r>
      <w:r>
        <w:rPr>
          <w:rFonts w:ascii="Times New Roman" w:hAnsi="Times New Roman"/>
          <w:color w:val="000000" w:themeColor="text1"/>
          <w:sz w:val="28"/>
          <w:szCs w:val="28"/>
          <w:lang w:eastAsia="ru-RU"/>
        </w:rPr>
        <w:br/>
      </w:r>
      <w:r>
        <w:rPr>
          <w:rFonts w:ascii="Times New Roman" w:hAnsi="Times New Roman"/>
          <w:color w:val="000000" w:themeColor="text1"/>
          <w:sz w:val="28"/>
          <w:szCs w:val="28"/>
          <w:lang w:eastAsia="ru-RU"/>
        </w:rPr>
        <w:lastRenderedPageBreak/>
        <w:t>и среднего предпринимательства» (далее – АО «</w:t>
      </w:r>
      <w:r>
        <w:rPr>
          <w:rFonts w:ascii="Times New Roman" w:hAnsi="Times New Roman"/>
          <w:color w:val="000000" w:themeColor="text1"/>
          <w:sz w:val="28"/>
          <w:szCs w:val="28"/>
        </w:rPr>
        <w:t xml:space="preserve">Корпорация МСП») уведомлений о выдаче отрицательных заключений, формирования </w:t>
      </w:r>
      <w:r>
        <w:rPr>
          <w:rFonts w:ascii="Times New Roman" w:hAnsi="Times New Roman"/>
          <w:color w:val="000000" w:themeColor="text1"/>
          <w:sz w:val="28"/>
          <w:szCs w:val="28"/>
        </w:rPr>
        <w:br/>
        <w:t xml:space="preserve">и размещения по таким уведомлениям решений о приостановке плана закупки, а также </w:t>
      </w:r>
      <w:r>
        <w:rPr>
          <w:rFonts w:ascii="Times New Roman" w:hAnsi="Times New Roman"/>
          <w:color w:val="000000" w:themeColor="text1"/>
          <w:sz w:val="28"/>
          <w:szCs w:val="28"/>
          <w:lang w:eastAsia="ru-RU"/>
        </w:rPr>
        <w:t xml:space="preserve">функциональные возможности по </w:t>
      </w:r>
      <w:r>
        <w:rPr>
          <w:rFonts w:ascii="Times New Roman" w:hAnsi="Times New Roman"/>
          <w:color w:val="000000" w:themeColor="text1"/>
          <w:sz w:val="28"/>
          <w:szCs w:val="28"/>
        </w:rPr>
        <w:t>приостановке реализации планов закупок посредством ЕИС.</w:t>
      </w:r>
    </w:p>
    <w:p>
      <w:pPr>
        <w:pStyle w:val="11"/>
        <w:tabs>
          <w:tab w:val="left" w:pos="709"/>
          <w:tab w:val="left" w:pos="1134"/>
        </w:tabs>
        <w:spacing w:before="120" w:after="120" w:line="240" w:lineRule="auto"/>
        <w:ind w:left="0"/>
        <w:contextualSpacing w:val="0"/>
        <w:jc w:val="right"/>
        <w:rPr>
          <w:rFonts w:ascii="Times New Roman" w:eastAsiaTheme="minorEastAsia" w:hAnsi="Times New Roman"/>
          <w:color w:val="000000" w:themeColor="text1"/>
          <w:sz w:val="28"/>
          <w:szCs w:val="28"/>
          <w:lang w:eastAsia="ru-RU"/>
        </w:rPr>
      </w:pPr>
      <w:r>
        <w:rPr>
          <w:rFonts w:ascii="Times New Roman" w:eastAsiaTheme="minorEastAsia" w:hAnsi="Times New Roman"/>
          <w:color w:val="000000" w:themeColor="text1"/>
          <w:sz w:val="28"/>
          <w:szCs w:val="28"/>
          <w:lang w:eastAsia="ru-RU"/>
        </w:rPr>
        <w:t>Рисунок 35</w:t>
      </w:r>
    </w:p>
    <w:p>
      <w:pPr>
        <w:pStyle w:val="11"/>
        <w:tabs>
          <w:tab w:val="left" w:pos="709"/>
          <w:tab w:val="left" w:pos="1134"/>
        </w:tabs>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color w:val="000000" w:themeColor="text1"/>
          <w:sz w:val="28"/>
          <w:szCs w:val="28"/>
        </w:rPr>
        <w:t>Обеспечение деятельности АО «Корпорация МСП»</w:t>
      </w:r>
    </w:p>
    <w:p>
      <w:pPr>
        <w:pStyle w:val="11"/>
        <w:tabs>
          <w:tab w:val="left" w:pos="709"/>
          <w:tab w:val="left" w:pos="1134"/>
        </w:tabs>
        <w:spacing w:before="120" w:after="120" w:line="240" w:lineRule="auto"/>
        <w:ind w:left="0" w:firstLine="709"/>
        <w:contextualSpacing w:val="0"/>
        <w:jc w:val="center"/>
        <w:rPr>
          <w:rFonts w:ascii="Times New Roman" w:hAnsi="Times New Roman"/>
          <w:b/>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5160397" cy="3013544"/>
            <wp:effectExtent l="0" t="0" r="2540" b="0"/>
            <wp:docPr id="27720" name="Рисунок 2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160397" cy="3013544"/>
                    </a:xfrm>
                    <a:prstGeom prst="rect">
                      <a:avLst/>
                    </a:prstGeom>
                    <a:noFill/>
                  </pic:spPr>
                </pic:pic>
              </a:graphicData>
            </a:graphic>
          </wp:inline>
        </w:drawing>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Вместе с тем, Федеральным казначейством проведены масштабные работы по обеспечению АО «</w:t>
      </w:r>
      <w:r>
        <w:rPr>
          <w:rFonts w:ascii="Times New Roman" w:hAnsi="Times New Roman"/>
          <w:color w:val="000000" w:themeColor="text1"/>
          <w:sz w:val="28"/>
          <w:szCs w:val="28"/>
        </w:rPr>
        <w:t xml:space="preserve">Корпорацией МСП», </w:t>
      </w:r>
      <w:r>
        <w:rPr>
          <w:rFonts w:ascii="Times New Roman" w:hAnsi="Times New Roman"/>
          <w:color w:val="000000" w:themeColor="text1"/>
          <w:sz w:val="28"/>
          <w:szCs w:val="28"/>
          <w:lang w:eastAsia="ru-RU"/>
        </w:rPr>
        <w:t xml:space="preserve">а также органами исполнительной власти субъектов Российской Федерации возможности осуществления Оценки соответствия проектов планов закупки инновационной продукции, высокотехнологичной продукции, лекарственных средств, проектов изменений, вносимых в такие планы, </w:t>
      </w:r>
      <w:r>
        <w:rPr>
          <w:rFonts w:ascii="Times New Roman" w:hAnsi="Times New Roman"/>
          <w:color w:val="000000" w:themeColor="text1"/>
          <w:sz w:val="28"/>
          <w:szCs w:val="28"/>
          <w:lang w:eastAsia="ru-RU"/>
        </w:rPr>
        <w:br/>
        <w:t xml:space="preserve">и Мониторинга соответствия планов закупки инновационной продукции, высокотехнологичной продукции, лекарственных средств, изменений, внесенных в такие планы, годовых отчетов о закупке инновационной продукции, высокотехнологичной продукции (в части закупки субъектами малого и среднего предпринимательства) требованиям законодательства Российской Федерации, предусматривающим участие субъектов малого </w:t>
      </w:r>
      <w:r>
        <w:rPr>
          <w:rFonts w:ascii="Times New Roman" w:hAnsi="Times New Roman"/>
          <w:color w:val="000000" w:themeColor="text1"/>
          <w:sz w:val="28"/>
          <w:szCs w:val="28"/>
          <w:lang w:eastAsia="ru-RU"/>
        </w:rPr>
        <w:br/>
        <w:t>и среднего предпринимательства в закупках с учетом следующих возможностей:</w:t>
      </w:r>
    </w:p>
    <w:p>
      <w:pPr>
        <w:tabs>
          <w:tab w:val="left" w:pos="709"/>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формирование и размещение перечня товаров, работ, услуг, удовлетворяющих критериям отнесения к инновационной продукции, </w:t>
      </w:r>
      <w:r>
        <w:rPr>
          <w:rFonts w:ascii="Times New Roman" w:hAnsi="Times New Roman"/>
          <w:color w:val="000000" w:themeColor="text1"/>
          <w:sz w:val="28"/>
          <w:szCs w:val="28"/>
          <w:lang w:eastAsia="ru-RU"/>
        </w:rPr>
        <w:br/>
        <w:t>а также к высокотехнологичной продукции;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формирование и размещение в структурированном виде проектов планов закупки инновационной продукции, высокотехнологичной продукции, лекарственных средств, проектов изменений, вносимых в такие планы, утвержденных планов закупки инновационной продукции, высокотехнологичной продукции, лекарственных средств, а также утвержденных изменений, вносимых в такие планы.</w:t>
      </w:r>
    </w:p>
    <w:p>
      <w:pPr>
        <w:tabs>
          <w:tab w:val="left" w:pos="0"/>
          <w:tab w:val="left" w:pos="1134"/>
        </w:tabs>
        <w:spacing w:after="0" w:line="360" w:lineRule="atLeast"/>
        <w:ind w:firstLine="709"/>
        <w:jc w:val="both"/>
        <w:rPr>
          <w:rFonts w:ascii="Times New Roman" w:hAnsi="Times New Roman"/>
          <w:b/>
          <w:color w:val="000000" w:themeColor="text1"/>
          <w:sz w:val="28"/>
          <w:szCs w:val="28"/>
          <w:u w:val="single"/>
        </w:rPr>
      </w:pPr>
      <w:r>
        <w:rPr>
          <w:rFonts w:ascii="Times New Roman" w:hAnsi="Times New Roman"/>
          <w:color w:val="000000" w:themeColor="text1"/>
          <w:sz w:val="28"/>
          <w:szCs w:val="28"/>
          <w:lang w:eastAsia="ru-RU"/>
        </w:rPr>
        <w:t>Кроме того, Федеральным казначейством обеспечены следующие функциональные возможности, оптимизирующие деятельность АО «</w:t>
      </w:r>
      <w:r>
        <w:rPr>
          <w:rFonts w:ascii="Times New Roman" w:hAnsi="Times New Roman"/>
          <w:color w:val="000000" w:themeColor="text1"/>
          <w:sz w:val="28"/>
          <w:szCs w:val="28"/>
        </w:rPr>
        <w:t>Корпорации МСП»:</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снятие с проверки проекта плана закупки, плана закупки и вносимых в такие планы изменений в случае истечения срока проверки Оценки соответствия;</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автоматическое изменение статуса уведомления о размещении планов закупки на статус: «Истек срок проведения проверки» в случае снятия с проверки проекта плана закупки, плана закупки и вносимых </w:t>
      </w:r>
      <w:r>
        <w:rPr>
          <w:rFonts w:ascii="Times New Roman" w:hAnsi="Times New Roman"/>
          <w:color w:val="000000" w:themeColor="text1"/>
          <w:sz w:val="28"/>
          <w:szCs w:val="28"/>
          <w:lang w:eastAsia="ru-RU"/>
        </w:rPr>
        <w:br/>
        <w:t>в такие планы изменений;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автоматическое изменение статуса проекта плана закупки, плана закупки и вносимых в такие планы изменений на статус: «Соответствует </w:t>
      </w:r>
      <w:r>
        <w:rPr>
          <w:rFonts w:ascii="Times New Roman" w:hAnsi="Times New Roman"/>
          <w:color w:val="000000" w:themeColor="text1"/>
          <w:sz w:val="28"/>
          <w:szCs w:val="28"/>
          <w:lang w:eastAsia="ru-RU"/>
        </w:rPr>
        <w:br/>
        <w:t>в связи с истечением срока проверки» в случае снятия указанного документа с проверки;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блокировка возможности выдачи уведомления о несоответствии проектов планов закупки товаров, работ, услуг, проектов изменений, вносимых в такие планы, требованиям законодательства Российской Федерации, предусматривающим участие субъектов малого и среднего предпринимательства в закупке</w:t>
      </w:r>
      <w:r>
        <w:rPr>
          <w:rFonts w:ascii="Times New Roman" w:eastAsia="Times New Roman" w:hAnsi="Times New Roman"/>
          <w:i/>
          <w:color w:val="000000" w:themeColor="text1"/>
          <w:sz w:val="28"/>
          <w:szCs w:val="28"/>
          <w:lang w:eastAsia="ru-RU"/>
        </w:rPr>
        <w:t xml:space="preserve"> </w:t>
      </w:r>
      <w:r>
        <w:rPr>
          <w:rFonts w:ascii="Times New Roman" w:hAnsi="Times New Roman"/>
          <w:color w:val="000000" w:themeColor="text1"/>
          <w:sz w:val="28"/>
          <w:szCs w:val="28"/>
          <w:lang w:eastAsia="ru-RU"/>
        </w:rPr>
        <w:t xml:space="preserve">или отрицательного заключения </w:t>
      </w:r>
      <w:r>
        <w:rPr>
          <w:rFonts w:ascii="Times New Roman" w:hAnsi="Times New Roman"/>
          <w:color w:val="000000" w:themeColor="text1"/>
          <w:sz w:val="28"/>
          <w:szCs w:val="28"/>
          <w:lang w:eastAsia="ru-RU"/>
        </w:rPr>
        <w:br/>
        <w:t>на указанные проекты в случае истечения срока проведения данной проверки.</w:t>
      </w:r>
      <w:r>
        <w:rPr>
          <w:rFonts w:ascii="Times New Roman" w:hAnsi="Times New Roman"/>
          <w:b/>
          <w:color w:val="000000" w:themeColor="text1"/>
          <w:sz w:val="28"/>
          <w:szCs w:val="28"/>
          <w:u w:val="single"/>
          <w:lang w:eastAsia="ru-RU"/>
        </w:rPr>
        <w:t xml:space="preserve"> </w:t>
      </w:r>
      <w:r>
        <w:rPr>
          <w:rFonts w:ascii="Times New Roman" w:hAnsi="Times New Roman"/>
          <w:color w:val="000000" w:themeColor="text1"/>
          <w:sz w:val="28"/>
          <w:szCs w:val="28"/>
          <w:lang w:eastAsia="ru-RU"/>
        </w:rPr>
        <w:t>Немаловажными являются доработки ЕИС в части формирования отчетности об объемах закупок, осуществляемых у СМП. Таким образом,</w:t>
      </w:r>
      <w:r>
        <w:rPr>
          <w:rFonts w:ascii="Times New Roman" w:hAnsi="Times New Roman"/>
          <w:color w:val="000000" w:themeColor="text1"/>
          <w:sz w:val="28"/>
          <w:szCs w:val="28"/>
          <w:lang w:eastAsia="ru-RU"/>
        </w:rPr>
        <w:br/>
        <w:t>в 2016 году в ЕИС обеспечены возможности: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формирования и размещения годовых отчетов о закупке товаров, работ, услуг у субъектов малого и среднего предпринимательства</w:t>
      </w:r>
      <w:r>
        <w:rPr>
          <w:rFonts w:ascii="Times New Roman" w:hAnsi="Times New Roman"/>
          <w:color w:val="000000" w:themeColor="text1"/>
          <w:sz w:val="28"/>
          <w:szCs w:val="28"/>
          <w:lang w:eastAsia="ru-RU"/>
        </w:rPr>
        <w:br/>
        <w:t>в соответствии с требованиями постановления Правительства Российской Федерации от 11 декабря 2014 г. № 1352 «Об особенностях участия субъектов малого и среднего предпринимательства в закупках товаров, работ, услуг отдельными видами юридических лиц»;</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формирования и размещения годовых отчетов о закупке инновационной продукции, высокотехнологичной продукции</w:t>
      </w:r>
      <w:r>
        <w:rPr>
          <w:rFonts w:ascii="Times New Roman" w:hAnsi="Times New Roman"/>
          <w:color w:val="000000" w:themeColor="text1"/>
          <w:sz w:val="28"/>
          <w:szCs w:val="28"/>
          <w:lang w:eastAsia="ru-RU"/>
        </w:rPr>
        <w:br/>
        <w:t xml:space="preserve">в соответствии с требованиями постановления Правительства Российской Федерации от 25 декабря 2015 г. № 1442 «О закупках инновационной продукции, высокотехнологичной продукции отдельными видами </w:t>
      </w:r>
      <w:r>
        <w:rPr>
          <w:rFonts w:ascii="Times New Roman" w:hAnsi="Times New Roman"/>
          <w:color w:val="000000" w:themeColor="text1"/>
          <w:sz w:val="28"/>
          <w:szCs w:val="28"/>
          <w:lang w:eastAsia="ru-RU"/>
        </w:rPr>
        <w:lastRenderedPageBreak/>
        <w:t>юридических лиц и внесении изменений в отдельные акты Правительства Российской Федерации»;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формирования и размещения отчета о проведении мониторинга осуществления уполномоченными органами Оценки соответствия</w:t>
      </w:r>
      <w:r>
        <w:rPr>
          <w:rFonts w:ascii="Times New Roman" w:hAnsi="Times New Roman"/>
          <w:color w:val="000000" w:themeColor="text1"/>
          <w:sz w:val="28"/>
          <w:szCs w:val="28"/>
          <w:lang w:eastAsia="ru-RU"/>
        </w:rPr>
        <w:br/>
        <w:t xml:space="preserve">и Мониторинга соответствия согласно требованиям постановления Правительства Российской Федерации от 21 ноября 2015 г. № 1255 </w:t>
      </w:r>
      <w:r>
        <w:rPr>
          <w:rFonts w:ascii="Times New Roman" w:hAnsi="Times New Roman"/>
          <w:color w:val="000000" w:themeColor="text1"/>
          <w:sz w:val="28"/>
          <w:szCs w:val="28"/>
          <w:lang w:eastAsia="ru-RU"/>
        </w:rPr>
        <w:br/>
        <w:t>«О порядке проведения акционерным обществом «Федеральная корпорация по развитию малого и среднего предпринимательства» мониторинга осуществления органами исполнительной власти субъектов Российской Федерации и (или) созданными ими организациями оценки соответствия</w:t>
      </w:r>
      <w:r>
        <w:rPr>
          <w:rFonts w:ascii="Times New Roman" w:hAnsi="Times New Roman"/>
          <w:color w:val="000000" w:themeColor="text1"/>
          <w:sz w:val="28"/>
          <w:szCs w:val="28"/>
          <w:lang w:eastAsia="ru-RU"/>
        </w:rPr>
        <w:br/>
        <w:t xml:space="preserve">и мониторинга соответствия, предусмотренных Федеральным законом </w:t>
      </w:r>
      <w:r>
        <w:rPr>
          <w:rFonts w:ascii="Times New Roman" w:hAnsi="Times New Roman"/>
          <w:color w:val="000000" w:themeColor="text1"/>
          <w:sz w:val="28"/>
          <w:szCs w:val="28"/>
          <w:lang w:eastAsia="ru-RU"/>
        </w:rPr>
        <w:br/>
        <w:t>«О закупках товаров, работ, услуг отдельными видами юридических лиц».</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Кроме того, в дополнение к ранее реализованным функциям ЕИС</w:t>
      </w:r>
      <w:r>
        <w:rPr>
          <w:rFonts w:ascii="Times New Roman" w:hAnsi="Times New Roman"/>
          <w:color w:val="000000" w:themeColor="text1"/>
          <w:sz w:val="28"/>
          <w:szCs w:val="28"/>
          <w:lang w:eastAsia="ru-RU"/>
        </w:rPr>
        <w:br/>
        <w:t>в 2016 году осуществлялись доработки, направленные на недопущение размещения в ЕИС недостоверной информации об осуществлении закупок.</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Так, в целях обеспечения расчета совокупного годового объема планируемых закупок с учетом существующей возможности указания</w:t>
      </w:r>
      <w:r>
        <w:rPr>
          <w:rFonts w:ascii="Times New Roman" w:hAnsi="Times New Roman"/>
          <w:color w:val="000000" w:themeColor="text1"/>
          <w:sz w:val="28"/>
          <w:szCs w:val="28"/>
          <w:lang w:eastAsia="ru-RU"/>
        </w:rPr>
        <w:br/>
        <w:t>в планах закупки лотов в иностранной валюте обеспечена возможность перерасчета данных о начальных (максимальных) ценах договоров</w:t>
      </w:r>
      <w:r>
        <w:rPr>
          <w:rFonts w:ascii="Times New Roman" w:hAnsi="Times New Roman"/>
          <w:color w:val="000000" w:themeColor="text1"/>
          <w:sz w:val="28"/>
          <w:szCs w:val="28"/>
          <w:lang w:eastAsia="ru-RU"/>
        </w:rPr>
        <w:br/>
        <w:t>из иностранной валюты в рублевый эквивалент по официальному курсу Банка России, установленному на дату направления проекта плана закупки, проекта изменений, вносимых в такой план для проведения Оценки соответствия и Мониторинга соответствия.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Обеспечена проверка на обязательное указание позиции плана закупки при формировании лота извещения, закупки заказчика (в случае формирования лота совместной закупки), а также блокировка размещения извещения о закупке, сформированного на основании позиции плана закупки, в случае изменения начальной (максимальной) цены договора (лота) более чем на 10 % от указанной в позиции плана закупки.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Также обеспечена возможность отсутствия необходимости установления жесткой связи с позицией плана закупки</w:t>
      </w:r>
      <w:r>
        <w:rPr>
          <w:rFonts w:ascii="Times New Roman" w:eastAsiaTheme="minorHAnsi" w:hAnsi="Times New Roman"/>
          <w:b/>
          <w:color w:val="000000" w:themeColor="text1"/>
          <w:sz w:val="28"/>
          <w:szCs w:val="28"/>
        </w:rPr>
        <w:t xml:space="preserve"> </w:t>
      </w:r>
      <w:r>
        <w:rPr>
          <w:rFonts w:ascii="Times New Roman" w:hAnsi="Times New Roman"/>
          <w:color w:val="000000" w:themeColor="text1"/>
          <w:sz w:val="28"/>
          <w:szCs w:val="28"/>
          <w:lang w:eastAsia="ru-RU"/>
        </w:rPr>
        <w:t xml:space="preserve">в случае, если извещение формируется с признаком «Закупка не включена в план закупки в соответствии с частью 15 статьи 4 Федерального закона № 223-ФЗ» </w:t>
      </w:r>
      <w:r>
        <w:rPr>
          <w:rFonts w:ascii="Times New Roman" w:hAnsi="Times New Roman"/>
          <w:color w:val="000000" w:themeColor="text1"/>
          <w:sz w:val="28"/>
          <w:szCs w:val="28"/>
          <w:lang w:eastAsia="ru-RU"/>
        </w:rPr>
        <w:br/>
        <w:t xml:space="preserve">или «Закупка осуществляется вследствие аварии, иных чрезвычайных ситуаций природного или техногенного характера, непреодолимой силы, при необходимости срочного медицинского вмешательства, а также </w:t>
      </w:r>
      <w:r>
        <w:rPr>
          <w:rFonts w:ascii="Times New Roman" w:hAnsi="Times New Roman"/>
          <w:color w:val="000000" w:themeColor="text1"/>
          <w:sz w:val="28"/>
          <w:szCs w:val="28"/>
          <w:lang w:eastAsia="ru-RU"/>
        </w:rPr>
        <w:br/>
        <w:t>для предотвращения угрозы возникновения указанных ситуаций».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Положения Федерального закона № 223-ФЗ являются достаточно гибкими, позволяя заказчикам (с учетом требований положения о закупках организации) самостоятельно определять не только способ планирования </w:t>
      </w:r>
      <w:r>
        <w:rPr>
          <w:rFonts w:ascii="Times New Roman" w:hAnsi="Times New Roman"/>
          <w:color w:val="000000" w:themeColor="text1"/>
          <w:sz w:val="28"/>
          <w:szCs w:val="28"/>
          <w:lang w:eastAsia="ru-RU"/>
        </w:rPr>
        <w:lastRenderedPageBreak/>
        <w:t xml:space="preserve">закупок: по потребности в тех или иных товарах, работах, услугах </w:t>
      </w:r>
      <w:r>
        <w:rPr>
          <w:rFonts w:ascii="Times New Roman" w:hAnsi="Times New Roman"/>
          <w:color w:val="000000" w:themeColor="text1"/>
          <w:sz w:val="28"/>
          <w:szCs w:val="28"/>
          <w:lang w:eastAsia="ru-RU"/>
        </w:rPr>
        <w:br/>
        <w:t xml:space="preserve">или по плану заключения договоров, а также иные способы определения поставщика (подрядчика, исполнителя) при осуществлении закупок), </w:t>
      </w:r>
      <w:r>
        <w:rPr>
          <w:rFonts w:ascii="Times New Roman" w:hAnsi="Times New Roman"/>
          <w:color w:val="000000" w:themeColor="text1"/>
          <w:sz w:val="28"/>
          <w:szCs w:val="28"/>
          <w:lang w:eastAsia="ru-RU"/>
        </w:rPr>
        <w:br/>
        <w:t xml:space="preserve">но и расширять контингент заказчиков, для нужд которых осуществляется закупка. Таким образом, в целях предоставления «гибких» функциональных возможностей ЕИС, удовлетворяющих потребности заказчиков, Федеральным казначейством обеспечена возможность осуществления централизованных закупок с возможностью осуществления закупок </w:t>
      </w:r>
      <w:r>
        <w:rPr>
          <w:rFonts w:ascii="Times New Roman" w:hAnsi="Times New Roman"/>
          <w:color w:val="000000" w:themeColor="text1"/>
          <w:sz w:val="28"/>
          <w:szCs w:val="28"/>
          <w:lang w:eastAsia="ru-RU"/>
        </w:rPr>
        <w:br/>
        <w:t>для нужд заказчиков, на которых не распространяются требования Федерального закона № 223-ФЗ.</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Кроме того, в 2016 году отрегулирована деятельность обособленных подразделений заказчиков в части обеспечения их возможности</w:t>
      </w:r>
      <w:r>
        <w:rPr>
          <w:rFonts w:ascii="Times New Roman" w:hAnsi="Times New Roman"/>
          <w:color w:val="000000" w:themeColor="text1"/>
          <w:sz w:val="28"/>
          <w:szCs w:val="28"/>
          <w:lang w:eastAsia="ru-RU"/>
        </w:rPr>
        <w:br/>
        <w:t>для осуществления закупок. Так, в ЕИС заблокирована возможность указания обособленного подразделения в качестве заказчика</w:t>
      </w:r>
      <w:r>
        <w:rPr>
          <w:rFonts w:ascii="Times New Roman" w:hAnsi="Times New Roman"/>
          <w:color w:val="000000" w:themeColor="text1"/>
          <w:sz w:val="28"/>
          <w:szCs w:val="28"/>
          <w:lang w:eastAsia="ru-RU"/>
        </w:rPr>
        <w:br/>
        <w:t>при формировании извещения, при этом обособленное подразделение, наделенное полномочиями на формирование и размещение закупок, имеет возможность указания в качестве заказчика головной организации, либо иной организации, для которой данное обособленное подразделение осуществляет размещение закупок.</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Также головная организация может самостоятельно настроить доступ к информации, доступной обособленному ее подразделению</w:t>
      </w:r>
      <w:r>
        <w:rPr>
          <w:rFonts w:ascii="Times New Roman" w:hAnsi="Times New Roman"/>
          <w:color w:val="000000" w:themeColor="text1"/>
          <w:sz w:val="28"/>
          <w:szCs w:val="28"/>
          <w:lang w:eastAsia="ru-RU"/>
        </w:rPr>
        <w:br/>
        <w:t xml:space="preserve">для просмотра в Личном кабинете обособленного подразделения. При этом на </w:t>
      </w:r>
      <w:r>
        <w:rPr>
          <w:rFonts w:ascii="Times New Roman" w:eastAsia="Times New Roman" w:hAnsi="Times New Roman"/>
          <w:color w:val="000000" w:themeColor="text1"/>
          <w:sz w:val="28"/>
          <w:szCs w:val="28"/>
          <w:lang w:eastAsia="ru-RU"/>
        </w:rPr>
        <w:t xml:space="preserve">Официальном сайте </w:t>
      </w:r>
      <w:hyperlink r:id="rId188" w:history="1">
        <w:r>
          <w:rPr>
            <w:rFonts w:ascii="Times New Roman" w:eastAsia="Times New Roman" w:hAnsi="Times New Roman"/>
            <w:color w:val="000000" w:themeColor="text1"/>
            <w:sz w:val="28"/>
            <w:szCs w:val="28"/>
            <w:lang w:eastAsia="ru-RU"/>
          </w:rPr>
          <w:t>www.zakupki.gov.ru</w:t>
        </w:r>
      </w:hyperlink>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t>модернизирован поиск закупок, позволяющий, в том числе, осуществить поиск сведений, размещенных указанными обособленными подразделениями.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Существенные доработки реализованы в реестре планов закупок:</w:t>
      </w:r>
      <w:r>
        <w:rPr>
          <w:rFonts w:ascii="Times New Roman" w:hAnsi="Times New Roman"/>
          <w:color w:val="000000" w:themeColor="text1"/>
          <w:sz w:val="28"/>
          <w:szCs w:val="28"/>
          <w:lang w:eastAsia="ru-RU"/>
        </w:rPr>
        <w:br/>
        <w:t>в 2016 году введены в эксплуатацию функциональные возможности, позволяющие:</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при внесении изменений в позицию плана закупки указывать причины внесения указанных изменений;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запретить возможность размещения извещения по позиции плана закупки, по которой уже размещено извещение;</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запретить возможность внесения изменений, удаления позиции плана закупки, с которой имеется связанное извещение об осуществлении закупки;</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 запретить возможность внесения изменений в позицию плана закупки, по которой размещено извещение, относящееся к конкурсу или аукциону в соответствии с пунктом 9 Правил формирования плана закупки товаров (работ, услуг), утвержденных постановлением Правительства Российской Федерации от 17 сентября 2012 г. № 932 «Об утверждении </w:t>
      </w:r>
      <w:r>
        <w:rPr>
          <w:rFonts w:ascii="Times New Roman" w:hAnsi="Times New Roman"/>
          <w:color w:val="000000" w:themeColor="text1"/>
          <w:sz w:val="28"/>
          <w:szCs w:val="28"/>
          <w:lang w:eastAsia="ru-RU"/>
        </w:rPr>
        <w:lastRenderedPageBreak/>
        <w:t>Правил формирования плана закупки товаров (работ, услуг) и требований</w:t>
      </w:r>
      <w:r>
        <w:rPr>
          <w:rFonts w:ascii="Times New Roman" w:hAnsi="Times New Roman"/>
          <w:color w:val="000000" w:themeColor="text1"/>
          <w:sz w:val="28"/>
          <w:szCs w:val="28"/>
          <w:lang w:eastAsia="ru-RU"/>
        </w:rPr>
        <w:br/>
        <w:t>к форме такого плана»;</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запретить возможность размещения извещения по позиции плана закупки, переведенной в статус «Аннулирована»;</w:t>
      </w:r>
    </w:p>
    <w:p>
      <w:pPr>
        <w:pStyle w:val="11"/>
        <w:tabs>
          <w:tab w:val="left" w:pos="0"/>
          <w:tab w:val="left" w:pos="1134"/>
        </w:tabs>
        <w:spacing w:after="0" w:line="360" w:lineRule="atLeast"/>
        <w:ind w:left="0" w:firstLine="709"/>
        <w:contextualSpacing w:val="0"/>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исключить позиции плана закупки, переведенные в статус «Аннулирована» из расчета годовых стоимостных показателей плана закупки товаров, работ, услуг.</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4.4.7. Нормативно-правовое сопровождение участия Федерального казначейства в контрактной системе</w:t>
      </w:r>
    </w:p>
    <w:p>
      <w:pPr>
        <w:spacing w:line="360" w:lineRule="atLeast"/>
        <w:ind w:firstLine="708"/>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рамках исполнения поручения Правительства Российской Федерации от 17 сентября 2015 г. № ИШ-П13-6369, 9 октября 2015 г. № ИШ-П13-71пр (пункт 2 раздела 4) и 25 декабря 2015 г. № п13-64476 рассмотрен проект поправок к проекту федерального закона № 623906-6</w:t>
      </w:r>
      <w:r>
        <w:rPr>
          <w:rFonts w:ascii="Times New Roman" w:eastAsia="Times New Roman" w:hAnsi="Times New Roman"/>
          <w:color w:val="000000" w:themeColor="text1"/>
          <w:sz w:val="28"/>
          <w:szCs w:val="28"/>
        </w:rPr>
        <w:br/>
        <w:t>«О внесении изменений в Федеральный закон «О контрактной системе в сфере закупок товаров, работ, услуг для обеспечения государственных</w:t>
      </w:r>
      <w:r>
        <w:rPr>
          <w:rFonts w:ascii="Times New Roman" w:eastAsia="Times New Roman" w:hAnsi="Times New Roman"/>
          <w:color w:val="000000" w:themeColor="text1"/>
          <w:sz w:val="28"/>
          <w:szCs w:val="28"/>
        </w:rPr>
        <w:br/>
        <w:t>и муниципальных нужд».</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Замечания к проекту поправок прошли процедуру согласования</w:t>
      </w:r>
      <w:r>
        <w:rPr>
          <w:rFonts w:ascii="Times New Roman" w:eastAsia="Times New Roman" w:hAnsi="Times New Roman"/>
          <w:color w:val="000000" w:themeColor="text1"/>
          <w:sz w:val="28"/>
          <w:szCs w:val="28"/>
        </w:rPr>
        <w:br/>
        <w:t>с Минфином России. Принято участие 1 августа 2016 года в совещании по рассмотрению соответствующего законопроекта, проведенном Минфином России.</w:t>
      </w:r>
    </w:p>
    <w:p>
      <w:pPr>
        <w:spacing w:line="360" w:lineRule="atLeast"/>
        <w:ind w:firstLine="708"/>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Рассмотрен проект постановления Правительства Российской Федерации «Об утверждении положения о размещении в единой информационной системе в сфере закупок товаров, работ, услуг для обеспечения государственных и муниципальных нужд информации</w:t>
      </w:r>
      <w:r>
        <w:rPr>
          <w:rFonts w:ascii="Times New Roman" w:hAnsi="Times New Roman"/>
          <w:color w:val="000000" w:themeColor="text1"/>
          <w:sz w:val="28"/>
          <w:szCs w:val="28"/>
        </w:rPr>
        <w:br/>
        <w:t>о закупке, положения о размещении в единой информационной системе</w:t>
      </w:r>
      <w:r>
        <w:rPr>
          <w:rFonts w:ascii="Times New Roman" w:hAnsi="Times New Roman"/>
          <w:color w:val="000000" w:themeColor="text1"/>
          <w:sz w:val="28"/>
          <w:szCs w:val="28"/>
        </w:rPr>
        <w:br/>
        <w:t>в сфере закупок товаров, работ, услуг для обеспечения государственных</w:t>
      </w:r>
      <w:r>
        <w:rPr>
          <w:rFonts w:ascii="Times New Roman" w:hAnsi="Times New Roman"/>
          <w:color w:val="000000" w:themeColor="text1"/>
          <w:sz w:val="28"/>
          <w:szCs w:val="28"/>
        </w:rPr>
        <w:br/>
        <w:t>и муниципальных нужд информации об объеме выручки отдельных видов юридических лиц и требованиях к такой информации и о признании утратившими силу некоторых актов Правительства Российской Федерации», поступивший из Минэкономразвития России.</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К указанному проекту постановления направлены замечания</w:t>
      </w:r>
      <w:r>
        <w:rPr>
          <w:rFonts w:ascii="Times New Roman" w:hAnsi="Times New Roman"/>
          <w:color w:val="000000" w:themeColor="text1"/>
          <w:sz w:val="28"/>
          <w:szCs w:val="28"/>
        </w:rPr>
        <w:br/>
        <w:t>и предложения в адрес Минэкономразвития России.</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Правительством Российской Федерации утверждено постановление</w:t>
      </w:r>
      <w:r>
        <w:rPr>
          <w:rFonts w:ascii="Times New Roman" w:hAnsi="Times New Roman"/>
          <w:color w:val="000000" w:themeColor="text1"/>
          <w:sz w:val="28"/>
          <w:szCs w:val="28"/>
        </w:rPr>
        <w:br/>
        <w:t>от 5 февраля 2016 г. № 76 «О внесении изменений в некоторые акты Правительства Российской Федерации».</w:t>
      </w:r>
    </w:p>
    <w:p>
      <w:pPr>
        <w:spacing w:line="360" w:lineRule="atLeast"/>
        <w:ind w:firstLine="708"/>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Рассмотрен проект распоряжения Правительства Российской Федерации, утверждающий перечень товаров и услуг, в договорах (государственных контрактах), о закупке которых получателями средств </w:t>
      </w:r>
      <w:r>
        <w:rPr>
          <w:rFonts w:ascii="Times New Roman" w:hAnsi="Times New Roman"/>
          <w:color w:val="000000" w:themeColor="text1"/>
          <w:sz w:val="28"/>
          <w:szCs w:val="28"/>
        </w:rPr>
        <w:lastRenderedPageBreak/>
        <w:t>федерального бюджета не предусматриваются авансовые платежи, поступивший из Минфина России.</w:t>
      </w:r>
    </w:p>
    <w:p>
      <w:pPr>
        <w:tabs>
          <w:tab w:val="left" w:pos="1134"/>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Указанный проект распоряжения согласован Федеральным казначейством и 18 февраля 2016 года передан в Минфин России.</w:t>
      </w:r>
    </w:p>
    <w:p>
      <w:pPr>
        <w:tabs>
          <w:tab w:val="left" w:pos="1134"/>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Правительством Российской Федерации утверждено распоряжение</w:t>
      </w:r>
      <w:r>
        <w:rPr>
          <w:rFonts w:ascii="Times New Roman" w:hAnsi="Times New Roman"/>
          <w:color w:val="000000" w:themeColor="text1"/>
          <w:sz w:val="28"/>
          <w:szCs w:val="28"/>
        </w:rPr>
        <w:br/>
        <w:t>от 21 апреля 2016 г. № 737-р «Об утверждении перечня товаров и услуг,</w:t>
      </w:r>
      <w:r>
        <w:rPr>
          <w:rFonts w:ascii="Times New Roman" w:hAnsi="Times New Roman"/>
          <w:color w:val="000000" w:themeColor="text1"/>
          <w:sz w:val="28"/>
          <w:szCs w:val="28"/>
        </w:rPr>
        <w:br/>
        <w:t>в отношении которых при заключении договоров о поставке товаров (оказании услуг) получателями средств федерального бюджета</w:t>
      </w:r>
      <w:r>
        <w:rPr>
          <w:rFonts w:ascii="Times New Roman" w:hAnsi="Times New Roman"/>
          <w:color w:val="000000" w:themeColor="text1"/>
          <w:sz w:val="28"/>
          <w:szCs w:val="28"/>
        </w:rPr>
        <w:br/>
        <w:t>не предусматриваются авансовые платежи, если срок поставки товаров (оказания услуг) превышает 30 дней со дня заключения договора».</w:t>
      </w:r>
    </w:p>
    <w:p>
      <w:pPr>
        <w:spacing w:line="360" w:lineRule="atLeast"/>
        <w:ind w:firstLine="708"/>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Рассмотрен и согласован проект приказа Минфина России </w:t>
      </w:r>
      <w:r>
        <w:rPr>
          <w:rFonts w:ascii="Times New Roman" w:hAnsi="Times New Roman"/>
          <w:color w:val="000000" w:themeColor="text1"/>
          <w:sz w:val="28"/>
          <w:szCs w:val="28"/>
        </w:rPr>
        <w:br/>
        <w:t>«О внесении изменений в приказ Министерства финансов Российской Федерации от 29 декабря 2014 г. № 173н».</w:t>
      </w:r>
    </w:p>
    <w:p>
      <w:pPr>
        <w:tabs>
          <w:tab w:val="left" w:pos="1134"/>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Минфином России утвержден приказ от 31 декабря 2015 г. № 226н </w:t>
      </w:r>
      <w:r>
        <w:rPr>
          <w:rFonts w:ascii="Times New Roman" w:hAnsi="Times New Roman"/>
          <w:color w:val="000000" w:themeColor="text1"/>
          <w:sz w:val="28"/>
          <w:szCs w:val="28"/>
        </w:rPr>
        <w:br/>
        <w:t>«О внесении изменений в приказ Министерства финансов Российской Федерации от 29 декабря 2014 г. № 173н».</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Разработан и утвержден приказ Федерального казначейства </w:t>
      </w:r>
      <w:r>
        <w:rPr>
          <w:rFonts w:ascii="Times New Roman" w:eastAsia="Times New Roman" w:hAnsi="Times New Roman"/>
          <w:color w:val="000000" w:themeColor="text1"/>
          <w:sz w:val="28"/>
          <w:szCs w:val="28"/>
        </w:rPr>
        <w:br/>
        <w:t>от 29 июля 2016 г. № 11н «О внесении изменений в приказ Федерального казначейства от 28 ноября 2014 г. № 18н «Об утверждении порядка формирования и направления заказчиком сведений, подлежащих включению в реестр контрактов, содержащий сведения, составляющие государственную тайну, а также направления Федеральным казначейством заказчику сведений, извещений и протоколов».</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4.5. Развитие государственной автоматизированной информационной системы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ГАС «Управление», разработанная в соответствии с постановлением Правительства Российской Федерации от 25 декабря 2009 г. № 1088 </w:t>
      </w:r>
      <w:r>
        <w:rPr>
          <w:rFonts w:ascii="Times New Roman" w:hAnsi="Times New Roman"/>
          <w:color w:val="000000" w:themeColor="text1"/>
          <w:sz w:val="28"/>
          <w:szCs w:val="28"/>
        </w:rPr>
        <w:br/>
        <w:t xml:space="preserve">«О государственной автоматизированной информационной системе «Управление» (далее – Постановление № 1088), является информационной системой, обеспечивающей формирование и обработку данных, содержащихся в государственных и муниципальных информационных ресурсах, данных официальной государственной статистики, сведений, необходимых для обеспечения поддержки принятия управленческих решений в сфере государственного управления, в том числе </w:t>
      </w:r>
      <w:r>
        <w:rPr>
          <w:rFonts w:ascii="Times New Roman" w:hAnsi="Times New Roman"/>
          <w:color w:val="000000" w:themeColor="text1"/>
          <w:sz w:val="28"/>
          <w:szCs w:val="28"/>
        </w:rPr>
        <w:br/>
        <w:t>для информационного обеспечения стратегического планирования, а также предоставление и анализ информации на основании указанных данных.</w:t>
      </w:r>
    </w:p>
    <w:p>
      <w:pPr>
        <w:pageBreakBefore/>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36</w:t>
      </w:r>
    </w:p>
    <w:p>
      <w:pPr>
        <w:spacing w:after="0" w:line="360" w:lineRule="atLeast"/>
        <w:ind w:firstLine="709"/>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4935693" cy="3546281"/>
            <wp:effectExtent l="0" t="0" r="0" b="0"/>
            <wp:docPr id="29" name="Рисунок 29" descr="C:\Users\2773\Desktop\рисунки для проекта итогового доклада\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773\Desktop\рисунки для проекта итогового доклада\Рисунок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43024" cy="3551548"/>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pacing w:val="-3"/>
          <w:sz w:val="28"/>
          <w:szCs w:val="28"/>
        </w:rPr>
        <w:t xml:space="preserve">В рамках развития ГАС «Управление» </w:t>
      </w:r>
      <w:r>
        <w:rPr>
          <w:rFonts w:ascii="Times New Roman" w:hAnsi="Times New Roman"/>
          <w:color w:val="000000" w:themeColor="text1"/>
          <w:sz w:val="28"/>
          <w:szCs w:val="28"/>
        </w:rPr>
        <w:t xml:space="preserve">в 2016 году Федеральным казначейством </w:t>
      </w:r>
      <w:r>
        <w:rPr>
          <w:rFonts w:ascii="Times New Roman" w:eastAsia="Times New Roman" w:hAnsi="Times New Roman"/>
          <w:color w:val="000000" w:themeColor="text1"/>
          <w:sz w:val="28"/>
          <w:szCs w:val="28"/>
          <w:lang w:eastAsia="ru-RU"/>
        </w:rPr>
        <w:t xml:space="preserve">реализованы </w:t>
      </w:r>
      <w:r>
        <w:rPr>
          <w:rFonts w:ascii="Times New Roman" w:hAnsi="Times New Roman"/>
          <w:color w:val="000000" w:themeColor="text1"/>
          <w:sz w:val="28"/>
          <w:szCs w:val="28"/>
        </w:rPr>
        <w:t xml:space="preserve">инструменты сбора показателей, определенных постановлением Правительства Российской Федерации от 14 ноября 2015 г. № 1234 «О порядке разработки, корректировки, осуществления мониторинга и контроля реализации прогноза социально-экономического развития Российской Федерации на среднесрочный период и признании утратившими силу некоторых актов Правительства Российской Федерации», распоряжением Правительства Российской Федерации </w:t>
      </w:r>
      <w:r>
        <w:rPr>
          <w:rFonts w:ascii="Times New Roman" w:hAnsi="Times New Roman"/>
          <w:color w:val="000000" w:themeColor="text1"/>
          <w:sz w:val="28"/>
          <w:szCs w:val="28"/>
        </w:rPr>
        <w:br/>
        <w:t xml:space="preserve">от 15 июня 2009 г. № 806-р «Об утверждении Перечня показателей мониторинга процессов в реальном секторе экономики, финансово-банковской и социальной сферах субъектов Российской Федерации», </w:t>
      </w:r>
      <w:r>
        <w:rPr>
          <w:rFonts w:ascii="Times New Roman" w:hAnsi="Times New Roman"/>
          <w:color w:val="000000" w:themeColor="text1"/>
          <w:sz w:val="28"/>
          <w:szCs w:val="28"/>
        </w:rPr>
        <w:br/>
        <w:t>а также постановлением Правительства Российской Федерации от 3 ноября 2012 г. № 1142 «О мерах по реализации Указа Президента Российской Федерации от 21 августа 2012 г. № 1199 «Об оценке эффективности деятельности органов исполнительной власти субъектов Российской Федерации», и их представление в форме следующих тематических витрин (информационно-аналитических панелей):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прогноз социально-экономического развития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социально-экономическое развитие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оценка эффективности региональных РОИВ.</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37</w:t>
      </w:r>
    </w:p>
    <w:p>
      <w:pPr>
        <w:spacing w:after="0" w:line="360" w:lineRule="atLeast"/>
        <w:ind w:firstLine="709"/>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4818490" cy="3339548"/>
            <wp:effectExtent l="0" t="0" r="1270" b="0"/>
            <wp:docPr id="30" name="Рисунок 30" descr="C:\Users\2773\Desktop\рисунки для проекта итогового доклада\Рисуно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773\Desktop\рисунки для проекта итогового доклада\Рисунок10.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27537" cy="3345818"/>
                    </a:xfrm>
                    <a:prstGeom prst="rect">
                      <a:avLst/>
                    </a:prstGeom>
                    <a:noFill/>
                    <a:ln>
                      <a:noFill/>
                    </a:ln>
                  </pic:spPr>
                </pic:pic>
              </a:graphicData>
            </a:graphic>
          </wp:inline>
        </w:drawing>
      </w:r>
    </w:p>
    <w:p>
      <w:pPr>
        <w:pStyle w:val="a5"/>
        <w:spacing w:after="0" w:line="360" w:lineRule="atLeast"/>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обеспечения мониторинга финансового состояния </w:t>
      </w:r>
      <w:proofErr w:type="spellStart"/>
      <w:r>
        <w:rPr>
          <w:rFonts w:ascii="Times New Roman" w:hAnsi="Times New Roman"/>
          <w:color w:val="000000" w:themeColor="text1"/>
          <w:sz w:val="28"/>
          <w:szCs w:val="28"/>
        </w:rPr>
        <w:t>монопрофильных</w:t>
      </w:r>
      <w:proofErr w:type="spellEnd"/>
      <w:r>
        <w:rPr>
          <w:rFonts w:ascii="Times New Roman" w:hAnsi="Times New Roman"/>
          <w:color w:val="000000" w:themeColor="text1"/>
          <w:sz w:val="28"/>
          <w:szCs w:val="28"/>
        </w:rPr>
        <w:t xml:space="preserve"> муниципальных образований Российской Федерации (моногородов) информационная панель «Мониторинг моногородов» ГАС «Управление» в 2016 году дополнена отчетами, позволяющими анализировать состояние доходов и расходов моногородов, в том числе </w:t>
      </w:r>
      <w:r>
        <w:rPr>
          <w:rFonts w:ascii="Times New Roman" w:hAnsi="Times New Roman"/>
          <w:color w:val="000000" w:themeColor="text1"/>
          <w:sz w:val="28"/>
          <w:szCs w:val="28"/>
        </w:rPr>
        <w:br/>
        <w:t>в динамике.</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38</w:t>
      </w:r>
    </w:p>
    <w:p>
      <w:pPr>
        <w:spacing w:after="0" w:line="360" w:lineRule="atLeast"/>
        <w:ind w:firstLine="709"/>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224007" cy="2720418"/>
            <wp:effectExtent l="0" t="0" r="0" b="3810"/>
            <wp:docPr id="31" name="Рисунок 31" descr="C:\Users\2773\Desktop\рисунки для проекта итогового доклада\Рисунок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773\Desktop\рисунки для проекта итогового доклада\Рисунок11.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24007" cy="2720418"/>
                    </a:xfrm>
                    <a:prstGeom prst="rect">
                      <a:avLst/>
                    </a:prstGeom>
                    <a:noFill/>
                    <a:ln>
                      <a:noFill/>
                    </a:ln>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 целях осуществления информационного обеспечения стратегического планирования посредством ГАС «Управление» </w:t>
      </w:r>
      <w:r>
        <w:rPr>
          <w:rFonts w:ascii="Times New Roman" w:hAnsi="Times New Roman"/>
          <w:color w:val="000000" w:themeColor="text1"/>
          <w:sz w:val="28"/>
          <w:szCs w:val="28"/>
        </w:rPr>
        <w:t xml:space="preserve">в рамках выполнения плана реализации мероприятий по исполнению Федерального закона от 28 июня 2014 г. № 172-ФЗ «О стратегическом планировании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 xml:space="preserve">в Российской Федерации» в части информационного обеспечения стратегического планирования и в соответствии с функциональными требованиями, представленными Минэкономразвития России, Федеральным казначейством в ГАС «Управление» реализован полный бизнес-процесс государственной регистрации документов стратегического планирования, включая функции по формированию уведомлений об их утверждении (одобрении) и государственной регистрации или направлению уведомления на доработку, а также по обеспечению ведения федерального государственного реестра документов стратегического планирования, </w:t>
      </w:r>
      <w:r>
        <w:rPr>
          <w:rFonts w:ascii="Times New Roman" w:hAnsi="Times New Roman"/>
          <w:color w:val="000000" w:themeColor="text1"/>
          <w:sz w:val="28"/>
          <w:szCs w:val="28"/>
        </w:rPr>
        <w:br/>
        <w:t>в котором по состоянию на 1 января 2017 года зарегистрировано 45 658 документов стратегического планирования. Доступ к указанному реестру предоставлен в открытой части портала ГАС «Управление» (gasu.gov.ru)</w:t>
      </w:r>
      <w:r>
        <w:rPr>
          <w:rFonts w:ascii="Times New Roman" w:eastAsia="Times New Roman" w:hAnsi="Times New Roman"/>
          <w:color w:val="000000" w:themeColor="text1"/>
          <w:sz w:val="28"/>
          <w:szCs w:val="28"/>
          <w:lang w:eastAsia="ru-RU"/>
        </w:rPr>
        <w:t>.</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39</w:t>
      </w:r>
    </w:p>
    <w:p>
      <w:pPr>
        <w:spacing w:after="0" w:line="360" w:lineRule="atLeast"/>
        <w:ind w:firstLine="709"/>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033176" cy="2854518"/>
            <wp:effectExtent l="0" t="0" r="0" b="3175"/>
            <wp:docPr id="32" name="Рисунок 32" descr="C:\Users\2773\Desktop\рисунки для проекта итогового доклада\Рисунок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773\Desktop\рисунки для проекта итогового доклада\Рисунок12.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038133" cy="2857329"/>
                    </a:xfrm>
                    <a:prstGeom prst="rect">
                      <a:avLst/>
                    </a:prstGeom>
                    <a:noFill/>
                    <a:ln>
                      <a:noFill/>
                    </a:ln>
                  </pic:spPr>
                </pic:pic>
              </a:graphicData>
            </a:graphic>
          </wp:inline>
        </w:drawing>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году Федеральным казначейством продолжены работы </w:t>
      </w:r>
      <w:r>
        <w:rPr>
          <w:rFonts w:ascii="Times New Roman" w:hAnsi="Times New Roman"/>
          <w:color w:val="000000" w:themeColor="text1"/>
          <w:sz w:val="28"/>
          <w:szCs w:val="28"/>
        </w:rPr>
        <w:br/>
        <w:t xml:space="preserve">по развитию в ГАС «Управление» функционала по </w:t>
      </w:r>
      <w:r>
        <w:rPr>
          <w:rFonts w:ascii="Times New Roman" w:eastAsia="Times New Roman" w:hAnsi="Times New Roman"/>
          <w:color w:val="000000" w:themeColor="text1"/>
          <w:sz w:val="28"/>
          <w:szCs w:val="28"/>
          <w:lang w:eastAsia="ru-RU"/>
        </w:rPr>
        <w:t xml:space="preserve">мониторингу казначейского сопровождения отдельных государственных контрактов, </w:t>
      </w:r>
      <w:r>
        <w:rPr>
          <w:rFonts w:ascii="Times New Roman" w:eastAsia="Times New Roman" w:hAnsi="Times New Roman"/>
          <w:color w:val="000000" w:themeColor="text1"/>
          <w:sz w:val="28"/>
          <w:szCs w:val="28"/>
          <w:lang w:eastAsia="ru-RU"/>
        </w:rPr>
        <w:br/>
        <w:t xml:space="preserve">а также реализован </w:t>
      </w:r>
      <w:r>
        <w:rPr>
          <w:rFonts w:ascii="Times New Roman" w:hAnsi="Times New Roman"/>
          <w:color w:val="000000" w:themeColor="text1"/>
          <w:sz w:val="28"/>
          <w:szCs w:val="28"/>
        </w:rPr>
        <w:t xml:space="preserve">автоматизированный сбор, свод, визуализация данных </w:t>
      </w:r>
      <w:r>
        <w:rPr>
          <w:rFonts w:ascii="Times New Roman" w:hAnsi="Times New Roman"/>
          <w:color w:val="000000" w:themeColor="text1"/>
          <w:sz w:val="28"/>
          <w:szCs w:val="28"/>
        </w:rPr>
        <w:br/>
        <w:t xml:space="preserve">в рамках осуществления комбинированного сопровождения отдельных государственных контрактов (контрактов, договоров), учитывающий одновременное участие в кооперации организаций, находящихся </w:t>
      </w:r>
      <w:r>
        <w:rPr>
          <w:rFonts w:ascii="Times New Roman" w:hAnsi="Times New Roman"/>
          <w:color w:val="000000" w:themeColor="text1"/>
          <w:sz w:val="28"/>
          <w:szCs w:val="28"/>
        </w:rPr>
        <w:br/>
        <w:t xml:space="preserve">на казначейском сопровождении, и организаций, находящихся </w:t>
      </w:r>
      <w:r>
        <w:rPr>
          <w:rFonts w:ascii="Times New Roman" w:hAnsi="Times New Roman"/>
          <w:color w:val="000000" w:themeColor="text1"/>
          <w:sz w:val="28"/>
          <w:szCs w:val="28"/>
        </w:rPr>
        <w:br/>
        <w:t>на банковском сопровождении, с последующим формированием соответствующих отчетов, обязанность по предоставлению которой определена Постановлением № 70.</w:t>
      </w:r>
    </w:p>
    <w:p>
      <w:pPr>
        <w:pageBreakBefore/>
        <w:autoSpaceDE w:val="0"/>
        <w:autoSpaceDN w:val="0"/>
        <w:adjustRightInd w:val="0"/>
        <w:spacing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Рисунок 40</w:t>
      </w:r>
    </w:p>
    <w:p>
      <w:pPr>
        <w:tabs>
          <w:tab w:val="left" w:pos="709"/>
        </w:tabs>
        <w:spacing w:after="0" w:line="360" w:lineRule="atLeast"/>
        <w:ind w:firstLine="709"/>
        <w:contextualSpacing/>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017273" cy="2751151"/>
            <wp:effectExtent l="0" t="0" r="0" b="0"/>
            <wp:docPr id="33" name="Рисунок 33" descr="C:\Users\2773\Desktop\рисунки для проекта итогового доклада\Рисунок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773\Desktop\рисунки для проекта итогового доклада\Рисунок13.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021616" cy="2753532"/>
                    </a:xfrm>
                    <a:prstGeom prst="rect">
                      <a:avLst/>
                    </a:prstGeom>
                    <a:noFill/>
                    <a:ln>
                      <a:noFill/>
                    </a:ln>
                  </pic:spPr>
                </pic:pic>
              </a:graphicData>
            </a:graphic>
          </wp:inline>
        </w:drawing>
      </w:r>
    </w:p>
    <w:p>
      <w:pPr>
        <w:tabs>
          <w:tab w:val="left" w:pos="709"/>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Во исполнение поручения Президента Российской Федерации </w:t>
      </w:r>
      <w:r>
        <w:rPr>
          <w:rFonts w:ascii="Times New Roman" w:hAnsi="Times New Roman"/>
          <w:color w:val="000000" w:themeColor="text1"/>
          <w:sz w:val="28"/>
          <w:szCs w:val="28"/>
        </w:rPr>
        <w:br/>
        <w:t xml:space="preserve">от 18 августа 2015 г. № Пр-1659 (подпункт «ж» пункта 1), доведенного поручением Председателя Правительства Российской Федерации от 29 августа 2015 г. № ДМ-П13-5943 (пункт 7) о проведении инвентаризации объектов незавершенного строительства, не включенных </w:t>
      </w:r>
      <w:r>
        <w:rPr>
          <w:rFonts w:ascii="Times New Roman" w:hAnsi="Times New Roman"/>
          <w:color w:val="000000" w:themeColor="text1"/>
          <w:sz w:val="28"/>
          <w:szCs w:val="28"/>
        </w:rPr>
        <w:br/>
        <w:t xml:space="preserve">в ФАИП, и создании информационного ресурса, содержащего полную информацию по указанным объектам, а также во исполнение поручения Первого заместителя Председателя Правительства Российской Федерации И.И. Шувалова от 25 февраля 2016 г. № ИШ-П13-1016 об обеспечении исполнения мероприятий плана-графика «Реализации мероприятий, предусматривающих завершение инвентаризации объектов незавершенного строительства, создание и совершенствование нормативной правовой базы и методического обеспечения учета объектов незавершенного строительства» Федеральное казначейство в 2016 году приступило </w:t>
      </w:r>
      <w:r>
        <w:rPr>
          <w:rFonts w:ascii="Times New Roman" w:hAnsi="Times New Roman"/>
          <w:color w:val="000000" w:themeColor="text1"/>
          <w:sz w:val="28"/>
          <w:szCs w:val="28"/>
        </w:rPr>
        <w:br/>
        <w:t xml:space="preserve">к реализации в ГАС «Управление» функционала по мониторингу объектов незавершенного строительства, в том числе не включенных в ФАИП, </w:t>
      </w:r>
      <w:r>
        <w:rPr>
          <w:rFonts w:ascii="Times New Roman" w:hAnsi="Times New Roman"/>
          <w:color w:val="000000" w:themeColor="text1"/>
          <w:sz w:val="28"/>
          <w:szCs w:val="28"/>
        </w:rPr>
        <w:br/>
        <w:t>а также соответствующих витрин данных.</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Вместе с тем </w:t>
      </w:r>
      <w:r>
        <w:rPr>
          <w:rFonts w:ascii="Times New Roman" w:hAnsi="Times New Roman"/>
          <w:color w:val="000000" w:themeColor="text1"/>
          <w:sz w:val="28"/>
          <w:szCs w:val="28"/>
        </w:rPr>
        <w:t xml:space="preserve">в целях обеспечения контроля полноты </w:t>
      </w:r>
      <w:r>
        <w:rPr>
          <w:rFonts w:ascii="Times New Roman" w:hAnsi="Times New Roman"/>
          <w:color w:val="000000" w:themeColor="text1"/>
          <w:sz w:val="28"/>
          <w:szCs w:val="28"/>
        </w:rPr>
        <w:br/>
        <w:t xml:space="preserve">и своевременности предоставления сведений в ГАС «Управление» Федеральным казначейством в течение 2016 года на регулярной основе формировались рейтинги ФОИВ, субъектов Российской Федерации, государственных корпораций и государственных внебюджетных фондов по полноте предоставления сведений в ГАС «Управление», которые рассматривались на заседаниях </w:t>
      </w:r>
      <w:r>
        <w:rPr>
          <w:rStyle w:val="s14"/>
          <w:rFonts w:ascii="Times New Roman" w:hAnsi="Times New Roman"/>
          <w:color w:val="000000" w:themeColor="text1"/>
          <w:sz w:val="28"/>
          <w:szCs w:val="28"/>
        </w:rPr>
        <w:t xml:space="preserve">подкомиссий </w:t>
      </w:r>
      <w:r>
        <w:rPr>
          <w:rFonts w:ascii="Times New Roman" w:eastAsia="Times New Roman" w:hAnsi="Times New Roman"/>
          <w:color w:val="000000" w:themeColor="text1"/>
          <w:sz w:val="28"/>
          <w:szCs w:val="28"/>
          <w:lang w:eastAsia="ru-RU"/>
        </w:rPr>
        <w:t xml:space="preserve">по использованию информационных технологий при предоставлении государственных и муниципальных услуг Правительственной комиссии по использованию </w:t>
      </w:r>
      <w:r>
        <w:rPr>
          <w:rFonts w:ascii="Times New Roman" w:eastAsia="Times New Roman" w:hAnsi="Times New Roman"/>
          <w:color w:val="000000" w:themeColor="text1"/>
          <w:sz w:val="28"/>
          <w:szCs w:val="28"/>
          <w:lang w:eastAsia="ru-RU"/>
        </w:rPr>
        <w:lastRenderedPageBreak/>
        <w:t>информационных технологий для улучшения качества жизни и условий ведения предпринимательской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Отдельно необходимо отметить, что в 2016 году Счетной палатой Российской Федерации осуществлена интеграция ведомственной информационной системы с ГАС «Управление» с целью использования сведений ГАС «Управление» при проведении контрольных мероприятий. Также к ГАС «Управление» предоставлен доступ Администрации Президента Российской Федерации, Управлению делами Президента Российской Федерации, государственным корпорациям «Роскосмос» </w:t>
      </w:r>
      <w:r>
        <w:rPr>
          <w:rFonts w:ascii="Times New Roman" w:hAnsi="Times New Roman"/>
          <w:color w:val="000000" w:themeColor="text1"/>
          <w:sz w:val="28"/>
          <w:szCs w:val="28"/>
        </w:rPr>
        <w:br/>
        <w:t>и «Росатом», федеральному казенному учреждению «Дирекция космодрома «Восточный» и некоммерческой организации «Фонд развития моногородов».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1 января 2017 года число пользователей закрытой части портала ГАС «Управление» по сравнению с числом пользователей </w:t>
      </w:r>
      <w:r>
        <w:rPr>
          <w:rFonts w:ascii="Times New Roman" w:hAnsi="Times New Roman"/>
          <w:color w:val="000000" w:themeColor="text1"/>
          <w:sz w:val="28"/>
          <w:szCs w:val="28"/>
        </w:rPr>
        <w:br/>
        <w:t>на 1 января 2016 года увеличилось в 2,6 раза и составило 36 257. Количество подключенных к закрытой части портала ГАС «Управление» органов государственной власти и местного самоуправления составило: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65 ФОИВ;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2 832 РОИВ;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11 949 органов местного самоуправления.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2016 году реализовывались мероприятия по интеграции информационных систем ФОИВ и РОИВ с ГАС «Управление», в результате которых по состоянию на 1 января 2017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12 ФОИВ и 33 субъектами Российской Федерации мероприятия </w:t>
      </w:r>
      <w:r>
        <w:rPr>
          <w:rFonts w:ascii="Times New Roman" w:hAnsi="Times New Roman"/>
          <w:color w:val="000000" w:themeColor="text1"/>
          <w:sz w:val="28"/>
          <w:szCs w:val="28"/>
        </w:rPr>
        <w:br/>
        <w:t>по интеграция с ГАС</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«Управление» завершены;</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11 ФОИВ и 1 РОИВ осуществляется апробация взаимодействия </w:t>
      </w:r>
      <w:r>
        <w:rPr>
          <w:rFonts w:ascii="Times New Roman" w:hAnsi="Times New Roman"/>
          <w:color w:val="000000" w:themeColor="text1"/>
          <w:sz w:val="28"/>
          <w:szCs w:val="28"/>
        </w:rPr>
        <w:br/>
        <w:t>с ГАС</w:t>
      </w:r>
      <w:r>
        <w:rPr>
          <w:rFonts w:ascii="Times New Roman" w:hAnsi="Times New Roman"/>
          <w:color w:val="000000" w:themeColor="text1"/>
          <w:sz w:val="28"/>
          <w:szCs w:val="28"/>
          <w:lang w:val="en-US"/>
        </w:rPr>
        <w:t> </w:t>
      </w:r>
      <w:r>
        <w:rPr>
          <w:rFonts w:ascii="Times New Roman" w:hAnsi="Times New Roman"/>
          <w:color w:val="000000" w:themeColor="text1"/>
          <w:sz w:val="28"/>
          <w:szCs w:val="28"/>
        </w:rPr>
        <w:t>«Управление».</w:t>
      </w:r>
    </w:p>
    <w:p>
      <w:pPr>
        <w:pageBreakBefore/>
        <w:tabs>
          <w:tab w:val="left" w:pos="840"/>
        </w:tabs>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 Иная деятельность Федерального казначейства</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5.1. Создание (развитие) правовых, технологических </w:t>
      </w:r>
      <w:r>
        <w:rPr>
          <w:rFonts w:ascii="Times New Roman" w:hAnsi="Times New Roman"/>
          <w:b/>
          <w:color w:val="000000" w:themeColor="text1"/>
          <w:sz w:val="28"/>
          <w:szCs w:val="28"/>
        </w:rPr>
        <w:br/>
        <w:t>и организационных основ систематизации и кодирования технико-экономической и социальной информации в социально-экономической области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 июня 2016 года утверждено постановление Правительства Российской Федерации № 487 «О первоочередных мерах по созданию государственной информационной системы «Единая информационная среда в сфере систематизации и кодирования информации» (далее – Постановление № 487), которым установлены правила создания, изменения, ведения и применения отдельных информационных ресурсов. Указанные правила направлены на создание механизмов обеспечения достоверности </w:t>
      </w:r>
      <w:r>
        <w:rPr>
          <w:rFonts w:ascii="Times New Roman" w:hAnsi="Times New Roman"/>
          <w:color w:val="000000" w:themeColor="text1"/>
          <w:sz w:val="28"/>
          <w:szCs w:val="28"/>
        </w:rPr>
        <w:br/>
        <w:t xml:space="preserve">и актуальности данных об одних и тех же субъектах и объектах правоотношений, содержащихся в различных информационных ресурсах, </w:t>
      </w:r>
      <w:r>
        <w:rPr>
          <w:rFonts w:ascii="Times New Roman" w:hAnsi="Times New Roman"/>
          <w:color w:val="000000" w:themeColor="text1"/>
          <w:sz w:val="28"/>
          <w:szCs w:val="28"/>
        </w:rPr>
        <w:br/>
        <w:t>в том числе, посредством функционирования государственной информационной системы «Единая информационная среда в сфере систематизации и кодирования информации» (далее – ГИС ЕИС).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реализации Постановления № 487, в том числе, в части создания ГИС ЕИС, Федеральным казначейством осуществлено взаимодействие с федеральными органами исполнительной власти </w:t>
      </w:r>
      <w:r>
        <w:rPr>
          <w:rFonts w:ascii="Times New Roman" w:hAnsi="Times New Roman"/>
          <w:color w:val="000000" w:themeColor="text1"/>
          <w:sz w:val="28"/>
          <w:szCs w:val="28"/>
        </w:rPr>
        <w:br/>
        <w:t>и органами управления государственных внебюджетных фондов, а также проведено анкетирование ведущихся указанными органами информационных ресурсов и анализ содержащейся в них информации.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обеспечена координация работ </w:t>
      </w:r>
      <w:r>
        <w:rPr>
          <w:rFonts w:ascii="Times New Roman" w:hAnsi="Times New Roman"/>
          <w:color w:val="000000" w:themeColor="text1"/>
          <w:sz w:val="28"/>
          <w:szCs w:val="28"/>
        </w:rPr>
        <w:br/>
        <w:t xml:space="preserve">по реализации мероприятий, предусмотренных Планом мероприятий </w:t>
      </w:r>
      <w:r>
        <w:rPr>
          <w:rFonts w:ascii="Times New Roman" w:hAnsi="Times New Roman"/>
          <w:color w:val="000000" w:themeColor="text1"/>
          <w:sz w:val="28"/>
          <w:szCs w:val="28"/>
        </w:rPr>
        <w:br/>
        <w:t xml:space="preserve">по формированию методологии систематизации и кодирования информации, а также совершенствованию и актуализации общероссийских классификаторов, реестров и информационных ресурсов, утвержденным заместителем Председателя Правительства Российской Федерации </w:t>
      </w:r>
      <w:r>
        <w:rPr>
          <w:rFonts w:ascii="Times New Roman" w:hAnsi="Times New Roman"/>
          <w:color w:val="000000" w:themeColor="text1"/>
          <w:sz w:val="28"/>
          <w:szCs w:val="28"/>
        </w:rPr>
        <w:br/>
        <w:t xml:space="preserve">А.В. </w:t>
      </w:r>
      <w:proofErr w:type="spellStart"/>
      <w:r>
        <w:rPr>
          <w:rFonts w:ascii="Times New Roman" w:hAnsi="Times New Roman"/>
          <w:color w:val="000000" w:themeColor="text1"/>
          <w:sz w:val="28"/>
          <w:szCs w:val="28"/>
        </w:rPr>
        <w:t>Дворковичем</w:t>
      </w:r>
      <w:proofErr w:type="spellEnd"/>
      <w:r>
        <w:rPr>
          <w:rFonts w:ascii="Times New Roman" w:hAnsi="Times New Roman"/>
          <w:color w:val="000000" w:themeColor="text1"/>
          <w:sz w:val="28"/>
          <w:szCs w:val="28"/>
        </w:rPr>
        <w:t xml:space="preserve"> 31 июля 2014 г. № 4970п-П10 (далее – План мероприятий).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исполнения Плана мероприятий утверждены новые редакции ОКВЭД2 и ОКПД2, заменяющие собой устаревшие ОКПД, ОКВЭД, ОКП, ОКДП и ОКУН. Актуализированы иные общероссийские классификаторы (ОКСО, ОКОФ, ОКЕИ, ОКУД, ОКОГУ и </w:t>
      </w:r>
      <w:proofErr w:type="spellStart"/>
      <w:r>
        <w:rPr>
          <w:rFonts w:ascii="Times New Roman" w:hAnsi="Times New Roman"/>
          <w:color w:val="000000" w:themeColor="text1"/>
          <w:sz w:val="28"/>
          <w:szCs w:val="28"/>
        </w:rPr>
        <w:t>пр</w:t>
      </w:r>
      <w:proofErr w:type="spellEnd"/>
      <w:r>
        <w:rPr>
          <w:rFonts w:ascii="Times New Roman" w:hAnsi="Times New Roman"/>
          <w:color w:val="000000" w:themeColor="text1"/>
          <w:sz w:val="28"/>
          <w:szCs w:val="28"/>
        </w:rPr>
        <w:t xml:space="preserve">). При этом </w:t>
      </w:r>
      <w:r>
        <w:rPr>
          <w:rFonts w:ascii="Times New Roman" w:hAnsi="Times New Roman"/>
          <w:color w:val="000000" w:themeColor="text1"/>
          <w:sz w:val="28"/>
          <w:szCs w:val="28"/>
        </w:rPr>
        <w:br/>
        <w:t>для перехода на новые версии классификаторов разработаны и ведутся переходные ключи.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Федеральными органами исполнительной власти осуществлён перевод своих информационных ресурсов на новые версии </w:t>
      </w:r>
      <w:r>
        <w:rPr>
          <w:rFonts w:ascii="Times New Roman" w:hAnsi="Times New Roman"/>
          <w:color w:val="000000" w:themeColor="text1"/>
          <w:sz w:val="28"/>
          <w:szCs w:val="28"/>
        </w:rPr>
        <w:lastRenderedPageBreak/>
        <w:t xml:space="preserve">классификаторов. ФНС России полностью и в автоматизированном режиме завершила перевод процесса регистрации хозяйствующих субъектов </w:t>
      </w:r>
      <w:r>
        <w:rPr>
          <w:rFonts w:ascii="Times New Roman" w:hAnsi="Times New Roman"/>
          <w:color w:val="000000" w:themeColor="text1"/>
          <w:sz w:val="28"/>
          <w:szCs w:val="28"/>
        </w:rPr>
        <w:br/>
        <w:t xml:space="preserve">на ОКВЭД2.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Приняты необходимые изменения в Налоговый кодекс Российской Федерации и другие акты в части перехода на применение ОКВЭД2 </w:t>
      </w:r>
      <w:r>
        <w:rPr>
          <w:rFonts w:ascii="Times New Roman" w:hAnsi="Times New Roman"/>
          <w:color w:val="000000" w:themeColor="text1"/>
          <w:sz w:val="28"/>
          <w:szCs w:val="28"/>
        </w:rPr>
        <w:br/>
        <w:t>и ОКПД2.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Итоговый отчет направлен в Правительство Российской Федерации письмом Федерального казначейства от 28 декабря 2016 г. № 07-04-04/</w:t>
      </w:r>
      <w:r>
        <w:rPr>
          <w:rFonts w:ascii="Times New Roman" w:hAnsi="Times New Roman"/>
          <w:color w:val="000000" w:themeColor="text1"/>
          <w:sz w:val="28"/>
          <w:szCs w:val="28"/>
        </w:rPr>
        <w:br/>
        <w:t>/14-2159.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Обеспечено функционирование Подкомиссии по систематизации </w:t>
      </w:r>
      <w:r>
        <w:rPr>
          <w:rFonts w:ascii="Times New Roman" w:hAnsi="Times New Roman"/>
          <w:color w:val="000000" w:themeColor="text1"/>
          <w:sz w:val="28"/>
          <w:szCs w:val="28"/>
        </w:rPr>
        <w:br/>
        <w:t xml:space="preserve">и кодированию технико-экономической и социальной информации </w:t>
      </w:r>
      <w:r>
        <w:rPr>
          <w:rFonts w:ascii="Times New Roman" w:hAnsi="Times New Roman"/>
          <w:color w:val="000000" w:themeColor="text1"/>
          <w:sz w:val="28"/>
          <w:szCs w:val="28"/>
        </w:rPr>
        <w:br/>
        <w:t xml:space="preserve">в социально-экономической области Правительственной комиссии </w:t>
      </w:r>
      <w:r>
        <w:rPr>
          <w:rFonts w:ascii="Times New Roman" w:hAnsi="Times New Roman"/>
          <w:color w:val="000000" w:themeColor="text1"/>
          <w:sz w:val="28"/>
          <w:szCs w:val="28"/>
        </w:rPr>
        <w:br/>
        <w:t xml:space="preserve">по использованию информационных технологий для улучшения качества жизни и условий ведения предпринимательской деятельности </w:t>
      </w:r>
      <w:r>
        <w:rPr>
          <w:rFonts w:ascii="Times New Roman" w:hAnsi="Times New Roman"/>
          <w:color w:val="000000" w:themeColor="text1"/>
          <w:sz w:val="28"/>
          <w:szCs w:val="28"/>
        </w:rPr>
        <w:br/>
        <w:t>(далее – Подкомиссия) (в том числе, проведено четыре заседания Подкомиссии), актуализирован состав Подкомиссии распоряжением Правительства Российской Федерации от 4 марта 2016 г. № 377-р.</w:t>
      </w:r>
    </w:p>
    <w:p>
      <w:pPr>
        <w:tabs>
          <w:tab w:val="left" w:pos="709"/>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5.2. Повышение информационной открытости деятельности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Федеральном казначействе в 2016 году были реализованы мероприятия Ведомственного плана Федерального казначейства </w:t>
      </w:r>
      <w:r>
        <w:rPr>
          <w:rFonts w:ascii="Times New Roman" w:hAnsi="Times New Roman"/>
          <w:color w:val="000000" w:themeColor="text1"/>
          <w:sz w:val="28"/>
          <w:szCs w:val="28"/>
        </w:rPr>
        <w:br/>
        <w:t>по реализации Концепции открытости федеральных органов исполнительной власти на 2016 год (далее – Ведомственный план), в том числе по следующим приоритетным механизмам (инструментам) реализации принципов открытости:</w:t>
      </w:r>
    </w:p>
    <w:p>
      <w:pPr>
        <w:spacing w:after="0" w:line="360" w:lineRule="atLeast"/>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п</w:t>
      </w:r>
      <w:r>
        <w:rPr>
          <w:rFonts w:ascii="Times New Roman" w:hAnsi="Times New Roman"/>
          <w:color w:val="000000" w:themeColor="text1"/>
          <w:sz w:val="28"/>
          <w:szCs w:val="28"/>
        </w:rPr>
        <w:t>убличная декларация целей и задач;</w:t>
      </w:r>
    </w:p>
    <w:p>
      <w:pPr>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 в</w:t>
      </w:r>
      <w:r>
        <w:rPr>
          <w:rFonts w:ascii="Times New Roman" w:hAnsi="Times New Roman"/>
          <w:color w:val="000000" w:themeColor="text1"/>
          <w:sz w:val="28"/>
          <w:szCs w:val="28"/>
        </w:rPr>
        <w:t>заимодействие с Общественным советом;</w:t>
      </w:r>
    </w:p>
    <w:p>
      <w:pPr>
        <w:spacing w:after="0" w:line="360" w:lineRule="atLeast"/>
        <w:ind w:firstLine="709"/>
        <w:jc w:val="both"/>
        <w:rPr>
          <w:rFonts w:ascii="Times New Roman" w:hAnsi="Times New Roman"/>
          <w:iCs/>
          <w:color w:val="000000" w:themeColor="text1"/>
          <w:sz w:val="28"/>
          <w:szCs w:val="28"/>
        </w:rPr>
      </w:pPr>
      <w:r>
        <w:rPr>
          <w:rFonts w:ascii="Times New Roman" w:hAnsi="Times New Roman"/>
          <w:bCs/>
          <w:color w:val="000000" w:themeColor="text1"/>
          <w:sz w:val="28"/>
          <w:szCs w:val="28"/>
        </w:rPr>
        <w:t>– о</w:t>
      </w:r>
      <w:r>
        <w:rPr>
          <w:rFonts w:ascii="Times New Roman" w:hAnsi="Times New Roman"/>
          <w:iCs/>
          <w:color w:val="000000" w:themeColor="text1"/>
          <w:sz w:val="28"/>
          <w:szCs w:val="28"/>
        </w:rPr>
        <w:t>беспечение работы с открытыми данными;</w:t>
      </w:r>
    </w:p>
    <w:p>
      <w:pPr>
        <w:widowControl w:val="0"/>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 ф</w:t>
      </w:r>
      <w:r>
        <w:rPr>
          <w:rFonts w:ascii="Times New Roman" w:hAnsi="Times New Roman"/>
          <w:color w:val="000000" w:themeColor="text1"/>
          <w:sz w:val="28"/>
          <w:szCs w:val="28"/>
        </w:rPr>
        <w:t>ормирование публичной отчетности;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работа с референтными группами;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bCs/>
          <w:color w:val="000000" w:themeColor="text1"/>
          <w:sz w:val="28"/>
          <w:szCs w:val="28"/>
        </w:rPr>
        <w:t>– о</w:t>
      </w:r>
      <w:r>
        <w:rPr>
          <w:rFonts w:ascii="Times New Roman" w:hAnsi="Times New Roman"/>
          <w:color w:val="000000" w:themeColor="text1"/>
          <w:sz w:val="28"/>
          <w:szCs w:val="28"/>
        </w:rPr>
        <w:t>беспечение понятности общественно-значимых НПА.</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bCs/>
          <w:color w:val="000000" w:themeColor="text1"/>
          <w:sz w:val="28"/>
          <w:szCs w:val="28"/>
        </w:rPr>
        <w:t>В рамках реализации инициативного проекта</w:t>
      </w:r>
      <w:r>
        <w:rPr>
          <w:rFonts w:ascii="Times New Roman" w:hAnsi="Times New Roman"/>
          <w:color w:val="000000" w:themeColor="text1"/>
          <w:sz w:val="28"/>
          <w:szCs w:val="28"/>
        </w:rPr>
        <w:t xml:space="preserve"> Ведомственного плана «Мониторинг информационной открытости официальных сайтов территориальных органов Федерального казначейства в информационно-телекоммуникационной сети «Интернет» разработана концепция мониторинга открытых данных территориальных органов Федерального казначейства.</w:t>
      </w: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5.3. Формирование комплексной системы государственного менеджмента в Федеральном казначействе</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5.3.1. Результаты контрольно-аудиторской деятельности органов Федерального казначейства</w:t>
      </w:r>
    </w:p>
    <w:p>
      <w:pPr>
        <w:spacing w:after="0" w:line="360" w:lineRule="atLeast"/>
        <w:ind w:firstLine="709"/>
        <w:jc w:val="both"/>
        <w:outlineLvl w:val="0"/>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Во исполнение планов внутреннего контроля и внутреннего аудита на 2016 год контрольно-аудиторскими подразделениями Федерального казначейства, ТОФК, ФКУ «ЦОКР» организованы и проведены 2 286 контрольных мероприятий, из них:</w:t>
      </w:r>
    </w:p>
    <w:p>
      <w:pPr>
        <w:spacing w:after="0" w:line="360" w:lineRule="atLeast"/>
        <w:ind w:firstLine="709"/>
        <w:jc w:val="both"/>
        <w:outlineLvl w:val="0"/>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36 – Управлением внутреннего контроля (аудита) и оценки эффективности деятельности (далее – 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 xml:space="preserve">), в том числе </w:t>
      </w:r>
      <w:r>
        <w:rPr>
          <w:rFonts w:ascii="Times New Roman" w:eastAsia="Times New Roman" w:hAnsi="Times New Roman"/>
          <w:color w:val="000000" w:themeColor="text1"/>
          <w:sz w:val="28"/>
          <w:szCs w:val="28"/>
          <w:lang w:eastAsia="ru-RU"/>
        </w:rPr>
        <w:br/>
        <w:t xml:space="preserve">3 контрольных мероприятия в </w:t>
      </w:r>
      <w:r>
        <w:rPr>
          <w:rFonts w:ascii="Times New Roman" w:hAnsi="Times New Roman"/>
          <w:color w:val="000000" w:themeColor="text1"/>
          <w:sz w:val="28"/>
          <w:szCs w:val="28"/>
          <w:lang w:eastAsia="ru-RU"/>
        </w:rPr>
        <w:t>ЦАФК</w:t>
      </w:r>
      <w:r>
        <w:rPr>
          <w:rFonts w:ascii="Times New Roman" w:eastAsia="Times New Roman" w:hAnsi="Times New Roman"/>
          <w:color w:val="000000" w:themeColor="text1"/>
          <w:sz w:val="28"/>
          <w:szCs w:val="28"/>
          <w:lang w:eastAsia="ru-RU"/>
        </w:rPr>
        <w:t>, 33 – в ТОФК и ФКУ «ЦОКР»;</w:t>
      </w:r>
    </w:p>
    <w:p>
      <w:pPr>
        <w:spacing w:after="0" w:line="360" w:lineRule="atLeast"/>
        <w:ind w:firstLine="709"/>
        <w:jc w:val="both"/>
        <w:outlineLvl w:val="0"/>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2 250 – контрольно-аудиторскими подразделениями ТОФК, ФКУ «ЦОКР», в том числе 1 091 в структурных подразделениях ТОФК </w:t>
      </w:r>
      <w:r>
        <w:rPr>
          <w:rFonts w:ascii="Times New Roman" w:eastAsia="Times New Roman" w:hAnsi="Times New Roman"/>
          <w:color w:val="000000" w:themeColor="text1"/>
          <w:sz w:val="28"/>
          <w:szCs w:val="28"/>
          <w:lang w:eastAsia="ru-RU"/>
        </w:rPr>
        <w:br/>
        <w:t xml:space="preserve">и ФКУ «ЦОКР» (за исключением территориально обособленных отделов) </w:t>
      </w:r>
      <w:r>
        <w:rPr>
          <w:rFonts w:ascii="Times New Roman" w:eastAsia="Times New Roman" w:hAnsi="Times New Roman"/>
          <w:color w:val="000000" w:themeColor="text1"/>
          <w:sz w:val="28"/>
          <w:szCs w:val="28"/>
          <w:lang w:eastAsia="ru-RU"/>
        </w:rPr>
        <w:br/>
        <w:t>(далее – структурные подразделения), 1 159 – в территориально обособленных отделах ТОФК и ФКУ «ЦОКР» (далее – территориальные отделы).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 xml:space="preserve"> в 2016 году организованы и проведены </w:t>
      </w:r>
      <w:r>
        <w:rPr>
          <w:rFonts w:ascii="Times New Roman" w:eastAsia="Times New Roman" w:hAnsi="Times New Roman"/>
          <w:color w:val="000000" w:themeColor="text1"/>
          <w:sz w:val="28"/>
          <w:szCs w:val="28"/>
          <w:lang w:eastAsia="ru-RU"/>
        </w:rPr>
        <w:br/>
        <w:t xml:space="preserve">33 контрольных мероприятия деятельности ТОФК и ФКУ «ЦОКР», </w:t>
      </w:r>
      <w:r>
        <w:rPr>
          <w:rFonts w:ascii="Times New Roman" w:eastAsia="Times New Roman" w:hAnsi="Times New Roman"/>
          <w:color w:val="000000" w:themeColor="text1"/>
          <w:sz w:val="28"/>
          <w:szCs w:val="28"/>
          <w:lang w:eastAsia="ru-RU"/>
        </w:rPr>
        <w:br/>
        <w:t>в том числе: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26 комплексных комбинированных проверок;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7 тематических проверок, в том числе – 6 внеплановых.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результатам контрольных мероприятий выявлено </w:t>
      </w:r>
      <w:r>
        <w:rPr>
          <w:rFonts w:ascii="Times New Roman" w:eastAsia="Times New Roman" w:hAnsi="Times New Roman"/>
          <w:color w:val="000000" w:themeColor="text1"/>
          <w:sz w:val="28"/>
          <w:szCs w:val="28"/>
          <w:lang w:eastAsia="ru-RU"/>
        </w:rPr>
        <w:br/>
        <w:t>1 411 нарушений.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Графическое отображение структуры </w:t>
      </w:r>
      <w:r>
        <w:rPr>
          <w:rFonts w:ascii="Times New Roman" w:eastAsia="Times New Roman" w:hAnsi="Times New Roman"/>
          <w:bCs/>
          <w:color w:val="000000" w:themeColor="text1"/>
          <w:sz w:val="28"/>
          <w:szCs w:val="28"/>
          <w:lang w:eastAsia="ru-RU"/>
        </w:rPr>
        <w:t>нарушений (удельный вес нарушений), выявленных по данному направлению деятельности, от общего количества нарушений, выявленных по результатам проверок,</w:t>
      </w:r>
      <w:r>
        <w:rPr>
          <w:rFonts w:ascii="Times New Roman" w:eastAsia="Times New Roman" w:hAnsi="Times New Roman"/>
          <w:color w:val="000000" w:themeColor="text1"/>
          <w:sz w:val="28"/>
          <w:szCs w:val="28"/>
          <w:lang w:eastAsia="ru-RU"/>
        </w:rPr>
        <w:t xml:space="preserve"> проведенных 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bCs/>
          <w:color w:val="000000" w:themeColor="text1"/>
          <w:sz w:val="28"/>
          <w:szCs w:val="28"/>
          <w:lang w:eastAsia="ru-RU"/>
        </w:rPr>
        <w:t>в ТОФК и</w:t>
      </w:r>
      <w:r>
        <w:rPr>
          <w:rFonts w:ascii="Times New Roman" w:eastAsia="Times New Roman" w:hAnsi="Times New Roman"/>
          <w:color w:val="000000" w:themeColor="text1"/>
          <w:sz w:val="28"/>
          <w:szCs w:val="28"/>
          <w:lang w:eastAsia="ru-RU"/>
        </w:rPr>
        <w:t xml:space="preserve"> ФКУ «ЦОКР»</w:t>
      </w:r>
      <w:r>
        <w:rPr>
          <w:rFonts w:ascii="Times New Roman" w:eastAsia="Times New Roman" w:hAnsi="Times New Roman"/>
          <w:bCs/>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представлено на</w:t>
      </w:r>
      <w:r>
        <w:rPr>
          <w:rFonts w:ascii="Times New Roman" w:hAnsi="Times New Roman"/>
          <w:color w:val="000000" w:themeColor="text1"/>
          <w:sz w:val="28"/>
          <w:szCs w:val="28"/>
        </w:rPr>
        <w:t xml:space="preserve"> диаграмме 57.</w:t>
      </w:r>
    </w:p>
    <w:p>
      <w:pPr>
        <w:keepNext/>
        <w:spacing w:before="120" w:after="120" w:line="240" w:lineRule="auto"/>
        <w:ind w:firstLine="6946"/>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57</w:t>
      </w:r>
    </w:p>
    <w:p>
      <w:pPr>
        <w:keepNext/>
        <w:spacing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Структура нарушений, выявленных УВК(А)</w:t>
      </w:r>
      <w:proofErr w:type="spellStart"/>
      <w:r>
        <w:rPr>
          <w:rFonts w:ascii="Times New Roman" w:hAnsi="Times New Roman"/>
          <w:b/>
          <w:color w:val="000000" w:themeColor="text1"/>
          <w:sz w:val="28"/>
          <w:szCs w:val="28"/>
        </w:rPr>
        <w:t>иОЭД</w:t>
      </w:r>
      <w:proofErr w:type="spellEnd"/>
      <w:r>
        <w:rPr>
          <w:rFonts w:ascii="Times New Roman" w:hAnsi="Times New Roman"/>
          <w:b/>
          <w:color w:val="000000" w:themeColor="text1"/>
          <w:sz w:val="28"/>
          <w:szCs w:val="28"/>
        </w:rPr>
        <w:t xml:space="preserve"> в ТОФК, </w:t>
      </w:r>
    </w:p>
    <w:p>
      <w:pPr>
        <w:keepNext/>
        <w:spacing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ФКУ «ЦОКР», %</w:t>
      </w:r>
    </w:p>
    <w:p>
      <w:pPr>
        <w:jc w:val="center"/>
        <w:rPr>
          <w:rFonts w:ascii="Times New Roman" w:hAnsi="Times New Roman"/>
          <w:color w:val="000000" w:themeColor="text1"/>
        </w:rPr>
      </w:pPr>
      <w:r>
        <w:rPr>
          <w:rFonts w:ascii="Times New Roman" w:hAnsi="Times New Roman"/>
          <w:noProof/>
          <w:color w:val="000000" w:themeColor="text1"/>
          <w:lang w:eastAsia="ru-RU"/>
        </w:rPr>
        <w:drawing>
          <wp:inline distT="0" distB="0" distL="0" distR="0">
            <wp:extent cx="5645426" cy="3458818"/>
            <wp:effectExtent l="0" t="0" r="12700" b="2794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итогам контрольно-аудиторских мероприятий, проведенных 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 xml:space="preserve">, установлены следующие наиболее </w:t>
      </w:r>
      <w:proofErr w:type="spellStart"/>
      <w:r>
        <w:rPr>
          <w:rFonts w:ascii="Times New Roman" w:eastAsia="Times New Roman" w:hAnsi="Times New Roman"/>
          <w:color w:val="000000" w:themeColor="text1"/>
          <w:sz w:val="28"/>
          <w:szCs w:val="28"/>
          <w:lang w:eastAsia="ru-RU"/>
        </w:rPr>
        <w:t>рискоемкие</w:t>
      </w:r>
      <w:proofErr w:type="spellEnd"/>
      <w:r>
        <w:rPr>
          <w:rFonts w:ascii="Times New Roman" w:eastAsia="Times New Roman" w:hAnsi="Times New Roman"/>
          <w:color w:val="000000" w:themeColor="text1"/>
          <w:sz w:val="28"/>
          <w:szCs w:val="28"/>
          <w:lang w:eastAsia="ru-RU"/>
        </w:rPr>
        <w:t xml:space="preserve"> направления деятельности (по которым выявлено наибольшее количество нарушений):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организация работы в сфере закупок товаров, работ, услуг </w:t>
      </w:r>
      <w:r>
        <w:rPr>
          <w:rFonts w:ascii="Times New Roman" w:eastAsia="Times New Roman" w:hAnsi="Times New Roman"/>
          <w:color w:val="000000" w:themeColor="text1"/>
          <w:sz w:val="28"/>
          <w:szCs w:val="28"/>
          <w:lang w:eastAsia="ru-RU"/>
        </w:rPr>
        <w:br/>
        <w:t>для государственных нужд;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административно-хозяйственное обеспечение деятельности;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ведение бюджетного, налогового и управленческого учета </w:t>
      </w:r>
      <w:r>
        <w:rPr>
          <w:rFonts w:ascii="Times New Roman" w:eastAsia="Times New Roman" w:hAnsi="Times New Roman"/>
          <w:color w:val="000000" w:themeColor="text1"/>
          <w:sz w:val="28"/>
          <w:szCs w:val="28"/>
          <w:lang w:eastAsia="ru-RU"/>
        </w:rPr>
        <w:br/>
        <w:t>при исполнении бюджетной сметы;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организация кадровой работы.</w:t>
      </w:r>
    </w:p>
    <w:p>
      <w:pPr>
        <w:spacing w:after="0" w:line="360" w:lineRule="atLeast"/>
        <w:ind w:right="-1"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контрольно-аудиторскими подразделениями ТОФК, ФКУ «ЦОКР» организовано и проведено 1 091 контрольное мероприятие </w:t>
      </w:r>
      <w:r>
        <w:rPr>
          <w:rFonts w:ascii="Times New Roman" w:eastAsia="Times New Roman" w:hAnsi="Times New Roman"/>
          <w:color w:val="000000" w:themeColor="text1"/>
          <w:sz w:val="28"/>
          <w:szCs w:val="28"/>
          <w:lang w:eastAsia="ru-RU"/>
        </w:rPr>
        <w:br/>
        <w:t>в структурных подразделениях, в ходе которых выявлено 1 675 нарушений.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Графическое отображение структуры нарушений (удельный вес нарушений), выявленных по результатам проверок, проведенных контрольно-аудиторскими подразделениями ТОФК и ФКУ «ЦОКР» </w:t>
      </w:r>
      <w:r>
        <w:rPr>
          <w:rFonts w:ascii="Times New Roman" w:eastAsia="Times New Roman" w:hAnsi="Times New Roman"/>
          <w:color w:val="000000" w:themeColor="text1"/>
          <w:sz w:val="28"/>
          <w:szCs w:val="28"/>
          <w:lang w:eastAsia="ru-RU"/>
        </w:rPr>
        <w:br/>
        <w:t>в структурных подразделениях в 2016 году, представлено</w:t>
      </w:r>
      <w:r>
        <w:rPr>
          <w:rFonts w:ascii="Times New Roman" w:hAnsi="Times New Roman"/>
          <w:color w:val="000000" w:themeColor="text1"/>
          <w:sz w:val="28"/>
          <w:szCs w:val="28"/>
        </w:rPr>
        <w:t xml:space="preserve"> на диаграмме 58.</w:t>
      </w:r>
    </w:p>
    <w:p>
      <w:pPr>
        <w:keepNext/>
        <w:spacing w:before="120" w:after="120" w:line="240" w:lineRule="auto"/>
        <w:ind w:firstLine="6946"/>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58</w:t>
      </w:r>
    </w:p>
    <w:p>
      <w:pPr>
        <w:keepNext/>
        <w:spacing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Структура нарушений, выявленных контрольно-аудиторскими подразделениями ТОФК, ФКУ «ЦОКР» в структурных подразделениях, %</w:t>
      </w:r>
    </w:p>
    <w:p>
      <w:pPr>
        <w:spacing w:before="120" w:after="240"/>
        <w:jc w:val="center"/>
        <w:rPr>
          <w:rFonts w:ascii="Times New Roman" w:hAnsi="Times New Roman"/>
          <w:color w:val="000000" w:themeColor="text1"/>
        </w:rPr>
      </w:pPr>
      <w:r>
        <w:rPr>
          <w:rFonts w:ascii="Times New Roman" w:hAnsi="Times New Roman"/>
          <w:noProof/>
          <w:color w:val="000000" w:themeColor="text1"/>
          <w:lang w:eastAsia="ru-RU"/>
        </w:rPr>
        <w:drawing>
          <wp:inline distT="0" distB="0" distL="0" distR="0">
            <wp:extent cx="5852160" cy="4134679"/>
            <wp:effectExtent l="0" t="0" r="15240" b="18415"/>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итогам контрольно-аудиторских мероприятий, проведенных отделами внутреннего контроля и аудита ТОФК и ФКУ «ЦОКР» </w:t>
      </w:r>
      <w:r>
        <w:rPr>
          <w:rFonts w:ascii="Times New Roman" w:eastAsia="Times New Roman" w:hAnsi="Times New Roman"/>
          <w:color w:val="000000" w:themeColor="text1"/>
          <w:sz w:val="28"/>
          <w:szCs w:val="28"/>
          <w:lang w:eastAsia="ru-RU"/>
        </w:rPr>
        <w:br/>
        <w:t xml:space="preserve">в структурных подразделениях, наиболее </w:t>
      </w:r>
      <w:proofErr w:type="spellStart"/>
      <w:r>
        <w:rPr>
          <w:rFonts w:ascii="Times New Roman" w:eastAsia="Times New Roman" w:hAnsi="Times New Roman"/>
          <w:color w:val="000000" w:themeColor="text1"/>
          <w:sz w:val="28"/>
          <w:szCs w:val="28"/>
          <w:lang w:eastAsia="ru-RU"/>
        </w:rPr>
        <w:t>рискоемкими</w:t>
      </w:r>
      <w:proofErr w:type="spellEnd"/>
      <w:r>
        <w:rPr>
          <w:rFonts w:ascii="Times New Roman" w:eastAsia="Times New Roman" w:hAnsi="Times New Roman"/>
          <w:color w:val="000000" w:themeColor="text1"/>
          <w:sz w:val="28"/>
          <w:szCs w:val="28"/>
          <w:lang w:eastAsia="ru-RU"/>
        </w:rPr>
        <w:t xml:space="preserve"> направлениями деятельности являются: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административно-хозяйственное обеспечение деятельности;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организация работы в сфере закупок товаров, работ, услуг </w:t>
      </w:r>
      <w:r>
        <w:rPr>
          <w:rFonts w:ascii="Times New Roman" w:eastAsia="Times New Roman" w:hAnsi="Times New Roman"/>
          <w:color w:val="000000" w:themeColor="text1"/>
          <w:sz w:val="28"/>
          <w:szCs w:val="28"/>
          <w:lang w:eastAsia="ru-RU"/>
        </w:rPr>
        <w:br/>
        <w:t>для государственных нужд;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осуществление и учет операций со средствами федерального бюджета, средствами дополнительного бюджетного финансирования, средствами, поступающими во временное распоряжение получателей средств федерального бюджета, средствами бюджета Союзного государства, средствами для финансирования мероприятий по оперативно-розыскной деятельности, средствами федеральных бюджетных (автономных) учреждений, средствами обязательного медицинского страхования, поступающими в адрес федеральных бюджетных (автономных) учреждений, и иных НУБП;</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организация кадровой работы.</w:t>
      </w:r>
    </w:p>
    <w:p>
      <w:pPr>
        <w:spacing w:after="0" w:line="360" w:lineRule="atLeast"/>
        <w:ind w:right="-1"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контрольно-аудиторскими подразделениями ТОФК </w:t>
      </w:r>
      <w:r>
        <w:rPr>
          <w:rFonts w:ascii="Times New Roman" w:eastAsia="Times New Roman" w:hAnsi="Times New Roman"/>
          <w:color w:val="000000" w:themeColor="text1"/>
          <w:sz w:val="28"/>
          <w:szCs w:val="28"/>
          <w:lang w:eastAsia="ru-RU"/>
        </w:rPr>
        <w:br/>
        <w:t xml:space="preserve">и ФКУ «ЦОКР» организовано и проведено 1 159 контрольных </w:t>
      </w:r>
      <w:r>
        <w:rPr>
          <w:rFonts w:ascii="Times New Roman" w:eastAsia="Times New Roman" w:hAnsi="Times New Roman"/>
          <w:color w:val="000000" w:themeColor="text1"/>
          <w:sz w:val="28"/>
          <w:szCs w:val="28"/>
          <w:lang w:eastAsia="ru-RU"/>
        </w:rPr>
        <w:br/>
        <w:t>и аудиторских мероприятий в территориальных отделах, в ходе которых выявлено 6</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300 нарушений.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Графическое отображение структуры нарушений (удельный вес нарушений), выявленных по результатам проверок, проведенных </w:t>
      </w:r>
      <w:r>
        <w:rPr>
          <w:rFonts w:ascii="Times New Roman" w:eastAsia="Times New Roman" w:hAnsi="Times New Roman"/>
          <w:color w:val="000000" w:themeColor="text1"/>
          <w:sz w:val="28"/>
          <w:szCs w:val="28"/>
          <w:lang w:eastAsia="ru-RU"/>
        </w:rPr>
        <w:br/>
        <w:t xml:space="preserve">контрольно-аудиторскими подразделениями ТОФК и ФКУ «ЦОКР» </w:t>
      </w:r>
      <w:r>
        <w:rPr>
          <w:rFonts w:ascii="Times New Roman" w:eastAsia="Times New Roman" w:hAnsi="Times New Roman"/>
          <w:color w:val="000000" w:themeColor="text1"/>
          <w:sz w:val="28"/>
          <w:szCs w:val="28"/>
          <w:lang w:eastAsia="ru-RU"/>
        </w:rPr>
        <w:br/>
        <w:t>в территориальных отделах, представлено</w:t>
      </w:r>
      <w:r>
        <w:rPr>
          <w:rFonts w:ascii="Times New Roman" w:hAnsi="Times New Roman"/>
          <w:color w:val="000000" w:themeColor="text1"/>
          <w:sz w:val="28"/>
          <w:szCs w:val="28"/>
        </w:rPr>
        <w:t xml:space="preserve"> на диаграмме 59.</w:t>
      </w:r>
    </w:p>
    <w:p>
      <w:pPr>
        <w:spacing w:before="120" w:after="120" w:line="240" w:lineRule="auto"/>
        <w:ind w:firstLine="6946"/>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59</w:t>
      </w:r>
    </w:p>
    <w:p>
      <w:pPr>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Структура нарушений, выявленных контрольно-аудиторскими подразделениями ТОФК, ФКУ «ЦОКР» в территориальных отделах, %</w:t>
      </w:r>
    </w:p>
    <w:p>
      <w:pPr>
        <w:spacing w:line="160" w:lineRule="atLeast"/>
        <w:jc w:val="center"/>
        <w:rPr>
          <w:rFonts w:ascii="Times New Roman" w:hAnsi="Times New Roman"/>
          <w:color w:val="000000" w:themeColor="text1"/>
        </w:rPr>
      </w:pPr>
      <w:r>
        <w:rPr>
          <w:rFonts w:ascii="Times New Roman" w:hAnsi="Times New Roman"/>
          <w:noProof/>
          <w:color w:val="000000" w:themeColor="text1"/>
          <w:lang w:eastAsia="ru-RU"/>
        </w:rPr>
        <w:drawing>
          <wp:inline distT="0" distB="0" distL="0" distR="0">
            <wp:extent cx="5136543" cy="2520564"/>
            <wp:effectExtent l="0" t="0" r="26035" b="13335"/>
            <wp:docPr id="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итогам контрольно-аудиторских мероприятий, проведенных отделами внутреннего контроля и аудита ТОФК, ФКУ «ЦОКР» </w:t>
      </w:r>
      <w:r>
        <w:rPr>
          <w:rFonts w:ascii="Times New Roman" w:eastAsia="Times New Roman" w:hAnsi="Times New Roman"/>
          <w:color w:val="000000" w:themeColor="text1"/>
          <w:sz w:val="28"/>
          <w:szCs w:val="28"/>
          <w:lang w:eastAsia="ru-RU"/>
        </w:rPr>
        <w:br/>
        <w:t xml:space="preserve">в территориальных отделах, установлены следующие наиболее </w:t>
      </w:r>
      <w:proofErr w:type="spellStart"/>
      <w:r>
        <w:rPr>
          <w:rFonts w:ascii="Times New Roman" w:eastAsia="Times New Roman" w:hAnsi="Times New Roman"/>
          <w:color w:val="000000" w:themeColor="text1"/>
          <w:sz w:val="28"/>
          <w:szCs w:val="28"/>
          <w:lang w:eastAsia="ru-RU"/>
        </w:rPr>
        <w:t>рискоемкие</w:t>
      </w:r>
      <w:proofErr w:type="spellEnd"/>
      <w:r>
        <w:rPr>
          <w:rFonts w:ascii="Times New Roman" w:eastAsia="Times New Roman" w:hAnsi="Times New Roman"/>
          <w:color w:val="000000" w:themeColor="text1"/>
          <w:sz w:val="28"/>
          <w:szCs w:val="28"/>
          <w:lang w:eastAsia="ru-RU"/>
        </w:rPr>
        <w:t xml:space="preserve"> направления деятельности территориальных отделов: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кассовое обслуживание исполнения бюджета субъекта Российской Федерации (местных бюджетов), бюджетов ГВФ РФ;</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осуществление и учет операций со средствами федерального бюджета, средствами дополнительного бюджетного финансирования, средствами, поступающими во временное распоряжение получателей средств федерального бюджета, средствами бюджета Союзного государства, средствами для финансирования мероприятий по оперативно-розыскной деятельности, средствами федеральных бюджетных (автономных) учреждений, средствами обязательного медицинского страхования, поступающими в адрес федеральных бюджетных (автономных) учреждений, и иных НУБП;</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организация и осуществление электронных расчетов в системе банковских расчетов между ТОФК и подразделением Банка России, кредитными организациями;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административно-хозяйственное обеспечение деятельности.</w:t>
      </w:r>
    </w:p>
    <w:p>
      <w:pPr>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sz w:val="28"/>
          <w:szCs w:val="28"/>
          <w:lang w:eastAsia="ru-RU"/>
        </w:rPr>
        <w:t xml:space="preserve">Материалы по результатам проведенных в 2016 году контрольно-аудиторских мероприятий рассмотрены на заседаниях Контрольного совета </w:t>
      </w:r>
      <w:r>
        <w:rPr>
          <w:rFonts w:ascii="Times New Roman" w:eastAsia="Times New Roman" w:hAnsi="Times New Roman"/>
          <w:color w:val="000000" w:themeColor="text1"/>
          <w:sz w:val="28"/>
          <w:szCs w:val="28"/>
          <w:lang w:eastAsia="ru-RU"/>
        </w:rPr>
        <w:t>Федерального казначейства, ТОФК, ФКУ «ЦОКР» (далее – Контрольный совет).</w:t>
      </w:r>
    </w:p>
    <w:p>
      <w:pPr>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Контрольный совет создается руководителем органа</w:t>
      </w:r>
      <w:r>
        <w:rPr>
          <w:rFonts w:ascii="Times New Roman" w:eastAsia="Times New Roman" w:hAnsi="Times New Roman"/>
          <w:color w:val="000000" w:themeColor="text1"/>
          <w:sz w:val="24"/>
          <w:szCs w:val="24"/>
          <w:lang w:eastAsia="ru-RU"/>
        </w:rPr>
        <w:t xml:space="preserve"> </w:t>
      </w:r>
      <w:r>
        <w:rPr>
          <w:rFonts w:ascii="Times New Roman" w:eastAsia="Times New Roman" w:hAnsi="Times New Roman"/>
          <w:color w:val="000000" w:themeColor="text1"/>
          <w:sz w:val="28"/>
          <w:szCs w:val="28"/>
          <w:lang w:eastAsia="ru-RU"/>
        </w:rPr>
        <w:t xml:space="preserve">Федерального казначейства с целью коллегиального рассмотрения результатов проведенных контрольных и аудиторских мероприятий, обеспечения контроля выполнения принятых управленческих решений по результатам проведения контрольных и аудиторских мероприятий, а также подготовки рекомендаций по предупреждению и устранению нарушений и недостатков в деятельности структурных подразделений ТОФК и ФКУ «ЦОКР» </w:t>
      </w:r>
      <w:r>
        <w:rPr>
          <w:rFonts w:ascii="Times New Roman" w:eastAsia="Times New Roman" w:hAnsi="Times New Roman"/>
          <w:color w:val="000000" w:themeColor="text1"/>
          <w:sz w:val="28"/>
          <w:szCs w:val="28"/>
          <w:lang w:eastAsia="ru-RU"/>
        </w:rPr>
        <w:br/>
        <w:t>по совершенствованию их системы управления.</w:t>
      </w:r>
    </w:p>
    <w:p>
      <w:pPr>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sz w:val="28"/>
          <w:szCs w:val="28"/>
          <w:lang w:eastAsia="ru-RU"/>
        </w:rPr>
        <w:t>В</w:t>
      </w:r>
      <w:r>
        <w:rPr>
          <w:rFonts w:ascii="Times New Roman" w:eastAsia="Times New Roman" w:hAnsi="Times New Roman"/>
          <w:color w:val="000000" w:themeColor="text1"/>
          <w:sz w:val="28"/>
          <w:szCs w:val="28"/>
          <w:lang w:eastAsia="ru-RU"/>
        </w:rPr>
        <w:t xml:space="preserve"> 2016 году в Федеральном казначействе проведено 17 заседаний Контрольного совета, на которых рассмотрены материалы:</w:t>
      </w:r>
    </w:p>
    <w:p>
      <w:pPr>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36 </w:t>
      </w:r>
      <w:r>
        <w:rPr>
          <w:rFonts w:ascii="Times New Roman" w:eastAsia="Times New Roman" w:hAnsi="Times New Roman"/>
          <w:bCs/>
          <w:color w:val="000000" w:themeColor="text1"/>
          <w:sz w:val="28"/>
          <w:szCs w:val="28"/>
          <w:lang w:eastAsia="ru-RU"/>
        </w:rPr>
        <w:t>контрольно-аудиторских мероприятий, проведенных УВК(А)</w:t>
      </w:r>
      <w:proofErr w:type="spellStart"/>
      <w:r>
        <w:rPr>
          <w:rFonts w:ascii="Times New Roman" w:eastAsia="Times New Roman" w:hAnsi="Times New Roman"/>
          <w:bCs/>
          <w:color w:val="000000" w:themeColor="text1"/>
          <w:sz w:val="28"/>
          <w:szCs w:val="28"/>
          <w:lang w:eastAsia="ru-RU"/>
        </w:rPr>
        <w:t>иОЭД</w:t>
      </w:r>
      <w:proofErr w:type="spellEnd"/>
      <w:r>
        <w:rPr>
          <w:rFonts w:ascii="Times New Roman" w:eastAsia="Times New Roman" w:hAnsi="Times New Roman"/>
          <w:bCs/>
          <w:color w:val="000000" w:themeColor="text1"/>
          <w:sz w:val="28"/>
          <w:szCs w:val="28"/>
          <w:lang w:eastAsia="ru-RU"/>
        </w:rPr>
        <w:t xml:space="preserve"> в ТОФК (в том числе, 6</w:t>
      </w:r>
      <w:r>
        <w:rPr>
          <w:rFonts w:ascii="Times New Roman" w:eastAsia="Times New Roman" w:hAnsi="Times New Roman"/>
          <w:color w:val="000000" w:themeColor="text1"/>
          <w:sz w:val="24"/>
          <w:szCs w:val="24"/>
          <w:lang w:eastAsia="ru-RU"/>
        </w:rPr>
        <w:t xml:space="preserve"> </w:t>
      </w:r>
      <w:r>
        <w:rPr>
          <w:rFonts w:ascii="Times New Roman" w:eastAsia="Times New Roman" w:hAnsi="Times New Roman"/>
          <w:bCs/>
          <w:color w:val="000000" w:themeColor="text1"/>
          <w:sz w:val="28"/>
          <w:szCs w:val="28"/>
          <w:lang w:eastAsia="ru-RU"/>
        </w:rPr>
        <w:t>контрольно-аудиторских мероприятий проведенных в 2015 году)</w:t>
      </w:r>
      <w:r>
        <w:rPr>
          <w:rFonts w:ascii="Times New Roman" w:eastAsia="Times New Roman" w:hAnsi="Times New Roman"/>
          <w:color w:val="000000" w:themeColor="text1"/>
          <w:sz w:val="28"/>
          <w:szCs w:val="28"/>
          <w:lang w:eastAsia="ru-RU"/>
        </w:rPr>
        <w:t>;</w:t>
      </w:r>
    </w:p>
    <w:p>
      <w:pPr>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проверки, проведенной Территориальным управлением Федеральной службы финансово-бюджетного надзора.</w:t>
      </w:r>
    </w:p>
    <w:p>
      <w:pPr>
        <w:autoSpaceDE w:val="0"/>
        <w:autoSpaceDN w:val="0"/>
        <w:adjustRightInd w:val="0"/>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итогам проведенных заседаний Контрольного совета Федерального казначейства подготовлены 37 протоколов, направлено </w:t>
      </w:r>
      <w:r>
        <w:rPr>
          <w:rFonts w:ascii="Times New Roman" w:eastAsia="Times New Roman" w:hAnsi="Times New Roman"/>
          <w:color w:val="000000" w:themeColor="text1"/>
          <w:sz w:val="28"/>
          <w:szCs w:val="28"/>
          <w:lang w:eastAsia="ru-RU"/>
        </w:rPr>
        <w:br/>
        <w:t>и взято на контроль 176 поручений руководителя Федерального казначейства, из них 63 поручения в адрес структурных подразделений ЦАФК и 113 поручений в адрес ТОФК.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ходе рассмотрения на заседаниях Контрольного совета материалов контрольных мероприятий представляются предложения по внесению изменений в НПА Минфина России и Федерального казначейства, инициируется необходимость актуализации, либо отмены системных рекомендательных писем, направленных в ТОФК в предыдущие периоды.</w:t>
      </w:r>
    </w:p>
    <w:p>
      <w:pPr>
        <w:spacing w:after="0" w:line="360" w:lineRule="atLeast"/>
        <w:ind w:firstLine="709"/>
        <w:jc w:val="both"/>
        <w:outlineLvl w:val="0"/>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течение 2016 года осуществлялись мониторинг, анализ </w:t>
      </w:r>
      <w:r>
        <w:rPr>
          <w:rFonts w:ascii="Times New Roman" w:eastAsia="Times New Roman" w:hAnsi="Times New Roman"/>
          <w:color w:val="000000" w:themeColor="text1"/>
          <w:sz w:val="28"/>
          <w:szCs w:val="28"/>
          <w:lang w:eastAsia="ru-RU"/>
        </w:rPr>
        <w:br/>
        <w:t>и систематизация результатов контрольных мероприятий, проведенных органами государственного контроля (надзора) в ТОФК.</w:t>
      </w:r>
    </w:p>
    <w:p>
      <w:pPr>
        <w:spacing w:after="0" w:line="360" w:lineRule="atLeast"/>
        <w:ind w:right="-1"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целях кадрового обеспечения контрольных и аудиторских мероприятий, назначаемых ЦАФК, повышения качества материалов, подготавливаемых по итогам контрольных и аудиторских мероприятий, сформирован и 25 ноября 2015 года утвержден руководителем </w:t>
      </w:r>
      <w:r>
        <w:rPr>
          <w:rFonts w:ascii="Times New Roman" w:hAnsi="Times New Roman"/>
          <w:color w:val="000000" w:themeColor="text1"/>
          <w:sz w:val="28"/>
          <w:szCs w:val="28"/>
          <w:lang w:eastAsia="ru-RU"/>
        </w:rPr>
        <w:lastRenderedPageBreak/>
        <w:t xml:space="preserve">Федерального казначейства Р.Е. Артюхиным резерв сотрудников структурных подразделений ЦАФК, ТОФК и ФКУ «ЦОКР», привлекаемых к контрольной и аудиторской деятельности Федерального казначейства (далее – пул контролеров и аудиторов). В 2016 году на ежеквартальной основе руководителем Федерального казначейства Р.Е. Артюхиным утверждался уточненный состав пула контролеров и аудиторов Федерального казначейства, соответственно, 29 марта, 28 июня, 29 сентября, 30 ноября 2016 года. В настоящее время </w:t>
      </w:r>
      <w:r>
        <w:rPr>
          <w:rFonts w:ascii="Times New Roman" w:eastAsia="Times New Roman" w:hAnsi="Times New Roman"/>
          <w:color w:val="000000" w:themeColor="text1"/>
          <w:sz w:val="28"/>
          <w:szCs w:val="28"/>
          <w:lang w:eastAsia="ru-RU"/>
        </w:rPr>
        <w:t>численность пула контролеров и аудиторов составляет 430 сотрудников ТОФК, ФКУ «ЦОКР» и 2 сотрудника ЦАФК, не являющихся сотрудниками 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Сотрудниками из состава пула контролеров и аудиторов обеспечено проведение не менее 75 % контрольных и аудиторских мероприятий деятельности ТОФК и ФКУ «ЦОКР».</w:t>
      </w:r>
    </w:p>
    <w:p>
      <w:pPr>
        <w:spacing w:after="0" w:line="360" w:lineRule="atLeast"/>
        <w:ind w:right="-1"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выявления потенциальных объектов внутреннего контроля </w:t>
      </w:r>
      <w:r>
        <w:rPr>
          <w:rFonts w:ascii="Times New Roman" w:eastAsia="Times New Roman" w:hAnsi="Times New Roman"/>
          <w:color w:val="000000" w:themeColor="text1"/>
          <w:sz w:val="28"/>
          <w:szCs w:val="28"/>
          <w:lang w:eastAsia="ru-RU"/>
        </w:rPr>
        <w:br/>
        <w:t xml:space="preserve">и внутреннего аудита, отклонения в работе которых от регламентных параметров могут негативно отразиться на деятельности объекта внутреннего контроля и внутреннего аудита и Федерального казначейства </w:t>
      </w:r>
      <w:r>
        <w:rPr>
          <w:rFonts w:ascii="Times New Roman" w:eastAsia="Times New Roman" w:hAnsi="Times New Roman"/>
          <w:color w:val="000000" w:themeColor="text1"/>
          <w:sz w:val="28"/>
          <w:szCs w:val="28"/>
          <w:lang w:eastAsia="ru-RU"/>
        </w:rPr>
        <w:br/>
        <w:t>в целом, разработана и утверждена заместителем руководителя Федерального казначейства А.Ю. Демидовым Модель риск-ориентированного внутреннего контроля и внутреннего аудита Федерального казначейства.</w:t>
      </w:r>
    </w:p>
    <w:p>
      <w:pPr>
        <w:spacing w:after="0" w:line="360" w:lineRule="atLeast"/>
        <w:ind w:firstLine="709"/>
        <w:jc w:val="both"/>
        <w:outlineLvl w:val="0"/>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Организованы и подведены итоги конкурсов на звание «Лучший внутренний аудитор Казначейства России», «Лучшее контрольно-аудиторское подразделение Казначейства России», а также конкурс </w:t>
      </w:r>
      <w:r>
        <w:rPr>
          <w:rFonts w:ascii="Times New Roman" w:eastAsia="Times New Roman" w:hAnsi="Times New Roman"/>
          <w:color w:val="000000" w:themeColor="text1"/>
          <w:sz w:val="28"/>
          <w:szCs w:val="28"/>
          <w:lang w:eastAsia="ru-RU"/>
        </w:rPr>
        <w:br/>
        <w:t xml:space="preserve">на лучшее освещение в средствах массовой информации деятельности </w:t>
      </w:r>
      <w:r>
        <w:rPr>
          <w:rFonts w:ascii="Times New Roman" w:eastAsia="Times New Roman" w:hAnsi="Times New Roman"/>
          <w:color w:val="000000" w:themeColor="text1"/>
          <w:sz w:val="28"/>
          <w:szCs w:val="28"/>
          <w:lang w:eastAsia="ru-RU"/>
        </w:rPr>
        <w:br/>
        <w:t xml:space="preserve">по осуществлению внутреннего контроля и внутреннего аудита </w:t>
      </w:r>
      <w:r>
        <w:rPr>
          <w:rFonts w:ascii="Times New Roman" w:eastAsia="Times New Roman" w:hAnsi="Times New Roman"/>
          <w:color w:val="000000" w:themeColor="text1"/>
          <w:sz w:val="28"/>
          <w:szCs w:val="28"/>
          <w:lang w:eastAsia="ru-RU"/>
        </w:rPr>
        <w:br/>
        <w:t>в Федеральном казначействе и его территориальных органах.</w:t>
      </w:r>
    </w:p>
    <w:p>
      <w:pPr>
        <w:spacing w:before="120" w:after="120" w:line="240" w:lineRule="auto"/>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5.3.2. Организация информационного взаимодействия с органами государственного и муниципального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заключенного 16 мая 2014 года Соглашения </w:t>
      </w:r>
      <w:r>
        <w:rPr>
          <w:rFonts w:ascii="Times New Roman" w:hAnsi="Times New Roman"/>
          <w:color w:val="000000" w:themeColor="text1"/>
          <w:sz w:val="28"/>
          <w:szCs w:val="28"/>
        </w:rPr>
        <w:br/>
        <w:t xml:space="preserve">об информационном взаимодействии Счетной палаты Российской Федерации (далее – Счетная палата) и Федерального казначейства обеспечивается доступ Счетной палаты к информационным системам, оператором которых является Федеральное казначейство, в целях осуществления Счетной палатой полномочий по внешнему государственному контролю (аудиту) в соответствии с положениями Бюджетного кодекса и Федерального закона </w:t>
      </w:r>
      <w:r>
        <w:rPr>
          <w:rFonts w:ascii="Times New Roman" w:hAnsi="Times New Roman"/>
          <w:color w:val="000000" w:themeColor="text1"/>
          <w:sz w:val="28"/>
        </w:rPr>
        <w:t xml:space="preserve">от 5 апреля 2013 г. № 41-ФЗ </w:t>
      </w:r>
      <w:r>
        <w:rPr>
          <w:rFonts w:ascii="Times New Roman" w:hAnsi="Times New Roman"/>
          <w:color w:val="000000" w:themeColor="text1"/>
          <w:sz w:val="28"/>
        </w:rPr>
        <w:br/>
      </w:r>
      <w:r>
        <w:rPr>
          <w:rFonts w:ascii="Times New Roman" w:hAnsi="Times New Roman"/>
          <w:color w:val="000000" w:themeColor="text1"/>
          <w:sz w:val="28"/>
          <w:szCs w:val="28"/>
        </w:rPr>
        <w:t>«О Счетной палате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Соглашение регламентирует вопросы информационного взаимодействия сторон при передаче в Счетную палату информации </w:t>
      </w:r>
      <w:r>
        <w:rPr>
          <w:rFonts w:ascii="Times New Roman" w:hAnsi="Times New Roman"/>
          <w:color w:val="000000" w:themeColor="text1"/>
          <w:sz w:val="28"/>
          <w:szCs w:val="28"/>
        </w:rPr>
        <w:br/>
        <w:t xml:space="preserve">об осуществлении операций со средствами федерального бюджета, а также отчетных и иных документов Федерального казначейства по исполнению федерального бюджета и при передаче в Федеральное казначейство информации о контрольных и экспертно-аналитических мероприятиях </w:t>
      </w:r>
      <w:r>
        <w:rPr>
          <w:rFonts w:ascii="Times New Roman" w:hAnsi="Times New Roman"/>
          <w:color w:val="000000" w:themeColor="text1"/>
          <w:sz w:val="28"/>
          <w:szCs w:val="28"/>
        </w:rPr>
        <w:br/>
        <w:t>в отношении органов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связи с изменением положений отдельных НПА Министерства финансов Российской Федерации и Федерального казначейства в части порядка применения бюджетной классификации Российской Федерации при формировании и исполнении федерального бюджета и бюджетов государственных внебюджетных фондов 5 февраля 2016 года заключено Дополнительное соглашение № 2 к указанному Соглашению, которым изменен состав передаваемой информации, а также сроки, периодичность </w:t>
      </w:r>
      <w:r>
        <w:rPr>
          <w:rFonts w:ascii="Times New Roman" w:hAnsi="Times New Roman"/>
          <w:color w:val="000000" w:themeColor="text1"/>
          <w:sz w:val="28"/>
          <w:szCs w:val="28"/>
        </w:rPr>
        <w:br/>
        <w:t>и форматы ее передачи.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2016 году были продолжены работы по расширению взаимодействия территориальных органов Федерального казначейства </w:t>
      </w:r>
      <w:r>
        <w:rPr>
          <w:rFonts w:ascii="Times New Roman" w:hAnsi="Times New Roman"/>
          <w:color w:val="000000" w:themeColor="text1"/>
          <w:sz w:val="28"/>
          <w:szCs w:val="28"/>
        </w:rPr>
        <w:br/>
        <w:t xml:space="preserve">и контрольно-счетных органов (далее – КСО) субъектов Российской Федерации и муниципальных образований. Принципы и технологии такого взаимодействия определены примерной формой соглашения </w:t>
      </w:r>
      <w:r>
        <w:rPr>
          <w:rFonts w:ascii="Times New Roman" w:hAnsi="Times New Roman"/>
          <w:color w:val="000000" w:themeColor="text1"/>
          <w:sz w:val="28"/>
          <w:szCs w:val="28"/>
        </w:rPr>
        <w:br/>
        <w:t>об информационном взаимодействии между управлением Федерального казначейства по субъекту Российской Федерации и КСО субъекта Российской Федерации (муниципального образования), согласованной Председателем Счетной палаты С.В. Степашиным и руководителем Федерального казначейства Р.Е. Артюхиным 12 декабря 2011 года.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31 декабря 2016 года соглашения </w:t>
      </w:r>
      <w:r>
        <w:rPr>
          <w:rFonts w:ascii="Times New Roman" w:hAnsi="Times New Roman"/>
          <w:color w:val="000000" w:themeColor="text1"/>
          <w:sz w:val="28"/>
          <w:szCs w:val="28"/>
        </w:rPr>
        <w:br/>
        <w:t>об информационном взаимодействии между управлением Федерального казначейства по субъекту Российской Федерации и КСО субъекта Российской Федерации заключены во всех субъектах Российской Федерации (85), при этом при взаимодействии с 85 КСО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37 УФК по субъектам Российской Федерации (субъектам Российской Федерации, находящимся в границах федерального округа) осуществляли передачу информации, используя систему удаленного финансового документооборота Федерального казначейства (далее – СУФД) (≈ 43 % </w:t>
      </w:r>
      <w:r>
        <w:rPr>
          <w:rFonts w:ascii="Times New Roman" w:hAnsi="Times New Roman"/>
          <w:color w:val="000000" w:themeColor="text1"/>
          <w:sz w:val="28"/>
          <w:szCs w:val="28"/>
        </w:rPr>
        <w:br/>
        <w:t xml:space="preserve">от общего количества УФК, заключивших </w:t>
      </w:r>
      <w:r>
        <w:rPr>
          <w:rFonts w:ascii="Times New Roman" w:hAnsi="Times New Roman"/>
          <w:color w:val="000000" w:themeColor="text1"/>
          <w:sz w:val="28"/>
          <w:szCs w:val="28"/>
          <w:lang w:val="en-US"/>
        </w:rPr>
        <w:t>c</w:t>
      </w:r>
      <w:r>
        <w:rPr>
          <w:rFonts w:ascii="Times New Roman" w:hAnsi="Times New Roman"/>
          <w:color w:val="000000" w:themeColor="text1"/>
          <w:sz w:val="28"/>
          <w:szCs w:val="28"/>
        </w:rPr>
        <w:t>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 УФК передавало информацию в электронном виде, используя систему электронного документооборота Федерального казначейства (далее – СЭД ФК), что составляет ≈ 1 % от общего количества УФК, заключивших </w:t>
      </w:r>
      <w:r>
        <w:rPr>
          <w:rFonts w:ascii="Times New Roman" w:hAnsi="Times New Roman"/>
          <w:color w:val="000000" w:themeColor="text1"/>
          <w:sz w:val="28"/>
          <w:szCs w:val="28"/>
          <w:lang w:val="en-US"/>
        </w:rPr>
        <w:t>c</w:t>
      </w:r>
      <w:r>
        <w:rPr>
          <w:rFonts w:ascii="Times New Roman" w:hAnsi="Times New Roman"/>
          <w:color w:val="000000" w:themeColor="text1"/>
          <w:sz w:val="28"/>
          <w:szCs w:val="28"/>
        </w:rPr>
        <w:t>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15 УФК осуществляли передачу информации иными средствами (сеть Интернет, бумажные носители, внешние, магнитные носители) </w:t>
      </w:r>
      <w:r>
        <w:rPr>
          <w:rFonts w:ascii="Times New Roman" w:hAnsi="Times New Roman"/>
          <w:color w:val="000000" w:themeColor="text1"/>
          <w:sz w:val="28"/>
          <w:szCs w:val="28"/>
        </w:rPr>
        <w:br/>
        <w:t xml:space="preserve">без использования СЭД ФК и СУФД (≈ 18 % от общего количества УФК, заключивших </w:t>
      </w:r>
      <w:r>
        <w:rPr>
          <w:rFonts w:ascii="Times New Roman" w:hAnsi="Times New Roman"/>
          <w:color w:val="000000" w:themeColor="text1"/>
          <w:sz w:val="28"/>
          <w:szCs w:val="28"/>
          <w:lang w:val="en-US"/>
        </w:rPr>
        <w:t>c</w:t>
      </w:r>
      <w:r>
        <w:rPr>
          <w:rFonts w:ascii="Times New Roman" w:hAnsi="Times New Roman"/>
          <w:color w:val="000000" w:themeColor="text1"/>
          <w:sz w:val="28"/>
          <w:szCs w:val="28"/>
        </w:rPr>
        <w:t>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32 УФК не представляли в КСО сведения, предусмотренные примерными перечнями, прилагаемыми к </w:t>
      </w:r>
      <w:r>
        <w:rPr>
          <w:rFonts w:ascii="Times New Roman" w:hAnsi="Times New Roman"/>
          <w:color w:val="000000" w:themeColor="text1"/>
          <w:sz w:val="28"/>
          <w:szCs w:val="28"/>
          <w:lang w:val="en-US"/>
        </w:rPr>
        <w:t>c</w:t>
      </w:r>
      <w:r>
        <w:rPr>
          <w:rFonts w:ascii="Times New Roman" w:hAnsi="Times New Roman"/>
          <w:color w:val="000000" w:themeColor="text1"/>
          <w:sz w:val="28"/>
          <w:szCs w:val="28"/>
        </w:rPr>
        <w:t xml:space="preserve">оглашению, по причине отсутствия запросов от КСО субъекта Российской Федерации (≈ 38 % </w:t>
      </w:r>
      <w:r>
        <w:rPr>
          <w:rFonts w:ascii="Times New Roman" w:hAnsi="Times New Roman"/>
          <w:color w:val="000000" w:themeColor="text1"/>
          <w:sz w:val="28"/>
          <w:szCs w:val="28"/>
        </w:rPr>
        <w:br/>
        <w:t xml:space="preserve">от общего количества УФК, заключивших </w:t>
      </w:r>
      <w:r>
        <w:rPr>
          <w:rFonts w:ascii="Times New Roman" w:hAnsi="Times New Roman"/>
          <w:color w:val="000000" w:themeColor="text1"/>
          <w:sz w:val="28"/>
          <w:szCs w:val="28"/>
          <w:lang w:val="en-US"/>
        </w:rPr>
        <w:t>c</w:t>
      </w:r>
      <w:r>
        <w:rPr>
          <w:rFonts w:ascii="Times New Roman" w:hAnsi="Times New Roman"/>
          <w:color w:val="000000" w:themeColor="text1"/>
          <w:sz w:val="28"/>
          <w:szCs w:val="28"/>
        </w:rPr>
        <w:t>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Соответствующая диаграмма по итогам мониторинга взаимодействия с КСО субъектов Российской Федерации приведена на диаграмме 60.</w:t>
      </w:r>
    </w:p>
    <w:p>
      <w:pPr>
        <w:spacing w:after="0" w:line="360" w:lineRule="atLeast"/>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60</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Информация о способах передачи информации в рамках соглашений об информационном взаимодействии между УФК </w:t>
      </w:r>
      <w:r>
        <w:rPr>
          <w:rFonts w:ascii="Times New Roman" w:hAnsi="Times New Roman"/>
          <w:b/>
          <w:color w:val="000000" w:themeColor="text1"/>
          <w:sz w:val="28"/>
          <w:szCs w:val="28"/>
        </w:rPr>
        <w:br/>
        <w:t>и КСО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4985468" cy="2345635"/>
            <wp:effectExtent l="0" t="0" r="24765" b="1714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 информации, представленной УФК, в 85 субъектах Российской Федерации по состоянию на 1 января 2016 года насчитывалось 2 375 КСО муниципальных образований, из них обладающими статусом юридического лица являлись 1 195 КСО. По состоянию на 31 декабря 2016 года УФК заключены соглашения об информационном взаимодействии с 1 936 КСО муниципальных образований, в том числе заключены соглашения с 1 167 КСО муниципальных образований, обладающих статусом юридического лица, что составляет 97,7 % от общего числа таких КСО, образованных</w:t>
      </w:r>
      <w:r>
        <w:rPr>
          <w:rFonts w:ascii="Times New Roman" w:hAnsi="Times New Roman"/>
          <w:color w:val="000000" w:themeColor="text1"/>
          <w:sz w:val="28"/>
          <w:szCs w:val="28"/>
        </w:rPr>
        <w:br/>
        <w:t>по состоянию на 1 января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этом: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190 КСО муниципальных образований при информационном взаимодействии с УФК использовали СУФД (≈ 10 % от общего числа КСО муниципальных образований, заключивших Соглашение);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КСО муниципальных образований при информационном взаимодействии с УФК использовали СЭД ФК, что составляет ≈ 1 %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от общего числа КСО муниципальных образований, заключивших Соглашение;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265 КСО муниципальных образований получали информацию от УФК с помощью иных средств (сети Интернет, бумажных носителей, внешних, магнитных носителей) (≈ 13 % от общего числа КСО муниципальных образований, заключивших Соглашение);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1478 КСО муниципальных образований не получали информацию </w:t>
      </w:r>
      <w:r>
        <w:rPr>
          <w:rFonts w:ascii="Times New Roman" w:hAnsi="Times New Roman"/>
          <w:color w:val="000000" w:themeColor="text1"/>
          <w:sz w:val="28"/>
          <w:szCs w:val="28"/>
        </w:rPr>
        <w:br/>
        <w:t>от УФК в связи с отсутствием в УФК запросов от КСО (≈ 76 % от общего числа КСО муниципальных образований, заключивших Соглашение).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Соответствующая диаграмма по итогам мониторинга взаимодействия с КСО муниципальных образований приведена на диаграмме 61.</w:t>
      </w: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61</w:t>
      </w:r>
    </w:p>
    <w:p>
      <w:pPr>
        <w:spacing w:after="0" w:line="360" w:lineRule="atLeast"/>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Информация о способах передачи информации в рамках соглашений об информационном взаимодействии между УФК и КСО муниципальных образований</w:t>
      </w:r>
    </w:p>
    <w:p>
      <w:pPr>
        <w:spacing w:after="0" w:line="360" w:lineRule="atLeast"/>
        <w:ind w:firstLine="709"/>
        <w:jc w:val="center"/>
        <w:rPr>
          <w:rFonts w:ascii="Times New Roman" w:hAnsi="Times New Roman"/>
          <w:b/>
          <w:color w:val="000000" w:themeColor="text1"/>
          <w:sz w:val="28"/>
          <w:szCs w:val="28"/>
        </w:rPr>
      </w:pPr>
    </w:p>
    <w:p>
      <w:pPr>
        <w:rPr>
          <w:rFonts w:ascii="Times New Roman" w:hAnsi="Times New Roman"/>
          <w:b/>
          <w:color w:val="000000" w:themeColor="text1"/>
          <w:sz w:val="28"/>
          <w:szCs w:val="28"/>
        </w:rPr>
      </w:pPr>
      <w:r>
        <w:rPr>
          <w:rFonts w:ascii="Times New Roman" w:hAnsi="Times New Roman"/>
          <w:noProof/>
          <w:color w:val="000000" w:themeColor="text1"/>
          <w:lang w:eastAsia="ru-RU"/>
        </w:rPr>
        <w:drawing>
          <wp:inline distT="0" distB="0" distL="0" distR="0">
            <wp:extent cx="5653378" cy="3363402"/>
            <wp:effectExtent l="0" t="0" r="24130" b="279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pPr>
        <w:spacing w:before="120" w:after="120" w:line="360" w:lineRule="atLeast"/>
        <w:jc w:val="both"/>
        <w:rPr>
          <w:rFonts w:ascii="Times New Roman" w:hAnsi="Times New Roman"/>
          <w:color w:val="000000" w:themeColor="text1"/>
        </w:rPr>
      </w:pPr>
      <w:r>
        <w:rPr>
          <w:rFonts w:ascii="Times New Roman" w:hAnsi="Times New Roman"/>
          <w:b/>
          <w:color w:val="000000" w:themeColor="text1"/>
          <w:sz w:val="28"/>
          <w:szCs w:val="28"/>
        </w:rPr>
        <w:t>5.3.3. Совершенствование нормативной правовой базы в области внутреннего контроля и внутреннего аудита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совершенствования нормативной правовой базы </w:t>
      </w:r>
      <w:r>
        <w:rPr>
          <w:rFonts w:ascii="Times New Roman" w:hAnsi="Times New Roman"/>
          <w:color w:val="000000" w:themeColor="text1"/>
          <w:sz w:val="28"/>
          <w:szCs w:val="28"/>
        </w:rPr>
        <w:br/>
        <w:t xml:space="preserve">по вопросам внутреннего контроля и внутреннего аудита в 2016 году Федеральным казначейством совместно с Министерством финансов Российской Федерации подготовлены предложения по регламентации </w:t>
      </w:r>
      <w:r>
        <w:rPr>
          <w:rFonts w:ascii="Times New Roman" w:hAnsi="Times New Roman"/>
          <w:color w:val="000000" w:themeColor="text1"/>
          <w:sz w:val="28"/>
          <w:szCs w:val="28"/>
        </w:rPr>
        <w:br/>
        <w:t xml:space="preserve">в новой редакции Бюджетного кодекса Российской Федерации вопросов </w:t>
      </w:r>
      <w:r>
        <w:rPr>
          <w:rFonts w:ascii="Times New Roman" w:hAnsi="Times New Roman"/>
          <w:color w:val="000000" w:themeColor="text1"/>
          <w:sz w:val="28"/>
          <w:szCs w:val="28"/>
        </w:rPr>
        <w:lastRenderedPageBreak/>
        <w:t>осуществления главными распорядителями (распорядителями) средств федерального бюджета (бюджета государственного внебюджетного фонда Российской Федерации), главными администраторами (администраторами) доходов федерального бюджета (бюджета государственного внебюджетного фонда Российской Федерации), главными администраторами (администраторами) источников финансирования дефицита федерального бюджета (бюджета государственного внебюджетного фонда Российской Федерации) (далее – ГАБС) бюджетных полномочий по внутреннему финансовому контролю.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Федеральным казначейством подготовлены и письмами от 6 сентября 2016 г. № 06-03-02/3, от 22 сентября 2016 г. № 07-04-04/06-1558 направлены в адрес Министерства финансов Российской Федерации предложения по внесению изменений в Правила осуществления главными распорядителями (распорядителями) средств федерального бюджета (бюджета государственного внебюджетного фонда Российской Федерации), главными администраторами (администраторами) доходов федерального бюджета (бюджета государственного внебюджетного фонда Российской Федерации), главными администраторами (администраторами) источников финансирования дефицита федерального бюджета (бюджета государственного внебюджетного фонда Российской Федерации) внутреннего финансового контроля и внутреннего финансового аудита, утвержденные постановлением Правительства Российской Федерации </w:t>
      </w:r>
      <w:r>
        <w:rPr>
          <w:rFonts w:ascii="Times New Roman" w:hAnsi="Times New Roman"/>
          <w:color w:val="000000" w:themeColor="text1"/>
          <w:sz w:val="28"/>
          <w:szCs w:val="28"/>
        </w:rPr>
        <w:br/>
        <w:t xml:space="preserve">от 17 марта 2014 г. № 193 (далее – Правила).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целях обеспечения единых подходов к осуществлению ГАБС внутреннего контроля и внутреннего аудита, с учетом необходимости дальнейшей автоматизации данного вида деятельности, в адрес Министерства финансов Российской Федерации письмом от 28 декабря 2016 г. № 06-03-02/6 направлены предложения Федерального казначейства по структуре и редакциям Стандартов осуществления ГАБС внутреннего контроля и внутреннего аудита.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продолжались работы по совершенствованию ведомственной правовой базы, регламентирующей вопросы осуществления внутреннего контроля и внутреннего аудита в Федеральном казначействе, его территориальных органах и ФКУ «ЦОКР».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реализации мероприятия 11.1 «Развитие механизмов казначейского контроля и внутреннего аудита Федерального казначейства </w:t>
      </w:r>
      <w:r>
        <w:rPr>
          <w:rFonts w:ascii="Times New Roman" w:hAnsi="Times New Roman"/>
          <w:color w:val="000000" w:themeColor="text1"/>
          <w:sz w:val="28"/>
          <w:szCs w:val="28"/>
        </w:rPr>
        <w:br/>
        <w:t xml:space="preserve">и системы управления внутренними (операционными) казначейскими рисками» Основных мероприятий на 2016 год по реализации Стратегической карты Казначейства России в целях совершенствования </w:t>
      </w:r>
      <w:r>
        <w:rPr>
          <w:rFonts w:ascii="Times New Roman" w:hAnsi="Times New Roman"/>
          <w:color w:val="000000" w:themeColor="text1"/>
          <w:sz w:val="28"/>
          <w:szCs w:val="28"/>
        </w:rPr>
        <w:lastRenderedPageBreak/>
        <w:t>контрольной и аудиторской деятельности Федерального казначейства обеспечена актуализация: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 Стандартов внутреннего контроля и внутреннего аудита Федерального казначейства, применяемых контрольно-аудиторскими подразделениями Федерального казначейства при осуществлении ими контрольной и аудиторской деятельности (приказ Федерального казначейства от 31 марта 2016 г. № 73) (далее – Стандарты) в части: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уточнения сроков реализации отдельных мероприятий в ходе подготовки и проведения проверок;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расширения перечня информации, используемой для планирования контрольной и аудиторской деятельности, с учетом риск-ориентированного подхода к контролю и аудиту;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уточнения прав и обязанностей участников контрольных </w:t>
      </w:r>
      <w:r>
        <w:rPr>
          <w:rFonts w:ascii="Times New Roman" w:hAnsi="Times New Roman"/>
          <w:color w:val="000000" w:themeColor="text1"/>
          <w:sz w:val="28"/>
          <w:szCs w:val="28"/>
        </w:rPr>
        <w:br/>
        <w:t>и аудиторских мероприятий;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включения в отчетность по результатам контрольной и аудиторской деятельности информации о систематических нарушениях, их динамике, предложений по предупреждению таких нарушений в дальнейшей деятельности и др.</w:t>
      </w:r>
    </w:p>
    <w:p>
      <w:pPr>
        <w:spacing w:after="0" w:line="360" w:lineRule="atLeast"/>
        <w:ind w:firstLine="709"/>
        <w:jc w:val="both"/>
        <w:rPr>
          <w:rFonts w:ascii="Times New Roman" w:eastAsia="SimSun" w:hAnsi="Times New Roman"/>
          <w:color w:val="000000" w:themeColor="text1"/>
          <w:sz w:val="28"/>
          <w:szCs w:val="28"/>
        </w:rPr>
      </w:pPr>
      <w:r>
        <w:rPr>
          <w:rFonts w:ascii="Times New Roman" w:hAnsi="Times New Roman"/>
          <w:color w:val="000000" w:themeColor="text1"/>
          <w:sz w:val="28"/>
          <w:szCs w:val="28"/>
        </w:rPr>
        <w:t xml:space="preserve">2. Стандарта внутреннего контроля Федерального казначейства </w:t>
      </w:r>
      <w:r>
        <w:rPr>
          <w:rFonts w:ascii="Times New Roman" w:hAnsi="Times New Roman"/>
          <w:color w:val="000000" w:themeColor="text1"/>
          <w:sz w:val="28"/>
          <w:szCs w:val="28"/>
        </w:rPr>
        <w:br/>
      </w:r>
      <w:r>
        <w:rPr>
          <w:rFonts w:ascii="Times New Roman" w:eastAsia="SimSun" w:hAnsi="Times New Roman"/>
          <w:color w:val="000000" w:themeColor="text1"/>
          <w:sz w:val="28"/>
          <w:szCs w:val="28"/>
        </w:rPr>
        <w:t xml:space="preserve">с учетом практики применения указанного Стандарта в деятельности Федерального казначейства в 2015 году </w:t>
      </w:r>
      <w:r>
        <w:rPr>
          <w:rFonts w:ascii="Times New Roman" w:hAnsi="Times New Roman"/>
          <w:color w:val="000000" w:themeColor="text1"/>
          <w:sz w:val="28"/>
          <w:szCs w:val="28"/>
        </w:rPr>
        <w:t xml:space="preserve">(приказ Федерального казначейства от </w:t>
      </w:r>
      <w:r>
        <w:rPr>
          <w:rFonts w:ascii="Times New Roman" w:eastAsia="SimSun" w:hAnsi="Times New Roman"/>
          <w:color w:val="000000" w:themeColor="text1"/>
          <w:sz w:val="28"/>
          <w:szCs w:val="28"/>
        </w:rPr>
        <w:t>16 декабря 2016 г. № 475) (далее – Стандарт внутреннего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2016 году в связи с изменениями, внесенными постановлением Правительства Российской Федерации от 23 апреля 2016 г. № 340 в Правила в части регламентации смежного контроля, обеспечено внесение соответствующих изменений в Стандарт внутреннего контроля, Стандарты, а также </w:t>
      </w:r>
      <w:r>
        <w:rPr>
          <w:rFonts w:ascii="Times New Roman" w:eastAsia="SimSun" w:hAnsi="Times New Roman"/>
          <w:color w:val="000000" w:themeColor="text1"/>
          <w:sz w:val="28"/>
          <w:szCs w:val="28"/>
        </w:rPr>
        <w:t>Положение о внутреннем контроле и внутреннем аудите в Федеральном казначействе</w:t>
      </w:r>
      <w:r>
        <w:rPr>
          <w:rFonts w:ascii="Times New Roman" w:hAnsi="Times New Roman"/>
          <w:color w:val="000000" w:themeColor="text1"/>
          <w:sz w:val="28"/>
          <w:szCs w:val="28"/>
        </w:rPr>
        <w:t xml:space="preserve"> (приказ Федерального казначейства </w:t>
      </w:r>
      <w:r>
        <w:rPr>
          <w:rFonts w:ascii="Times New Roman" w:eastAsia="SimSun" w:hAnsi="Times New Roman"/>
          <w:color w:val="000000" w:themeColor="text1"/>
          <w:sz w:val="28"/>
          <w:szCs w:val="28"/>
        </w:rPr>
        <w:t>от 12 июля 2016 г. № 253</w:t>
      </w:r>
      <w:r>
        <w:rPr>
          <w:rFonts w:ascii="Times New Roman" w:hAnsi="Times New Roman"/>
          <w:color w:val="000000" w:themeColor="text1"/>
          <w:sz w:val="28"/>
          <w:szCs w:val="28"/>
        </w:rPr>
        <w:t xml:space="preserve">). </w:t>
      </w:r>
    </w:p>
    <w:p>
      <w:pPr>
        <w:spacing w:after="0" w:line="360" w:lineRule="atLeast"/>
        <w:ind w:firstLine="709"/>
        <w:jc w:val="both"/>
        <w:rPr>
          <w:rFonts w:ascii="Times New Roman" w:eastAsia="SimSun" w:hAnsi="Times New Roman"/>
          <w:color w:val="000000" w:themeColor="text1"/>
          <w:sz w:val="28"/>
          <w:szCs w:val="28"/>
        </w:rPr>
      </w:pPr>
      <w:r>
        <w:rPr>
          <w:rFonts w:ascii="Times New Roman" w:hAnsi="Times New Roman"/>
          <w:color w:val="000000" w:themeColor="text1"/>
          <w:sz w:val="28"/>
          <w:szCs w:val="28"/>
        </w:rPr>
        <w:t xml:space="preserve">В целях повышения мотивации работников контрольно-аудиторских подразделений ТОФК, ФКУ «ЦОКР», а также выявления работников контрольно-аудиторских подразделений ТОФК, ФКУ «ЦОКР», осуществляющих свою профессиональную деятельность наиболее эффективно, в 2016 году разработаны и утверждены </w:t>
      </w:r>
      <w:r>
        <w:rPr>
          <w:rFonts w:ascii="Times New Roman" w:eastAsia="SimSun" w:hAnsi="Times New Roman"/>
          <w:color w:val="000000" w:themeColor="text1"/>
          <w:sz w:val="28"/>
          <w:szCs w:val="28"/>
        </w:rPr>
        <w:t>методики оценки участников конкурсов на звания «Лучшее контрольно-аудиторское подразделение Казначейства России», «Лучший внутренний аудитор Федерального казначейства», а также обеспечена актуализация:</w:t>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Положения о конкурсе на звание «Лучшее контрольно-аудиторское подразделение Казначейства России» (</w:t>
      </w:r>
      <w:r>
        <w:rPr>
          <w:rFonts w:ascii="Times New Roman" w:hAnsi="Times New Roman"/>
          <w:color w:val="000000" w:themeColor="text1"/>
          <w:sz w:val="28"/>
          <w:szCs w:val="28"/>
        </w:rPr>
        <w:t>приказ Федерального казначейства</w:t>
      </w:r>
      <w:r>
        <w:rPr>
          <w:rFonts w:ascii="Times New Roman" w:hAnsi="Times New Roman"/>
          <w:color w:val="000000" w:themeColor="text1"/>
          <w:sz w:val="28"/>
          <w:szCs w:val="28"/>
        </w:rPr>
        <w:br/>
      </w:r>
      <w:r>
        <w:rPr>
          <w:rFonts w:ascii="Times New Roman" w:eastAsia="SimSun" w:hAnsi="Times New Roman"/>
          <w:color w:val="000000" w:themeColor="text1"/>
          <w:sz w:val="28"/>
          <w:szCs w:val="28"/>
        </w:rPr>
        <w:t>от 5 сентября 2016 г. № 325);</w:t>
      </w:r>
    </w:p>
    <w:p>
      <w:pPr>
        <w:spacing w:after="0" w:line="36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lastRenderedPageBreak/>
        <w:t>Положения о конкурсе на звание «Лучший внутренний аудитор Казначейства России» (</w:t>
      </w:r>
      <w:r>
        <w:rPr>
          <w:rFonts w:ascii="Times New Roman" w:hAnsi="Times New Roman"/>
          <w:color w:val="000000" w:themeColor="text1"/>
          <w:sz w:val="28"/>
          <w:szCs w:val="28"/>
        </w:rPr>
        <w:t xml:space="preserve">приказ Федерального казначейства </w:t>
      </w:r>
      <w:r>
        <w:rPr>
          <w:rFonts w:ascii="Times New Roman" w:eastAsia="SimSun" w:hAnsi="Times New Roman"/>
          <w:color w:val="000000" w:themeColor="text1"/>
          <w:sz w:val="28"/>
          <w:szCs w:val="28"/>
        </w:rPr>
        <w:t>от 5 сентября 2016 г. № 326).</w:t>
      </w:r>
    </w:p>
    <w:p>
      <w:pPr>
        <w:spacing w:after="0" w:line="380" w:lineRule="atLeast"/>
        <w:ind w:firstLine="709"/>
        <w:jc w:val="both"/>
        <w:rPr>
          <w:rFonts w:ascii="Times New Roman" w:eastAsia="SimSun" w:hAnsi="Times New Roman"/>
          <w:color w:val="000000" w:themeColor="text1"/>
          <w:sz w:val="28"/>
          <w:szCs w:val="28"/>
        </w:rPr>
      </w:pPr>
      <w:r>
        <w:rPr>
          <w:rFonts w:ascii="Times New Roman" w:eastAsia="SimSun" w:hAnsi="Times New Roman"/>
          <w:color w:val="000000" w:themeColor="text1"/>
          <w:sz w:val="28"/>
          <w:szCs w:val="28"/>
        </w:rPr>
        <w:t>В целях повышения оперативности последующего контроля функциональной деятельности ТОФК в 2016 году организовано полномасштабное внедрение в деятельность ТОФК Стандарта осуществления последующего оперативного внутреннего автоматизированного контроля в территориальных органах Федерального казначейства (приказ Федерального казначейства от 11 ноября 2016 г. № 419).</w:t>
      </w:r>
      <w:r>
        <w:rPr>
          <w:rFonts w:ascii="Times New Roman" w:hAnsi="Times New Roman"/>
          <w:color w:val="000000" w:themeColor="text1"/>
          <w:sz w:val="28"/>
          <w:szCs w:val="28"/>
        </w:rPr>
        <w:t xml:space="preserve"> Внедрение данного вида контроля позволит более эффективно решать задачи обеспечения </w:t>
      </w:r>
      <w:r>
        <w:rPr>
          <w:rFonts w:ascii="Times New Roman" w:hAnsi="Times New Roman"/>
          <w:bCs/>
          <w:color w:val="000000" w:themeColor="text1"/>
          <w:sz w:val="28"/>
          <w:szCs w:val="28"/>
        </w:rPr>
        <w:t xml:space="preserve">оперативного информирования руководства ТОФК о выявленных нарушениях (недостатках) в целях своевременного принятия управленческих решений и обеспечения «обратной связи» </w:t>
      </w:r>
      <w:r>
        <w:rPr>
          <w:rFonts w:ascii="Times New Roman" w:hAnsi="Times New Roman"/>
          <w:bCs/>
          <w:color w:val="000000" w:themeColor="text1"/>
          <w:sz w:val="28"/>
          <w:szCs w:val="28"/>
        </w:rPr>
        <w:br/>
        <w:t xml:space="preserve">по итогам их исполнения, минимизации внутренних (операционных) казначейских рисков в деятельности ТОФК, ориентировать контрольные мероприятия на наиболее </w:t>
      </w:r>
      <w:proofErr w:type="spellStart"/>
      <w:r>
        <w:rPr>
          <w:rFonts w:ascii="Times New Roman" w:hAnsi="Times New Roman"/>
          <w:bCs/>
          <w:color w:val="000000" w:themeColor="text1"/>
          <w:sz w:val="28"/>
          <w:szCs w:val="28"/>
        </w:rPr>
        <w:t>рискоемкие</w:t>
      </w:r>
      <w:proofErr w:type="spellEnd"/>
      <w:r>
        <w:rPr>
          <w:rFonts w:ascii="Times New Roman" w:hAnsi="Times New Roman"/>
          <w:bCs/>
          <w:color w:val="000000" w:themeColor="text1"/>
          <w:sz w:val="28"/>
          <w:szCs w:val="28"/>
        </w:rPr>
        <w:t xml:space="preserve"> направления деятельности ТОФК, оценить эффективность существующих процедур внутреннего контроля</w:t>
      </w:r>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Казначействе России в 2016 году также усовершенствованы типовые документы, необходимые для организации проверок </w:t>
      </w:r>
      <w:r>
        <w:rPr>
          <w:rFonts w:ascii="Times New Roman" w:hAnsi="Times New Roman"/>
          <w:color w:val="000000" w:themeColor="text1"/>
          <w:sz w:val="28"/>
          <w:szCs w:val="28"/>
        </w:rPr>
        <w:br/>
        <w:t>и формирования отчетности по их итогам.</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 в соответствии с изменениями законодательных и иных НПА Российской Федерации, регламентирующих деятельность органов Федерального казначейства, актуализированы:</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Перечень вопросов типовой программы проверки управления Федерального казначейства по субъекту Российской Федерации (субъектам Российской Федерации, находящимся в границах федерального округа) </w:t>
      </w:r>
      <w:r>
        <w:rPr>
          <w:rFonts w:ascii="Times New Roman" w:eastAsia="SimSun" w:hAnsi="Times New Roman"/>
          <w:color w:val="000000" w:themeColor="text1"/>
          <w:sz w:val="28"/>
          <w:szCs w:val="28"/>
        </w:rPr>
        <w:t xml:space="preserve">(приказ Федерального казначейства от </w:t>
      </w:r>
      <w:r>
        <w:rPr>
          <w:rFonts w:ascii="Times New Roman" w:hAnsi="Times New Roman"/>
          <w:color w:val="000000" w:themeColor="text1"/>
          <w:sz w:val="28"/>
          <w:szCs w:val="28"/>
        </w:rPr>
        <w:t>15 декабря 2016 г. № 468);</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Классификатор внутренних (операционных) казначейских рисков </w:t>
      </w:r>
      <w:r>
        <w:rPr>
          <w:rFonts w:ascii="Times New Roman" w:hAnsi="Times New Roman"/>
          <w:color w:val="000000" w:themeColor="text1"/>
          <w:sz w:val="28"/>
          <w:szCs w:val="28"/>
        </w:rPr>
        <w:br/>
        <w:t xml:space="preserve">по направлениям деятельности управления Федерального казначейства </w:t>
      </w:r>
      <w:r>
        <w:rPr>
          <w:rFonts w:ascii="Times New Roman" w:hAnsi="Times New Roman"/>
          <w:color w:val="000000" w:themeColor="text1"/>
          <w:sz w:val="28"/>
          <w:szCs w:val="28"/>
        </w:rPr>
        <w:br/>
        <w:t>по субъекту Российской Федерации (субъектам Российской Федерации, находящимся в границах федерального округа)</w:t>
      </w:r>
      <w:r>
        <w:rPr>
          <w:rFonts w:ascii="Times New Roman" w:eastAsia="SimSun" w:hAnsi="Times New Roman"/>
          <w:color w:val="000000" w:themeColor="text1"/>
          <w:sz w:val="28"/>
          <w:szCs w:val="28"/>
        </w:rPr>
        <w:t xml:space="preserve"> (приказ Федерального казначейства от </w:t>
      </w:r>
      <w:r>
        <w:rPr>
          <w:rFonts w:ascii="Times New Roman" w:hAnsi="Times New Roman"/>
          <w:color w:val="000000" w:themeColor="text1"/>
          <w:sz w:val="28"/>
          <w:szCs w:val="28"/>
        </w:rPr>
        <w:t>15 декабря 2016 г. № 469);</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Перечень вопросов типовой программы проверки Межрегионального операционного управления Федерального казначейства (</w:t>
      </w:r>
      <w:r>
        <w:rPr>
          <w:rFonts w:ascii="Times New Roman" w:eastAsia="SimSun" w:hAnsi="Times New Roman"/>
          <w:color w:val="000000" w:themeColor="text1"/>
          <w:sz w:val="28"/>
          <w:szCs w:val="28"/>
        </w:rPr>
        <w:t xml:space="preserve">приказ Федерального казначейства от </w:t>
      </w:r>
      <w:r>
        <w:rPr>
          <w:rFonts w:ascii="Times New Roman" w:hAnsi="Times New Roman"/>
          <w:color w:val="000000" w:themeColor="text1"/>
          <w:sz w:val="28"/>
          <w:szCs w:val="28"/>
        </w:rPr>
        <w:t>15 декабря 2016 г. № 470);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Классификатор внутренних (операционных) казначейских рисков</w:t>
      </w:r>
      <w:r>
        <w:rPr>
          <w:rFonts w:ascii="Times New Roman" w:hAnsi="Times New Roman"/>
          <w:color w:val="000000" w:themeColor="text1"/>
          <w:sz w:val="28"/>
          <w:szCs w:val="28"/>
        </w:rPr>
        <w:br/>
        <w:t>по направлениям деятельности Межрегионального операционного управления Федерального казначейства (</w:t>
      </w:r>
      <w:r>
        <w:rPr>
          <w:rFonts w:ascii="Times New Roman" w:eastAsia="SimSun" w:hAnsi="Times New Roman"/>
          <w:color w:val="000000" w:themeColor="text1"/>
          <w:sz w:val="28"/>
          <w:szCs w:val="28"/>
        </w:rPr>
        <w:t xml:space="preserve">приказ Федерального казначейства </w:t>
      </w:r>
      <w:r>
        <w:rPr>
          <w:rFonts w:ascii="Times New Roman" w:eastAsia="SimSun" w:hAnsi="Times New Roman"/>
          <w:color w:val="000000" w:themeColor="text1"/>
          <w:sz w:val="28"/>
          <w:szCs w:val="28"/>
        </w:rPr>
        <w:br/>
        <w:t xml:space="preserve">от </w:t>
      </w:r>
      <w:r>
        <w:rPr>
          <w:rFonts w:ascii="Times New Roman" w:hAnsi="Times New Roman"/>
          <w:color w:val="000000" w:themeColor="text1"/>
          <w:sz w:val="28"/>
          <w:szCs w:val="28"/>
        </w:rPr>
        <w:t>15 декабря 2016 г. № 471).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Кроме того, в 2016 году в соответствии с Дорожной картой </w:t>
      </w:r>
      <w:r>
        <w:rPr>
          <w:rFonts w:ascii="Times New Roman" w:hAnsi="Times New Roman"/>
          <w:color w:val="000000" w:themeColor="text1"/>
          <w:sz w:val="28"/>
          <w:szCs w:val="28"/>
        </w:rPr>
        <w:br/>
        <w:t>по организации и проведению в Федеральном казначействе мониторинга закупок в сфере информационных технологий, утвержденной руководителем Федерального казначейства Р.Е. Артюхиным 6 июля 2015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разработана и </w:t>
      </w:r>
      <w:r>
        <w:rPr>
          <w:rFonts w:ascii="Times New Roman" w:eastAsia="SimSun" w:hAnsi="Times New Roman"/>
          <w:color w:val="000000" w:themeColor="text1"/>
          <w:sz w:val="28"/>
          <w:szCs w:val="28"/>
        </w:rPr>
        <w:t>утверждена методика проведения мониторинга закупок в сфере информационных технологий в части информационно-технологического оборудования, закупаемого Федеральным казначейством</w:t>
      </w:r>
      <w:r>
        <w:rPr>
          <w:rFonts w:ascii="Times New Roman" w:hAnsi="Times New Roman"/>
          <w:color w:val="000000" w:themeColor="text1"/>
          <w:sz w:val="28"/>
          <w:szCs w:val="28"/>
        </w:rPr>
        <w:t>;</w:t>
      </w:r>
    </w:p>
    <w:p>
      <w:pPr>
        <w:spacing w:after="0" w:line="360" w:lineRule="atLeast"/>
        <w:ind w:firstLine="709"/>
        <w:jc w:val="both"/>
        <w:rPr>
          <w:rFonts w:ascii="Times New Roman" w:eastAsia="SimSun" w:hAnsi="Times New Roman"/>
          <w:color w:val="000000" w:themeColor="text1"/>
          <w:sz w:val="28"/>
          <w:szCs w:val="28"/>
        </w:rPr>
      </w:pPr>
      <w:r>
        <w:rPr>
          <w:rFonts w:ascii="Times New Roman" w:hAnsi="Times New Roman"/>
          <w:color w:val="000000" w:themeColor="text1"/>
          <w:sz w:val="28"/>
          <w:szCs w:val="28"/>
        </w:rPr>
        <w:t xml:space="preserve">разработан проект </w:t>
      </w:r>
      <w:r>
        <w:rPr>
          <w:rFonts w:ascii="Times New Roman" w:eastAsia="SimSun" w:hAnsi="Times New Roman"/>
          <w:color w:val="000000" w:themeColor="text1"/>
          <w:sz w:val="28"/>
          <w:szCs w:val="28"/>
        </w:rPr>
        <w:t>методики проведения мониторинга закупок ППО для нужд Федерального казначейства.</w:t>
      </w:r>
    </w:p>
    <w:p>
      <w:pPr>
        <w:spacing w:before="120" w:after="120" w:line="360" w:lineRule="atLeast"/>
        <w:ind w:firstLine="709"/>
        <w:jc w:val="both"/>
        <w:rPr>
          <w:rFonts w:ascii="Times New Roman" w:eastAsiaTheme="minorHAnsi" w:hAnsi="Times New Roman"/>
          <w:color w:val="000000" w:themeColor="text1"/>
          <w:sz w:val="28"/>
          <w:szCs w:val="28"/>
        </w:rPr>
      </w:pPr>
      <w:r>
        <w:rPr>
          <w:rFonts w:ascii="Times New Roman" w:hAnsi="Times New Roman"/>
          <w:b/>
          <w:color w:val="000000" w:themeColor="text1"/>
          <w:sz w:val="28"/>
          <w:szCs w:val="28"/>
        </w:rPr>
        <w:t xml:space="preserve">5.3.4.4 Совершенствование ведомственных правовых актов </w:t>
      </w:r>
      <w:r>
        <w:rPr>
          <w:rFonts w:ascii="Times New Roman" w:hAnsi="Times New Roman"/>
          <w:b/>
          <w:color w:val="000000" w:themeColor="text1"/>
          <w:sz w:val="28"/>
          <w:szCs w:val="28"/>
        </w:rPr>
        <w:br/>
        <w:t xml:space="preserve">в области управления внутренними (операционными) рисками </w:t>
      </w:r>
      <w:r>
        <w:rPr>
          <w:rFonts w:ascii="Times New Roman" w:hAnsi="Times New Roman"/>
          <w:b/>
          <w:color w:val="000000" w:themeColor="text1"/>
          <w:sz w:val="28"/>
          <w:szCs w:val="28"/>
        </w:rPr>
        <w:br/>
        <w:t>в Федеральном казначействе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реализации Концепции управления казначейскими рисками в Федеральном казначействе, утвержденной руководителем Федерального казначейства Р.Е. Артюхиным 3 июня 2015 года, в рамках совершенствования ведомственной правовой базы по вопросам управления внутренними (операционными) казначейскими рисками в 2016 году разработан проект порядка управления внутренними (операционными) казначейскими рисками в Федеральном казначействе, которым предполагается регламентировать вопросы: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организации и осуществления в структурных подразделениях органов Федерального казначейства, ФКУ «ЦОКР» мероприятий по идентификации, анализу и оценке внутренних (операционных) казначейских рисков;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организации и осуществления в структурных подразделениях органов Федерального казначейства, ФКУ «ЦОКР» мероприятий по классификации внутренних (операционных) казначейских рисков и при формировании отчетности по результатам управления внутренними (операционными) рисками;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принятия управленческих решений по минимизации либо предотвращению в дальнейшей деятельности вероятности реализации внутренних (операционных) казначейских рисков.</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5.3.5. Совершенствование процедур проектного управления </w:t>
      </w:r>
      <w:r>
        <w:rPr>
          <w:rFonts w:ascii="Times New Roman" w:hAnsi="Times New Roman"/>
          <w:b/>
          <w:color w:val="000000" w:themeColor="text1"/>
          <w:sz w:val="28"/>
          <w:szCs w:val="28"/>
        </w:rPr>
        <w:br/>
        <w:t>в Федеральном казначействе</w:t>
      </w:r>
    </w:p>
    <w:p>
      <w:pPr>
        <w:pStyle w:val="afe"/>
        <w:ind w:firstLine="709"/>
        <w:jc w:val="both"/>
        <w:rPr>
          <w:color w:val="000000" w:themeColor="text1"/>
          <w:sz w:val="28"/>
          <w:szCs w:val="28"/>
        </w:rPr>
      </w:pPr>
      <w:r>
        <w:rPr>
          <w:color w:val="000000" w:themeColor="text1"/>
          <w:sz w:val="28"/>
          <w:szCs w:val="28"/>
        </w:rPr>
        <w:t xml:space="preserve">В 2016 году в рамках реализации Основного мероприятия № 11.2 «Совершенствование системы проектного управления Федерального казначейства в целях соответствия стандартам управления проектами» </w:t>
      </w:r>
      <w:r>
        <w:rPr>
          <w:color w:val="000000" w:themeColor="text1"/>
          <w:sz w:val="28"/>
          <w:szCs w:val="28"/>
        </w:rPr>
        <w:br/>
        <w:t xml:space="preserve">по реализации Стратегической карты Казначейства России на 2016 год </w:t>
      </w:r>
      <w:r>
        <w:rPr>
          <w:color w:val="000000" w:themeColor="text1"/>
          <w:sz w:val="28"/>
          <w:szCs w:val="28"/>
        </w:rPr>
        <w:lastRenderedPageBreak/>
        <w:t xml:space="preserve">продолжено совершенствование проектного подхода к управлению реализацией государственных программ Российской Федерации </w:t>
      </w:r>
      <w:r>
        <w:rPr>
          <w:color w:val="000000" w:themeColor="text1"/>
          <w:sz w:val="28"/>
          <w:szCs w:val="28"/>
        </w:rPr>
        <w:br/>
        <w:t>в Федеральном казначействе.</w:t>
      </w:r>
    </w:p>
    <w:p>
      <w:pPr>
        <w:pStyle w:val="afe"/>
        <w:ind w:firstLine="709"/>
        <w:jc w:val="both"/>
        <w:rPr>
          <w:color w:val="000000" w:themeColor="text1"/>
          <w:sz w:val="28"/>
          <w:szCs w:val="28"/>
        </w:rPr>
      </w:pPr>
      <w:r>
        <w:rPr>
          <w:color w:val="000000" w:themeColor="text1"/>
          <w:sz w:val="28"/>
          <w:szCs w:val="28"/>
        </w:rPr>
        <w:t xml:space="preserve">Так, издан приказ Федерального казначейства </w:t>
      </w:r>
      <w:r>
        <w:rPr>
          <w:rFonts w:eastAsia="SimSun"/>
          <w:color w:val="000000" w:themeColor="text1"/>
          <w:sz w:val="28"/>
          <w:szCs w:val="28"/>
        </w:rPr>
        <w:t xml:space="preserve">от 30 декабря 2016 г. № 524 «Об утверждении Порядка управления реализацией государственных программ Российской Федерации в Федеральном казначействе», который разработан с учетом </w:t>
      </w:r>
      <w:r>
        <w:rPr>
          <w:color w:val="000000" w:themeColor="text1"/>
          <w:sz w:val="28"/>
          <w:szCs w:val="28"/>
        </w:rPr>
        <w:t xml:space="preserve">рекомендаций Международного стандарта ИСО 21500:2012 «Руководство по управлению проектами», Национального стандарта Российской Федерации ГОСТ Р ИСО 21500-2014 «Руководство по проектному менеджменту», Национального стандарта Российской Федерации ГОСТ Р 54869-2011 «Проектный менеджмент. Требования </w:t>
      </w:r>
      <w:r>
        <w:rPr>
          <w:color w:val="000000" w:themeColor="text1"/>
          <w:sz w:val="28"/>
          <w:szCs w:val="28"/>
        </w:rPr>
        <w:br/>
        <w:t>к управлению проектом». Указанный порядок предусматривает:</w:t>
      </w:r>
    </w:p>
    <w:p>
      <w:pPr>
        <w:pStyle w:val="afe"/>
        <w:ind w:firstLine="709"/>
        <w:jc w:val="both"/>
        <w:rPr>
          <w:color w:val="000000" w:themeColor="text1"/>
          <w:sz w:val="28"/>
          <w:szCs w:val="28"/>
        </w:rPr>
      </w:pPr>
      <w:r>
        <w:rPr>
          <w:color w:val="000000" w:themeColor="text1"/>
          <w:sz w:val="28"/>
          <w:szCs w:val="28"/>
        </w:rPr>
        <w:t>развитие риск-ориентированного подхода к управлению реализацией государственных программ Российской Федерации в Федеральном казначействе;</w:t>
      </w:r>
    </w:p>
    <w:p>
      <w:pPr>
        <w:pStyle w:val="afe"/>
        <w:ind w:firstLine="709"/>
        <w:jc w:val="both"/>
        <w:rPr>
          <w:color w:val="000000" w:themeColor="text1"/>
          <w:sz w:val="28"/>
          <w:szCs w:val="28"/>
        </w:rPr>
      </w:pPr>
      <w:r>
        <w:rPr>
          <w:color w:val="000000" w:themeColor="text1"/>
          <w:sz w:val="28"/>
          <w:szCs w:val="28"/>
        </w:rPr>
        <w:t>внедрение автоматизации предложенных механизмов проектного управления;</w:t>
      </w:r>
    </w:p>
    <w:p>
      <w:pPr>
        <w:pStyle w:val="afe"/>
        <w:ind w:firstLine="709"/>
        <w:jc w:val="both"/>
        <w:rPr>
          <w:color w:val="000000" w:themeColor="text1"/>
          <w:sz w:val="28"/>
          <w:szCs w:val="28"/>
        </w:rPr>
      </w:pPr>
      <w:r>
        <w:rPr>
          <w:color w:val="000000" w:themeColor="text1"/>
          <w:sz w:val="28"/>
          <w:szCs w:val="28"/>
        </w:rPr>
        <w:t>совершенствование механизмов мониторинга хода реализации мероприятий документов планирования деятельности в Федеральном казначействе;</w:t>
      </w:r>
    </w:p>
    <w:p>
      <w:pPr>
        <w:pStyle w:val="afe"/>
        <w:ind w:firstLine="709"/>
        <w:jc w:val="both"/>
        <w:rPr>
          <w:color w:val="000000" w:themeColor="text1"/>
          <w:sz w:val="28"/>
          <w:szCs w:val="28"/>
        </w:rPr>
      </w:pPr>
      <w:r>
        <w:rPr>
          <w:color w:val="000000" w:themeColor="text1"/>
          <w:sz w:val="28"/>
          <w:szCs w:val="28"/>
        </w:rPr>
        <w:t>расширение участия ТОФК, ФКУ «ЦОКР» в процедурах проектного управления деятельностью.</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5.3.6. Совершенствование и внедрение программно-целевой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организованы и проведены работы по подготовке предложений по доработке государственных программ Российской Федерации, участником которых является Федеральное казначейство, по доработке планов реализации указанных государственных программ Российской Федерации в части, касающейся Федерального казначейства,</w:t>
      </w:r>
      <w:r>
        <w:rPr>
          <w:rFonts w:ascii="Times New Roman" w:hAnsi="Times New Roman"/>
          <w:color w:val="000000" w:themeColor="text1"/>
          <w:sz w:val="28"/>
          <w:szCs w:val="28"/>
        </w:rPr>
        <w:br/>
        <w:t>а также по подготовке всей необходимой отчетности, информации и ответов на запросы ответственных исполнителей по государственным программам Российской Федерации,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направлены предложения по доработке Госпрограммы № 40;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направлены предложения в рамках компетенции Федерального казначейства по проектам перечня подпрограмм и основных мероприятий Госпрограммы № 40;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осуществлено рассмотрение уточненного проекта паспорта Госпрограммы № 40, по итогам которого в Минфин России направлены предложения и замечания к указанному документу;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направлена информация в рамках компетенции Федерального казначейства для формирования годового отчета о ходе реализации и оценке эффективности Госпрограммы № 40 за 2015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Минфин России направлены предложения по заполнению форм федерального статистического наблюдения № 1-ГП «Сведения </w:t>
      </w:r>
      <w:r>
        <w:rPr>
          <w:rFonts w:ascii="Times New Roman" w:hAnsi="Times New Roman"/>
          <w:color w:val="000000" w:themeColor="text1"/>
          <w:sz w:val="28"/>
          <w:szCs w:val="28"/>
        </w:rPr>
        <w:br/>
        <w:t xml:space="preserve">об использовании средств из бюджетных и внебюджетных источников финансирования на выполнение государственных и федеральных целевых программ (подпрограмм)» и № 1-ГП (индикаторы) «Сведения о целевых индикаторах и показателях реализации государственных и федеральных целевых программ (подпрограмм)» в целом по Госпрограммы № 40 </w:t>
      </w:r>
      <w:r>
        <w:rPr>
          <w:rFonts w:ascii="Times New Roman" w:hAnsi="Times New Roman"/>
          <w:color w:val="000000" w:themeColor="text1"/>
          <w:sz w:val="28"/>
          <w:szCs w:val="28"/>
        </w:rPr>
        <w:br/>
        <w:t>и по входящим подпрограммам за 2015 год в рамках компетенции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направлены предложения в рамках компетенции Федерального казначейства по формированию бюджетных ассигнований федерального бюджета на реализацию Госпрограммы № 40 с учетом влияния на целевые показатели (индикаторы) на 2017 год и на плановый период 2018 и 2019 годов;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Минфин России направлялась информация в рамках компетенции Федерального казначейства для формирования квартальных отчетов о ходе реализации и оценке эффективности Госпрограммы № 40;</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Минфин России направлялись предложения и замечания </w:t>
      </w:r>
      <w:r>
        <w:rPr>
          <w:rFonts w:ascii="Times New Roman" w:hAnsi="Times New Roman"/>
          <w:color w:val="000000" w:themeColor="text1"/>
          <w:sz w:val="28"/>
          <w:szCs w:val="28"/>
        </w:rPr>
        <w:br/>
        <w:t xml:space="preserve">в пределах компетенции Федерального казначейства по Плану реализации государственной программы Российской Федерации «Управление государственными финансами и регулирование финансовых рынков» </w:t>
      </w:r>
      <w:r>
        <w:rPr>
          <w:rFonts w:ascii="Times New Roman" w:hAnsi="Times New Roman"/>
          <w:color w:val="000000" w:themeColor="text1"/>
          <w:sz w:val="28"/>
          <w:szCs w:val="28"/>
        </w:rPr>
        <w:br/>
        <w:t>на 2016 год и на плановый период 2017 и 2018 годов;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Минфин России направлялись предложения и замечания </w:t>
      </w:r>
      <w:r>
        <w:rPr>
          <w:rFonts w:ascii="Times New Roman" w:hAnsi="Times New Roman"/>
          <w:color w:val="000000" w:themeColor="text1"/>
          <w:sz w:val="28"/>
          <w:szCs w:val="28"/>
        </w:rPr>
        <w:br/>
        <w:t xml:space="preserve">в пределах компетенции Федерального казначейства по Детальному плану-графику реализации государственной программы Российской Федерации «Управление государственными финансами и регулирование финансовых рынков» на 2014 год и на плановый период 2015–2016 годов, в том числе </w:t>
      </w:r>
      <w:r>
        <w:rPr>
          <w:rFonts w:ascii="Times New Roman" w:hAnsi="Times New Roman"/>
          <w:color w:val="000000" w:themeColor="text1"/>
          <w:sz w:val="28"/>
          <w:szCs w:val="28"/>
        </w:rPr>
        <w:br/>
        <w:t>о корректировке распределения бюджетных ассигнований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рамках совершенствования и внедрения системы проектного управления Федерального казначейства в 2016 году: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издан приказ Федерального казначейства от 30 декабря 2016 г. № 524 «Об утверждении Порядка управления реализацией государственных программ Российской Федерации в Федеральном казначействе»;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заключен Государственный контракт от 11 февраля 2016 г. № УИС-12/2016, в том числе, предусматривающий создание подсистемы «Планирование и мониторинг деятельности Федерального казначейства» Системы управления эксплуатацией Федерального казначейства (далее – ППМД ФК, СУЭ ФК соответственно);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процессе проведения опытной эксплуатации ППМД ФК выявлено, что она соответствует установленным требованиям указанного государственного контракта. По результатам приемочных испытаний, проведенных 6 июля 2016 года, выявлено, что ППМД ФК может быть принята в эксплуатацию. 11 июля 2016 года подписан Акт приемки ППМД ФК в эксплуатацию;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разработаны и 11 ноября 2016 года утверждены заместителем руководителя Федерального казначейства С.Б. </w:t>
      </w:r>
      <w:proofErr w:type="spellStart"/>
      <w:r>
        <w:rPr>
          <w:rFonts w:ascii="Times New Roman" w:hAnsi="Times New Roman"/>
          <w:color w:val="000000" w:themeColor="text1"/>
          <w:sz w:val="28"/>
          <w:szCs w:val="28"/>
        </w:rPr>
        <w:t>Гуральниковым</w:t>
      </w:r>
      <w:proofErr w:type="spellEnd"/>
      <w:r>
        <w:rPr>
          <w:rFonts w:ascii="Times New Roman" w:hAnsi="Times New Roman"/>
          <w:color w:val="000000" w:themeColor="text1"/>
          <w:sz w:val="28"/>
          <w:szCs w:val="28"/>
        </w:rPr>
        <w:t xml:space="preserve"> Дорожная карта внедрения подсистемы «Планирование и мониторинг деятельности Федерального казначейства» Системы управления эксплуатацией Федерального казначейства и График предоставления доступа пользователям к подсистеме «Планирование и мониторинг деятельности Федерального казначейства» Системы управления эксплуатацией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подготовлена и направлена информация об ответственных исполнителях управлений ЦАФК, а также ряда «пилотных» ТОФК для организации предоставления им доступа к ППМД ФК и их обучения работе с указанной подсистемой;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целях организации полномасштабного внедрения ППМД ФК 18 ноября, а также 14 и 15 декабря 2016 года проведено обучение сотрудников Федерального казначейства работе в ППМД ФК, в том числе, в режиме аудио-видеоконференцсвязи;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обеспечена подготовка Итогового доклада о результатах деятельности Федерального казначейства за 2015 год и основных направлениях деятельности на среднесрочную перспективу (далее – Итоговый доклад), рассмотренного и одобренного на Коллегии Федерального казначейства (решение от 24 февраля 2016 г. № 34), указанный доклад размещен на Официальном сайте www.roskazna.ru.</w:t>
      </w:r>
      <w:r>
        <w:rPr>
          <w:rFonts w:ascii="Times New Roman" w:hAnsi="Times New Roman"/>
          <w:color w:val="000000" w:themeColor="text1"/>
        </w:rPr>
        <w:t xml:space="preserve"> </w:t>
      </w:r>
      <w:r>
        <w:rPr>
          <w:rFonts w:ascii="Times New Roman" w:hAnsi="Times New Roman"/>
          <w:color w:val="000000" w:themeColor="text1"/>
          <w:sz w:val="28"/>
          <w:szCs w:val="28"/>
        </w:rPr>
        <w:t>Отчет о реализации Основных мероприятий на 2015 год по реализации Стратегической карты Казначейства России включен в состав Итогового доклада (приложение № 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обеспечены подготовка, согласование и издание доклада </w:t>
      </w:r>
      <w:r>
        <w:rPr>
          <w:rFonts w:ascii="Times New Roman" w:hAnsi="Times New Roman"/>
          <w:color w:val="000000" w:themeColor="text1"/>
          <w:sz w:val="28"/>
          <w:szCs w:val="28"/>
        </w:rPr>
        <w:br/>
        <w:t xml:space="preserve">«О результатах работы Федерального казначейства в 2015 году и основных направлениях деятельности на среднесрочную перспективу» (Буклет) </w:t>
      </w:r>
      <w:r>
        <w:rPr>
          <w:rFonts w:ascii="Times New Roman" w:hAnsi="Times New Roman"/>
          <w:color w:val="000000" w:themeColor="text1"/>
          <w:sz w:val="28"/>
          <w:szCs w:val="28"/>
        </w:rPr>
        <w:br/>
        <w:t xml:space="preserve">к проведению заседания расширенной Коллегии Министерства финансов </w:t>
      </w:r>
      <w:r>
        <w:rPr>
          <w:rFonts w:ascii="Times New Roman" w:hAnsi="Times New Roman"/>
          <w:color w:val="000000" w:themeColor="text1"/>
          <w:sz w:val="28"/>
          <w:szCs w:val="28"/>
        </w:rPr>
        <w:lastRenderedPageBreak/>
        <w:t>Российской Федерации, состоявшегося 20 апреля 2016 года. Буклет размещен на Официальном сайте www.roskazna.ru;</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обеспечены подготовка и согласование Плана деятельности Федерального казначейства на 2016 год, указанный план утвержден Министром финансов Российской Федерации А.Г.</w:t>
      </w:r>
      <w:r>
        <w:rPr>
          <w:rFonts w:ascii="Times New Roman" w:hAnsi="Times New Roman"/>
          <w:color w:val="000000" w:themeColor="text1"/>
          <w:sz w:val="28"/>
          <w:szCs w:val="28"/>
          <w:lang w:val="en-US"/>
        </w:rPr>
        <w:t> </w:t>
      </w:r>
      <w:proofErr w:type="spellStart"/>
      <w:r>
        <w:rPr>
          <w:rFonts w:ascii="Times New Roman" w:hAnsi="Times New Roman"/>
          <w:color w:val="000000" w:themeColor="text1"/>
          <w:sz w:val="28"/>
          <w:szCs w:val="28"/>
        </w:rPr>
        <w:t>Силуановым</w:t>
      </w:r>
      <w:proofErr w:type="spellEnd"/>
      <w:r>
        <w:rPr>
          <w:rFonts w:ascii="Times New Roman" w:hAnsi="Times New Roman"/>
          <w:color w:val="000000" w:themeColor="text1"/>
          <w:sz w:val="28"/>
          <w:szCs w:val="28"/>
        </w:rPr>
        <w:t xml:space="preserve"> 19 февраля 2016 года и размещен на Официальном сайте </w:t>
      </w:r>
      <w:r>
        <w:rPr>
          <w:rFonts w:ascii="Times New Roman" w:hAnsi="Times New Roman"/>
          <w:color w:val="000000" w:themeColor="text1"/>
          <w:sz w:val="28"/>
          <w:szCs w:val="28"/>
          <w:lang w:val="en-US"/>
        </w:rPr>
        <w:t>www</w:t>
      </w:r>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roskazna</w:t>
      </w:r>
      <w:proofErr w:type="spellEnd"/>
      <w:r>
        <w:rPr>
          <w:rFonts w:ascii="Times New Roman" w:hAnsi="Times New Roman"/>
          <w:color w:val="000000" w:themeColor="text1"/>
          <w:sz w:val="28"/>
          <w:szCs w:val="28"/>
        </w:rPr>
        <w:t>.</w:t>
      </w:r>
      <w:proofErr w:type="spellStart"/>
      <w:r>
        <w:rPr>
          <w:rFonts w:ascii="Times New Roman" w:hAnsi="Times New Roman"/>
          <w:color w:val="000000" w:themeColor="text1"/>
          <w:sz w:val="28"/>
          <w:szCs w:val="28"/>
          <w:lang w:val="en-US"/>
        </w:rPr>
        <w:t>ru</w:t>
      </w:r>
      <w:proofErr w:type="spellEnd"/>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обеспечены подготовка и согласование Отчета о результатах выполнения Плана деятельности Федерального казначейства на 2015 год. Указанный отчет утвержден Министром финансов Российской Федерации А.Г. Силуановым 18 апреля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организованы и обеспечены работы по подготовке и согласованию Плана деятельности Федерального казначейства на 2017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организована подготовка по обновленной форме (включая использование инструмента контрольных событий) планов выполнения Основных мероприятий на 2016 год по реализации Стратегической карты Казначейства России. Обеспечен мониторинг хода реализации указанных планов;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осуществлено организационное обеспечение работ </w:t>
      </w:r>
      <w:r>
        <w:rPr>
          <w:rFonts w:ascii="Times New Roman" w:hAnsi="Times New Roman"/>
          <w:color w:val="000000" w:themeColor="text1"/>
          <w:sz w:val="28"/>
          <w:szCs w:val="28"/>
        </w:rPr>
        <w:br/>
        <w:t>по представлению руководству Федерального казначейства ежемесячной информации о выполнении мероприятий планов деятельности Федерального казначейства и его структурных подразделений согласно соответствующему порядку с мая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подготовлен и доведен до ТОФК и ФКУ «ЦОКР» Типовой план</w:t>
      </w:r>
      <w:r>
        <w:rPr>
          <w:rFonts w:ascii="Times New Roman" w:hAnsi="Times New Roman"/>
          <w:color w:val="000000" w:themeColor="text1"/>
          <w:sz w:val="28"/>
          <w:szCs w:val="28"/>
        </w:rPr>
        <w:br/>
        <w:t>по исполнению территориальным органом Федерального казначейства, подведомственным Федеральному казначейству учреждением Плана деятельности Федерального казначейства на 2016 год и Основных мероприятий на 2016 год по реализации Стратегической карты Казначейства России, утвержденный руководителем Федерального казначейства Р.Е. Артюхиным 18 апреля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организованы и проведены работы по подготовке и представлению в Минфин России отчетов о деятельности Казначейства России за 2015 год, I квартал, I полугодие и 9 месяцев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организованы и проведены работы по подготовке и представлению в Минфин России Отчета о выполнении мероприятий Плана деятельности Федерального казначейства на 2016 год по состоянию на 1 октября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подготовлен Реестр документов планирования деятельности Федерального казначейства на 2017 год и утвержден руководителем Федерального казначейства Р.Е. Артюхиным 14 декабря 2016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обеспечена подготовка материалов в рамках компетенции Федерального казначейства для включения в проект отчета о результатах деятельности Правительства Российской Федерации за 2015 год, указанные материалы направлены в Минфин России и Минэкономразвития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обеспечена подготовка и направление в Аналитический центр </w:t>
      </w:r>
      <w:r>
        <w:rPr>
          <w:rFonts w:ascii="Times New Roman" w:hAnsi="Times New Roman"/>
          <w:color w:val="000000" w:themeColor="text1"/>
          <w:sz w:val="28"/>
          <w:szCs w:val="28"/>
        </w:rPr>
        <w:br/>
        <w:t xml:space="preserve">при Правительстве Российской Федерации отчета участника конкурса профессионального управления проектной деятельностью </w:t>
      </w:r>
      <w:r>
        <w:rPr>
          <w:rFonts w:ascii="Times New Roman" w:hAnsi="Times New Roman"/>
          <w:color w:val="000000" w:themeColor="text1"/>
          <w:sz w:val="28"/>
          <w:szCs w:val="28"/>
        </w:rPr>
        <w:br/>
        <w:t>в государственном секторе «Проектный Олимп», Федеральное казначейство стало одним из финалистов указанного конкурса.</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5.3.7. Система оценки эффективности деятельности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Оценка эффективности деятельности Федерального казначейства гражданским обществом, клиентами, Министерством финансов Российской Федерации, самим Федеральным казначейством принципиально важна для принятия соответствующих управленческих решений, направленных </w:t>
      </w:r>
      <w:r>
        <w:rPr>
          <w:rFonts w:ascii="Times New Roman" w:hAnsi="Times New Roman"/>
          <w:color w:val="000000" w:themeColor="text1"/>
          <w:sz w:val="28"/>
          <w:szCs w:val="28"/>
        </w:rPr>
        <w:br/>
        <w:t>на повышение качества выполняемых государственных функций, эффективности использования бюджетных ресурсов и успешной реализации реформы государственной гражданской службы Российской Федерации.</w:t>
      </w:r>
    </w:p>
    <w:p>
      <w:pPr>
        <w:pStyle w:val="ConsPlusNormal"/>
        <w:widowControl/>
        <w:spacing w:line="360" w:lineRule="atLeast"/>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Оценка эффективности деятельности Федерального казначейства – это совокупность оценки результативности деятельности, оценки экономической и иной эффективности деятельности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Целями оценки эффективности деятельности Федерального казначейства являются: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повышение эффективности исполнения возложенных </w:t>
      </w:r>
      <w:r>
        <w:rPr>
          <w:rFonts w:ascii="Times New Roman" w:hAnsi="Times New Roman"/>
          <w:color w:val="000000" w:themeColor="text1"/>
          <w:sz w:val="28"/>
          <w:szCs w:val="28"/>
        </w:rPr>
        <w:br/>
        <w:t>на Федеральное казначейство задач и функций;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оптимизация механизмов соотношения объемов выделяемых финансовых, материальных и трудовых ресурсов и выполняемых Федеральным казначейством задач и функций;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повышение уровня информационной открытости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Система оценки эффективности деятельности Федерального казначейства включает в себя: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оценку результативности деятельности гражданских служащих, замещающих должности в ЦАФК;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оценку результативности деятельности отделов управлений ЦАФК;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оценку результативности деятельности гражданских служащих, замещающих должности в ТОФК;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оценку результативности деятельности отделов ТОФК;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lastRenderedPageBreak/>
        <w:t>– </w:t>
      </w:r>
      <w:r>
        <w:rPr>
          <w:rFonts w:ascii="Times New Roman" w:hAnsi="Times New Roman"/>
          <w:color w:val="000000" w:themeColor="text1"/>
          <w:sz w:val="28"/>
          <w:szCs w:val="28"/>
        </w:rPr>
        <w:t>оценку результативности деятельности руководителей ТОФК</w:t>
      </w:r>
      <w:r>
        <w:rPr>
          <w:rFonts w:ascii="Times New Roman" w:hAnsi="Times New Roman"/>
          <w:color w:val="000000" w:themeColor="text1"/>
        </w:rPr>
        <w:t xml:space="preserve"> </w:t>
      </w:r>
      <w:r>
        <w:rPr>
          <w:rFonts w:ascii="Times New Roman" w:hAnsi="Times New Roman"/>
          <w:color w:val="000000" w:themeColor="text1"/>
        </w:rPr>
        <w:br/>
      </w:r>
      <w:r>
        <w:rPr>
          <w:rFonts w:ascii="Times New Roman" w:hAnsi="Times New Roman"/>
          <w:color w:val="000000" w:themeColor="text1"/>
          <w:sz w:val="28"/>
          <w:szCs w:val="28"/>
        </w:rPr>
        <w:t>и директора ФКУ «ЦОКР»;</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оценку результативности деятельности ТОФК;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внешнюю оценку деятельности ЦАФК и ТОФК.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Эффективность деятельности Федерального казначейства классифицируется по признаку пользователя информации, в соответствии </w:t>
      </w:r>
      <w:r>
        <w:rPr>
          <w:rFonts w:ascii="Times New Roman" w:hAnsi="Times New Roman"/>
          <w:color w:val="000000" w:themeColor="text1"/>
          <w:sz w:val="28"/>
          <w:szCs w:val="28"/>
        </w:rPr>
        <w:br/>
        <w:t>с которым подразделяется на: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 xml:space="preserve">эффективность деятельности Федерального казначейства </w:t>
      </w:r>
      <w:r>
        <w:rPr>
          <w:rFonts w:ascii="Times New Roman" w:hAnsi="Times New Roman"/>
          <w:color w:val="000000" w:themeColor="text1"/>
          <w:sz w:val="28"/>
          <w:szCs w:val="28"/>
        </w:rPr>
        <w:br/>
        <w:t>для информирования общества и граждан;</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 xml:space="preserve">эффективность деятельности Федерального казначейства </w:t>
      </w:r>
      <w:r>
        <w:rPr>
          <w:rFonts w:ascii="Times New Roman" w:hAnsi="Times New Roman"/>
          <w:color w:val="000000" w:themeColor="text1"/>
          <w:sz w:val="28"/>
          <w:szCs w:val="28"/>
        </w:rPr>
        <w:br/>
        <w:t>для информирования вышестоящих федеральных государственных органов исполнительной власти;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b/>
          <w:bCs/>
          <w:color w:val="000000" w:themeColor="text1"/>
          <w:sz w:val="28"/>
          <w:szCs w:val="28"/>
        </w:rPr>
        <w:t>– </w:t>
      </w:r>
      <w:r>
        <w:rPr>
          <w:rFonts w:ascii="Times New Roman" w:hAnsi="Times New Roman"/>
          <w:color w:val="000000" w:themeColor="text1"/>
          <w:sz w:val="28"/>
          <w:szCs w:val="28"/>
        </w:rPr>
        <w:t xml:space="preserve">эффективность деятельности Федерального казначейства </w:t>
      </w:r>
      <w:r>
        <w:rPr>
          <w:rFonts w:ascii="Times New Roman" w:hAnsi="Times New Roman"/>
          <w:color w:val="000000" w:themeColor="text1"/>
          <w:sz w:val="28"/>
          <w:szCs w:val="28"/>
        </w:rPr>
        <w:br/>
        <w:t>для информирования руководства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в рамках применения и развития системы оценки эффективности деятельности Федерального казначейства проведена следующая работа.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 В соответствии с приказами Федерального казначейства </w:t>
      </w:r>
      <w:r>
        <w:rPr>
          <w:rFonts w:ascii="Times New Roman" w:hAnsi="Times New Roman"/>
          <w:color w:val="000000" w:themeColor="text1"/>
          <w:sz w:val="28"/>
          <w:szCs w:val="28"/>
        </w:rPr>
        <w:br/>
        <w:t xml:space="preserve">от 30 декабря 2014 г. № 336 «Об утверждении показателей оценки результативности деятельности Межрегионального операционного управления Федерального казначейства» и от 30 декабря 2014 г. № 338 </w:t>
      </w:r>
      <w:r>
        <w:rPr>
          <w:rFonts w:ascii="Times New Roman" w:hAnsi="Times New Roman"/>
          <w:color w:val="000000" w:themeColor="text1"/>
          <w:sz w:val="28"/>
          <w:szCs w:val="28"/>
        </w:rPr>
        <w:br/>
        <w:t>«Об утверждении показателей оценки результативности деятельности УФК по субъектам Российской Федерации» была проведена оценка результативности ТОФК за 2015 год и подготовлены соответствующие аналитические материалы для руководства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2. В целях поддержания в актуальном состоянии правовой базы </w:t>
      </w:r>
      <w:r>
        <w:rPr>
          <w:rFonts w:ascii="Times New Roman" w:hAnsi="Times New Roman"/>
          <w:color w:val="000000" w:themeColor="text1"/>
          <w:sz w:val="28"/>
          <w:szCs w:val="28"/>
        </w:rPr>
        <w:br/>
        <w:t xml:space="preserve">по оценке эффективности (результативности) деятельности разработаны приказы Федерального казначейства от 18 августа 2016 г. № 310 и № 311 </w:t>
      </w:r>
      <w:r>
        <w:rPr>
          <w:rFonts w:ascii="Times New Roman" w:hAnsi="Times New Roman"/>
          <w:color w:val="000000" w:themeColor="text1"/>
          <w:sz w:val="28"/>
          <w:szCs w:val="28"/>
        </w:rPr>
        <w:br/>
        <w:t xml:space="preserve">и от 30 декабря 2016 г. № 516 и № 517, которыми внесены изменения </w:t>
      </w:r>
      <w:r>
        <w:rPr>
          <w:rFonts w:ascii="Times New Roman" w:hAnsi="Times New Roman"/>
          <w:color w:val="000000" w:themeColor="text1"/>
          <w:sz w:val="28"/>
          <w:szCs w:val="28"/>
        </w:rPr>
        <w:br/>
        <w:t>в приложения к приказам Федерального казначейства от 30 декабря 2014 г. № 336 «Об утверждении показателей оценки результативности деятельности Межрегионального операционного управления Федерального казначейства» и от 30 декабря 2014 г. № 338 «Об утверждении показателей оценки результативности деятельности управлений Федерального казначейства по субъектам Российской Федерации».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Утвержден приказ Федерального казначейства от 27 июня 2016 г. № 225 «Об утверждении порядка организации проведения и обработки результатов оценки качества сервисов и информационных каналов, созданных для обратной связи (взаимодействия) с разными референтными группами, а также членами экспертных и консультативных органов», </w:t>
      </w:r>
      <w:r>
        <w:rPr>
          <w:rFonts w:ascii="Times New Roman" w:hAnsi="Times New Roman"/>
          <w:color w:val="000000" w:themeColor="text1"/>
          <w:sz w:val="28"/>
          <w:szCs w:val="28"/>
        </w:rPr>
        <w:lastRenderedPageBreak/>
        <w:t xml:space="preserve">соответствии с которым проведена оценка качества данных сервисов </w:t>
      </w:r>
      <w:r>
        <w:rPr>
          <w:rFonts w:ascii="Times New Roman" w:hAnsi="Times New Roman"/>
          <w:color w:val="000000" w:themeColor="text1"/>
          <w:sz w:val="28"/>
          <w:szCs w:val="28"/>
        </w:rPr>
        <w:br/>
        <w:t>и информационных каналов. По результатам оценки подготовлены аналитические материалы для руководства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Подготовлены и направлены в ТОФК рекомендации </w:t>
      </w:r>
      <w:r>
        <w:rPr>
          <w:rFonts w:ascii="Times New Roman" w:hAnsi="Times New Roman"/>
          <w:color w:val="000000" w:themeColor="text1"/>
          <w:sz w:val="28"/>
          <w:szCs w:val="28"/>
        </w:rPr>
        <w:br/>
        <w:t xml:space="preserve">по совершенствованию оценки результативности деятельности федеральных государственных гражданских служащих, замещающих должности заместителей руководителя ТОФК и начальников отделов ТОФК, а также по внешней оценке. В частности, выработаны подходы </w:t>
      </w:r>
      <w:r>
        <w:rPr>
          <w:rFonts w:ascii="Times New Roman" w:hAnsi="Times New Roman"/>
          <w:color w:val="000000" w:themeColor="text1"/>
          <w:sz w:val="28"/>
          <w:szCs w:val="28"/>
        </w:rPr>
        <w:br/>
        <w:t xml:space="preserve">к определению показателей оценки результативности деятельности указанных категорий сотрудников, которые отражают исполнение возглавляемыми (курируемыми) структурными подразделениями, </w:t>
      </w:r>
      <w:r>
        <w:rPr>
          <w:rFonts w:ascii="Times New Roman" w:hAnsi="Times New Roman"/>
          <w:color w:val="000000" w:themeColor="text1"/>
          <w:sz w:val="28"/>
          <w:szCs w:val="28"/>
        </w:rPr>
        <w:br/>
        <w:t xml:space="preserve">функций и полномочий в рамках основной деятельности ТОФК (письмо </w:t>
      </w:r>
      <w:r>
        <w:rPr>
          <w:rFonts w:ascii="Times New Roman" w:hAnsi="Times New Roman"/>
          <w:color w:val="000000" w:themeColor="text1"/>
          <w:sz w:val="28"/>
          <w:szCs w:val="28"/>
        </w:rPr>
        <w:br/>
        <w:t>в ТОФК от 30 сентября 2016 г. № 07-04-05/06-739).</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Направлено поручение в ТОФК об актуализации перечня вопросов </w:t>
      </w:r>
      <w:r>
        <w:rPr>
          <w:rFonts w:ascii="Times New Roman" w:hAnsi="Times New Roman"/>
          <w:color w:val="000000" w:themeColor="text1"/>
          <w:sz w:val="28"/>
          <w:szCs w:val="28"/>
        </w:rPr>
        <w:br/>
        <w:t xml:space="preserve">в электронных анкетах на сайтах ТОФК (письмо в ТОФК </w:t>
      </w:r>
      <w:r>
        <w:rPr>
          <w:rFonts w:ascii="Times New Roman" w:hAnsi="Times New Roman"/>
          <w:color w:val="000000" w:themeColor="text1"/>
          <w:sz w:val="28"/>
          <w:szCs w:val="28"/>
        </w:rPr>
        <w:br/>
        <w:t>от 13 октября 2016 г. № 07-04-05/06-782).</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6. В рамках реализации Концепции оценки эффективности деятельности Федерального казначейства руководителем Федерального казначейства утвержден Порядок информирования общества и граждан </w:t>
      </w:r>
      <w:r>
        <w:rPr>
          <w:rFonts w:ascii="Times New Roman" w:hAnsi="Times New Roman"/>
          <w:color w:val="000000" w:themeColor="text1"/>
          <w:sz w:val="28"/>
          <w:szCs w:val="28"/>
        </w:rPr>
        <w:br/>
        <w:t xml:space="preserve">о результатах деятельности Федерального казначейства, которым установлены, в том числе, принципы формирования системы показателей деятельности, их классификация, а также перечень показателей деятельности Федерального казначейства для информирования общества </w:t>
      </w:r>
      <w:r>
        <w:rPr>
          <w:rFonts w:ascii="Times New Roman" w:hAnsi="Times New Roman"/>
          <w:color w:val="000000" w:themeColor="text1"/>
          <w:sz w:val="28"/>
          <w:szCs w:val="28"/>
        </w:rPr>
        <w:br/>
        <w:t>и граждан о результатах деятельности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7. Разработан проект единого порядка оценки результативности деятельности органов Федерального казначейства, их структурных подразделений и государственных гражданских служащих.</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8. В рамках исполнения приказа Федерального казначейства </w:t>
      </w:r>
      <w:r>
        <w:rPr>
          <w:rFonts w:ascii="Times New Roman" w:hAnsi="Times New Roman"/>
          <w:color w:val="000000" w:themeColor="text1"/>
          <w:sz w:val="28"/>
          <w:szCs w:val="28"/>
        </w:rPr>
        <w:br/>
        <w:t xml:space="preserve">от 18 ноября 2011 г. № 548 «Об утверждении Порядка получения </w:t>
      </w:r>
      <w:r>
        <w:rPr>
          <w:rFonts w:ascii="Times New Roman" w:hAnsi="Times New Roman"/>
          <w:color w:val="000000" w:themeColor="text1"/>
          <w:sz w:val="28"/>
          <w:szCs w:val="28"/>
        </w:rPr>
        <w:br/>
        <w:t>и обработки информации о внешней оценке деятельности центрального аппарата Федерального казначейства и территориальных органов Федерального казначейства» выполнены следующие мероприятия: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 результатам оценки деятельности Федерального казначейства </w:t>
      </w:r>
      <w:r>
        <w:rPr>
          <w:rFonts w:ascii="Times New Roman" w:hAnsi="Times New Roman"/>
          <w:color w:val="000000" w:themeColor="text1"/>
          <w:sz w:val="28"/>
          <w:szCs w:val="28"/>
        </w:rPr>
        <w:br/>
        <w:t xml:space="preserve">за 2015 год со стороны полномочных представителей Президента России </w:t>
      </w:r>
      <w:r>
        <w:rPr>
          <w:rFonts w:ascii="Times New Roman" w:hAnsi="Times New Roman"/>
          <w:color w:val="000000" w:themeColor="text1"/>
          <w:sz w:val="28"/>
          <w:szCs w:val="28"/>
        </w:rPr>
        <w:br/>
        <w:t>по федеральным округам Российской Федерации, высших органов исполнительной власти субъектов Российской Федерации и ГРБС подготовлена и представлена руководству Федерального казначейства соответствующая аналитическая информация;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организована работа в ЦАФК и ТОФК по устранению замечаний </w:t>
      </w:r>
      <w:r>
        <w:rPr>
          <w:rFonts w:ascii="Times New Roman" w:hAnsi="Times New Roman"/>
          <w:color w:val="000000" w:themeColor="text1"/>
          <w:sz w:val="28"/>
          <w:szCs w:val="28"/>
        </w:rPr>
        <w:br/>
        <w:t>и отработке предложений, полученных в результате данной оценки;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9. Подготовлены и направлены руководству Федерального казначейства аналитические материалы по результатам 3 </w:t>
      </w:r>
      <w:proofErr w:type="spellStart"/>
      <w:r>
        <w:rPr>
          <w:rFonts w:ascii="Times New Roman" w:hAnsi="Times New Roman"/>
          <w:color w:val="000000" w:themeColor="text1"/>
          <w:sz w:val="28"/>
          <w:szCs w:val="28"/>
        </w:rPr>
        <w:t>анкетирований</w:t>
      </w:r>
      <w:proofErr w:type="spellEnd"/>
      <w:r>
        <w:rPr>
          <w:rFonts w:ascii="Times New Roman" w:hAnsi="Times New Roman"/>
          <w:color w:val="000000" w:themeColor="text1"/>
          <w:sz w:val="28"/>
          <w:szCs w:val="28"/>
        </w:rPr>
        <w:t xml:space="preserve">, проведенных в ходе расширенного заседания Коллегии Федерального казначейства «Итоги деятельности за 2015 год и основные направления развития Федерального казначейства на 2016 год», всероссийских </w:t>
      </w:r>
      <w:r>
        <w:rPr>
          <w:rFonts w:ascii="Times New Roman" w:hAnsi="Times New Roman"/>
          <w:color w:val="000000" w:themeColor="text1"/>
          <w:sz w:val="28"/>
          <w:szCs w:val="28"/>
        </w:rPr>
        <w:br/>
        <w:t>и межрегиональных совещаний.</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Организована работа по устранению замечаний и отработке предложений, полученных от респондентов, в результате проведения указанных </w:t>
      </w:r>
      <w:proofErr w:type="spellStart"/>
      <w:r>
        <w:rPr>
          <w:rFonts w:ascii="Times New Roman" w:hAnsi="Times New Roman"/>
          <w:color w:val="000000" w:themeColor="text1"/>
          <w:sz w:val="28"/>
          <w:szCs w:val="28"/>
        </w:rPr>
        <w:t>анкетирований</w:t>
      </w:r>
      <w:proofErr w:type="spellEnd"/>
      <w:r>
        <w:rPr>
          <w:rFonts w:ascii="Times New Roman" w:hAnsi="Times New Roman"/>
          <w:color w:val="000000" w:themeColor="text1"/>
          <w:sz w:val="28"/>
          <w:szCs w:val="28"/>
        </w:rPr>
        <w:t xml:space="preserve">. Результаты </w:t>
      </w:r>
      <w:proofErr w:type="spellStart"/>
      <w:r>
        <w:rPr>
          <w:rFonts w:ascii="Times New Roman" w:hAnsi="Times New Roman"/>
          <w:color w:val="000000" w:themeColor="text1"/>
          <w:sz w:val="28"/>
          <w:szCs w:val="28"/>
        </w:rPr>
        <w:t>анкетирований</w:t>
      </w:r>
      <w:proofErr w:type="spellEnd"/>
      <w:r>
        <w:rPr>
          <w:rFonts w:ascii="Times New Roman" w:hAnsi="Times New Roman"/>
          <w:color w:val="000000" w:themeColor="text1"/>
          <w:sz w:val="28"/>
          <w:szCs w:val="28"/>
        </w:rPr>
        <w:t xml:space="preserve"> размещены </w:t>
      </w:r>
      <w:r>
        <w:rPr>
          <w:rFonts w:ascii="Times New Roman" w:hAnsi="Times New Roman"/>
          <w:color w:val="000000" w:themeColor="text1"/>
          <w:sz w:val="28"/>
          <w:szCs w:val="28"/>
        </w:rPr>
        <w:br/>
        <w:t xml:space="preserve">на </w:t>
      </w:r>
      <w:r>
        <w:rPr>
          <w:rFonts w:ascii="Times New Roman" w:eastAsiaTheme="minorHAnsi" w:hAnsi="Times New Roman"/>
          <w:color w:val="000000" w:themeColor="text1"/>
          <w:sz w:val="28"/>
          <w:szCs w:val="28"/>
        </w:rPr>
        <w:t xml:space="preserve">Официальном сайте </w:t>
      </w:r>
      <w:hyperlink r:id="rId199" w:history="1">
        <w:r>
          <w:rPr>
            <w:rFonts w:ascii="Times New Roman" w:eastAsiaTheme="minorHAnsi" w:hAnsi="Times New Roman"/>
            <w:color w:val="000000" w:themeColor="text1"/>
            <w:sz w:val="28"/>
            <w:szCs w:val="28"/>
          </w:rPr>
          <w:t>www.roskazna.ru</w:t>
        </w:r>
      </w:hyperlink>
      <w:r>
        <w:rPr>
          <w:rFonts w:ascii="Times New Roman" w:hAnsi="Times New Roman"/>
          <w:color w:val="000000" w:themeColor="text1"/>
          <w:sz w:val="28"/>
          <w:szCs w:val="28"/>
        </w:rPr>
        <w:t>.</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10. В соответствии с приказом Федерального казначейства </w:t>
      </w:r>
      <w:r>
        <w:rPr>
          <w:rFonts w:ascii="Times New Roman" w:hAnsi="Times New Roman"/>
          <w:color w:val="000000" w:themeColor="text1"/>
          <w:sz w:val="28"/>
          <w:szCs w:val="28"/>
        </w:rPr>
        <w:br/>
        <w:t>от 23 марта 2010 г. № 63 «Об утверждении Порядка определения и оценки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центральном аппарате Федерального казначейства» подготовлены аналитические материалы по результатам мониторинга ежемесячной оценки результативности деятельности сотрудников ЦАФК.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11. В соответствии с приказом Федерального казначейства от 17 мая 2010 г. № 114 «Об утверждении Порядка определения и оценки результативности деятельности отделов управлений центрального аппарата Федерального казначейства» подготовлены аналитические материалы </w:t>
      </w:r>
      <w:r>
        <w:rPr>
          <w:rFonts w:ascii="Times New Roman" w:hAnsi="Times New Roman"/>
          <w:color w:val="000000" w:themeColor="text1"/>
          <w:sz w:val="28"/>
          <w:szCs w:val="28"/>
        </w:rPr>
        <w:br/>
        <w:t>по результатам мониторинга ежеквартальной оценки результативности деятельности отделов управлений ЦАФК.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12. В рамках Порядка определения и оценки результативности профессиональной служебной деятельности федеральных государственных гражданских служащих, замещающих должности руководителей ТОФК подготовлены аналитические материалы по результатам мониторинга ежемесячной оценки результативности деятельности руководителей ТОФК.</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13. На постоянной основе (один раз в полгода) проводился мониторинг функционирования внедренной в ТОФК оценки результативности и внешней оценки их деятельности. По результатам мониторинга подготовлены аналитические материалы для руководства Федерального казначейства.</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 Обеспечение функционирования и развитие информационных систем и технологий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2016 года резко выросло количество зарегистрированных заявок </w:t>
      </w:r>
      <w:r>
        <w:rPr>
          <w:rFonts w:ascii="Times New Roman" w:hAnsi="Times New Roman"/>
          <w:color w:val="000000" w:themeColor="text1"/>
          <w:sz w:val="28"/>
          <w:szCs w:val="28"/>
        </w:rPr>
        <w:br/>
        <w:t xml:space="preserve">в подсистеме «Управление процессами эксплуатации» СУЭ ФК </w:t>
      </w:r>
      <w:r>
        <w:rPr>
          <w:rFonts w:ascii="Times New Roman" w:hAnsi="Times New Roman"/>
          <w:color w:val="000000" w:themeColor="text1"/>
          <w:sz w:val="28"/>
          <w:szCs w:val="28"/>
        </w:rPr>
        <w:br/>
        <w:t xml:space="preserve">при сопровождении пользователей следующих портальных систем </w:t>
      </w:r>
      <w:r>
        <w:rPr>
          <w:rFonts w:ascii="Times New Roman" w:hAnsi="Times New Roman"/>
          <w:color w:val="000000" w:themeColor="text1"/>
          <w:sz w:val="28"/>
          <w:szCs w:val="28"/>
        </w:rPr>
        <w:lastRenderedPageBreak/>
        <w:t>Федерального казначейства в едином контакт-центре Федерального казначейства и диспетчерской службе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ГАС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ГИС ГМП;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Официальный сайт 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СУФД;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Система обеспечения сбора, анализа и визуализации данных;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ЕИС.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За 2016 год в СУЭ ФК зарегистрированы 510 298 обращений </w:t>
      </w:r>
      <w:r>
        <w:rPr>
          <w:rFonts w:ascii="Times New Roman" w:hAnsi="Times New Roman"/>
          <w:color w:val="000000" w:themeColor="text1"/>
          <w:sz w:val="28"/>
          <w:szCs w:val="28"/>
        </w:rPr>
        <w:br/>
        <w:t>от пользователей портальных систем Федерального казначейства, за 2015 год зарегистрировано 58 326 обращений.</w:t>
      </w:r>
    </w:p>
    <w:p>
      <w:pPr>
        <w:spacing w:after="120" w:line="360" w:lineRule="atLeast"/>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62</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677231" cy="2806810"/>
            <wp:effectExtent l="0" t="0" r="19050" b="12700"/>
            <wp:docPr id="2048" name="Диаграмма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Работа оператора ЕИС полностью переведена на работу в СУЭ ФК </w:t>
      </w:r>
      <w:r>
        <w:rPr>
          <w:rFonts w:ascii="Times New Roman" w:hAnsi="Times New Roman"/>
          <w:color w:val="000000" w:themeColor="text1"/>
          <w:sz w:val="28"/>
          <w:szCs w:val="28"/>
        </w:rPr>
        <w:br/>
        <w:t>с регистрацией заявок через единый контакт-центр Федерального казначейства.</w:t>
      </w:r>
    </w:p>
    <w:p>
      <w:pPr>
        <w:tabs>
          <w:tab w:val="num" w:pos="14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Созданы механизмы </w:t>
      </w:r>
      <w:proofErr w:type="spellStart"/>
      <w:r>
        <w:rPr>
          <w:rFonts w:ascii="Times New Roman" w:hAnsi="Times New Roman"/>
          <w:color w:val="000000" w:themeColor="text1"/>
          <w:sz w:val="28"/>
          <w:szCs w:val="28"/>
        </w:rPr>
        <w:t>авторегистрации</w:t>
      </w:r>
      <w:proofErr w:type="spellEnd"/>
      <w:r>
        <w:rPr>
          <w:rFonts w:ascii="Times New Roman" w:hAnsi="Times New Roman"/>
          <w:color w:val="000000" w:themeColor="text1"/>
          <w:sz w:val="28"/>
          <w:szCs w:val="28"/>
        </w:rPr>
        <w:t xml:space="preserve"> заявок, пришедших по e-</w:t>
      </w:r>
      <w:proofErr w:type="spellStart"/>
      <w:r>
        <w:rPr>
          <w:rFonts w:ascii="Times New Roman" w:hAnsi="Times New Roman"/>
          <w:color w:val="000000" w:themeColor="text1"/>
          <w:sz w:val="28"/>
          <w:szCs w:val="28"/>
        </w:rPr>
        <w:t>mail</w:t>
      </w:r>
      <w:proofErr w:type="spellEnd"/>
      <w:r>
        <w:rPr>
          <w:rFonts w:ascii="Times New Roman" w:hAnsi="Times New Roman"/>
          <w:color w:val="000000" w:themeColor="text1"/>
          <w:sz w:val="28"/>
          <w:szCs w:val="28"/>
        </w:rPr>
        <w:t xml:space="preserve"> </w:t>
      </w:r>
      <w:r>
        <w:rPr>
          <w:rFonts w:ascii="Times New Roman" w:hAnsi="Times New Roman"/>
          <w:color w:val="000000" w:themeColor="text1"/>
          <w:sz w:val="28"/>
          <w:szCs w:val="28"/>
        </w:rPr>
        <w:br/>
        <w:t xml:space="preserve">от пользователей портальных систем Федерального казначейства, </w:t>
      </w:r>
      <w:r>
        <w:rPr>
          <w:rFonts w:ascii="Times New Roman" w:hAnsi="Times New Roman"/>
          <w:color w:val="000000" w:themeColor="text1"/>
          <w:sz w:val="28"/>
          <w:szCs w:val="28"/>
        </w:rPr>
        <w:br/>
        <w:t>и произведена интеграция с личным кабинетом портальных систем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Также выросло количество зарегистрированных от пользователей обращений в подсистеме «Управление процессами эксплуатации» СУЭ ФК по сопровождению ИТ-сервисов Федерального казначейства в закрытом контуре вычислительных систем с 161 181 в 2015 году до 264 452 в 2016 году в диспетчерской службе Федерального казначейства.</w:t>
      </w:r>
    </w:p>
    <w:p>
      <w:pPr>
        <w:pageBreakBefore/>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63</w:t>
      </w:r>
    </w:p>
    <w:p>
      <w:pPr>
        <w:spacing w:after="0" w:line="360" w:lineRule="atLeast"/>
        <w:jc w:val="both"/>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56745" cy="3753016"/>
            <wp:effectExtent l="0" t="0" r="15875" b="19050"/>
            <wp:docPr id="2049" name="Диаграмма 2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течение 2016 года в рамках стабилизации работоспособности портальных систем Федерального казначейства в Ситуационном центре Федерального казначейства сотрудники с ролью «менеджер инцидентов» обеспечивали контроль и качественную отработку инцидентов исполнителями по государственным контрактам, а также осуществляли координацию и контроль за устранением аварийных ситуаций.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Средствами мониторинга СУЭ ФК организован инфраструктурный мониторинг компонентов ГИИС «Электронный бюджет» по следующим подсистемам: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Единый портал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подсистема «Обеспечение информационной безопасности»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подсистема «Обеспечение юридической значимости документов»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подсистема «Управление закупками»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подсистема «Управление расходами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подсистема «Обеспечение интеграции, ведения реестров </w:t>
      </w:r>
      <w:r>
        <w:rPr>
          <w:rFonts w:ascii="Times New Roman" w:hAnsi="Times New Roman"/>
          <w:color w:val="000000" w:themeColor="text1"/>
          <w:sz w:val="28"/>
          <w:szCs w:val="28"/>
        </w:rPr>
        <w:br/>
        <w:t>и формуляров»</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подсистема «Учет и отчетность»</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подсистема «Ведение нормативной справочной информации»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Реализован функциональный мониторинг в подсистемах ГИИС «Электронный бюджет» согласно операциям из Каталога сервисов Федерального казначейства, так: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 подсистеме «Обеспечение интеграции, ведение реестров </w:t>
      </w:r>
      <w:r>
        <w:rPr>
          <w:rFonts w:ascii="Times New Roman" w:hAnsi="Times New Roman"/>
          <w:color w:val="000000" w:themeColor="text1"/>
          <w:sz w:val="28"/>
          <w:szCs w:val="28"/>
        </w:rPr>
        <w:br/>
        <w:t>и формуляров»</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 реализованы: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личный кабинет;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управление формулярами;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подсистеме «Ведение нормативной справочной информации» ГИИС «Электронный бюджет» реализованы: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Реестр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формирование и ведение БПГМУ;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формирование и ведение ВПГМУ;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Едином портале бюджетных средств реализованы: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обеспечение доступа к контенту</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(открытая часть);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обеспечение доступа к контенту (закрытая часть);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подсистеме «Управления расходами»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 реализованы: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ведение Реестра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ведение Реестра государственных заданий;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централизация сведений об операциях на лицевых счетах;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учет бюджетных обязательств.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подсистеме «Обеспечения юридической значимости»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rPr>
        <w:t>ГИИС «Электронный бюджет» реализованы: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прохождение процедуры идентификация и аутентификации;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согласование и управление доступом.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Организован </w:t>
      </w:r>
      <w:proofErr w:type="spellStart"/>
      <w:r>
        <w:rPr>
          <w:rFonts w:ascii="Times New Roman" w:hAnsi="Times New Roman"/>
          <w:color w:val="000000" w:themeColor="text1"/>
          <w:sz w:val="28"/>
          <w:szCs w:val="28"/>
        </w:rPr>
        <w:t>проактивный</w:t>
      </w:r>
      <w:proofErr w:type="spellEnd"/>
      <w:r>
        <w:rPr>
          <w:rFonts w:ascii="Times New Roman" w:hAnsi="Times New Roman"/>
          <w:color w:val="000000" w:themeColor="text1"/>
          <w:sz w:val="28"/>
          <w:szCs w:val="28"/>
        </w:rPr>
        <w:t xml:space="preserve"> технологический мониторинг работоспособности ИТ-сервисов Федерального казначейства во всех ТОФК в закрытом контуре вычислительных систем, в том числе в Республике Крым и городе федерального значения Севастополь.</w:t>
      </w:r>
    </w:p>
    <w:p>
      <w:pPr>
        <w:tabs>
          <w:tab w:val="num" w:pos="14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Стандартная отчетность по подсистеме «Эксплуатация и техническое обслуживание» в рамках государственных контрактов по эксплуатации контролируется с использованием средств подсистемы «Информирование и отчетность» СУЭ 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Созданы 108 стандартных ИТ-запроса в СУЭ ФК закрытого контура вычислительных систем ЦАФК согласно приказу Федерального казначейства от 30 декабря 2015 г. № 401 «Об организации работ </w:t>
      </w:r>
      <w:r>
        <w:rPr>
          <w:rFonts w:ascii="Times New Roman" w:hAnsi="Times New Roman"/>
          <w:color w:val="000000" w:themeColor="text1"/>
          <w:sz w:val="28"/>
          <w:szCs w:val="28"/>
        </w:rPr>
        <w:br/>
        <w:t xml:space="preserve">по формированию, актуализации, распространению и мониторингу </w:t>
      </w:r>
      <w:r>
        <w:rPr>
          <w:rFonts w:ascii="Times New Roman" w:hAnsi="Times New Roman"/>
          <w:color w:val="000000" w:themeColor="text1"/>
          <w:sz w:val="28"/>
          <w:szCs w:val="28"/>
        </w:rPr>
        <w:lastRenderedPageBreak/>
        <w:t>нормативно-справочной информации, используемой в информационных системах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обеспечения функционирования и развития информационных систем и технологий Федерального казначейства в соответствии </w:t>
      </w:r>
      <w:r>
        <w:rPr>
          <w:rFonts w:ascii="Times New Roman" w:eastAsia="Times New Roman" w:hAnsi="Times New Roman"/>
          <w:color w:val="000000" w:themeColor="text1"/>
          <w:sz w:val="28"/>
          <w:szCs w:val="28"/>
          <w:lang w:eastAsia="ru-RU"/>
        </w:rPr>
        <w:br/>
        <w:t>с требованиями законодательства Российской Федерации регламентирован Порядок организации процессов жизненного цикла информационных систем Федерального казначейства, начиная от правовых оснований создания и развития информационных систем и заканчивая процедурами вывода из эксплуатации информационных систем, что позволило оптимизировать деятельность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В том числе обеспечено развитие ППО «Федеральное казначейство. Аналитический учет и ведение судебной работы» в части добавления новых категорий судебных споров по делам, связанным с осуществлением контрольно-надзорных функций в области финансово-бюджетного контроля, а также в части формирования новых форм отчетности, утвержденных приказом Федерального казначейства от 31 августа 2016 г. № 317 «О внесении изменений в приложения к приказу Федерального казначейства от 11 августа 2014 г. № 168 «Об утверждении форм отчетности о деятельности юридического отдела территориального органа Федерального казначейства и юридического отдела Федерального казенного учреждения «Центр по обеспечению деятельности Казначейства России», </w:t>
      </w:r>
      <w:r>
        <w:rPr>
          <w:rFonts w:ascii="Times New Roman" w:eastAsia="Times New Roman" w:hAnsi="Times New Roman"/>
          <w:color w:val="000000" w:themeColor="text1"/>
          <w:sz w:val="28"/>
          <w:szCs w:val="28"/>
          <w:lang w:eastAsia="ru-RU"/>
        </w:rPr>
        <w:br/>
        <w:t xml:space="preserve">а также принято участие в подготовке внедрения подсистемы «Учет правовой работы и судебных дел» в Системе комплексного информационно-аналитического обеспечения деятельности ТОФК, в ходе которого была согласована техническая документация, проведены приемочные испытания. В результате подсистема «Учет правовой работы </w:t>
      </w:r>
      <w:r>
        <w:rPr>
          <w:rFonts w:ascii="Times New Roman" w:eastAsia="Times New Roman" w:hAnsi="Times New Roman"/>
          <w:color w:val="000000" w:themeColor="text1"/>
          <w:sz w:val="28"/>
          <w:szCs w:val="28"/>
          <w:lang w:eastAsia="ru-RU"/>
        </w:rPr>
        <w:br/>
        <w:t>и судебных дел» принята в опытную эксплуатацию.</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5.4.1. Государственная автоматизированная система «Управление»</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2016 году в рамках развития ГАС «Управление» обеспечена интеграция с подсистемой «Управление расходами» ГИИС «Электронный бюджет» и организована информационная поддержка казначейского сопровождения отдельных государственных контрактов (договоров)</w:t>
      </w:r>
      <w:r>
        <w:rPr>
          <w:rFonts w:ascii="Times New Roman" w:eastAsiaTheme="minorHAnsi" w:hAnsi="Times New Roman"/>
          <w:color w:val="000000" w:themeColor="text1"/>
          <w:sz w:val="28"/>
          <w:szCs w:val="28"/>
        </w:rPr>
        <w:br/>
        <w:t>в ГАС «Управление».</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Реализованы процессы государственной регистрации документов</w:t>
      </w:r>
      <w:r>
        <w:rPr>
          <w:rFonts w:ascii="Times New Roman" w:eastAsiaTheme="minorHAnsi" w:hAnsi="Times New Roman"/>
          <w:color w:val="000000" w:themeColor="text1"/>
          <w:sz w:val="28"/>
          <w:szCs w:val="28"/>
        </w:rPr>
        <w:br/>
        <w:t>и ведения государственного реестра документов стратегического планирования.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соответствии с постановлением Правительства Российской Федерации от 3 ноября 2012 г. № 1142 «О мерах по реализации Указа </w:t>
      </w:r>
      <w:r>
        <w:rPr>
          <w:rFonts w:ascii="Times New Roman" w:eastAsiaTheme="minorHAnsi" w:hAnsi="Times New Roman"/>
          <w:color w:val="000000" w:themeColor="text1"/>
          <w:sz w:val="28"/>
          <w:szCs w:val="28"/>
        </w:rPr>
        <w:lastRenderedPageBreak/>
        <w:t>Президента Российской Федерации от 21 августа 2012 г. № 1199</w:t>
      </w:r>
      <w:r>
        <w:rPr>
          <w:rFonts w:ascii="Times New Roman" w:eastAsiaTheme="minorHAnsi" w:hAnsi="Times New Roman"/>
          <w:color w:val="000000" w:themeColor="text1"/>
          <w:sz w:val="28"/>
          <w:szCs w:val="28"/>
        </w:rPr>
        <w:br/>
        <w:t>«Об оценке эффективности деятельности органов исполнительной власти субъектов Российской Федерации» выполнена разработка комплексного мониторинга и анализа показателей.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Выполнены требования распоряжения Правительства Российской Федерации от 15 июня 2009 г. № 806-р «Об организации и проведении мониторинга процессов в реальном секторе экономики, финансово-банковской и социальной сферах субъектов Российской Федерации»</w:t>
      </w:r>
      <w:r>
        <w:rPr>
          <w:rFonts w:ascii="Times New Roman" w:eastAsiaTheme="minorHAnsi" w:hAnsi="Times New Roman"/>
          <w:color w:val="000000" w:themeColor="text1"/>
          <w:sz w:val="28"/>
          <w:szCs w:val="28"/>
        </w:rPr>
        <w:br/>
        <w:t>в части разработки инструментов проведения комплексного мониторинга</w:t>
      </w:r>
      <w:r>
        <w:rPr>
          <w:rFonts w:ascii="Times New Roman" w:eastAsiaTheme="minorHAnsi" w:hAnsi="Times New Roman"/>
          <w:color w:val="000000" w:themeColor="text1"/>
          <w:sz w:val="28"/>
          <w:szCs w:val="28"/>
        </w:rPr>
        <w:br/>
        <w:t>и анализа показателей.</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Осуществлена доработка инструментов проведения комплексного анализа процессов организации и предоставления государственных услуг, мониторинга и прогноза социально экономического развития субъектов Российской Федерации, инструментов комплексного мониторинга социально-экономического развития </w:t>
      </w:r>
      <w:proofErr w:type="spellStart"/>
      <w:r>
        <w:rPr>
          <w:rFonts w:ascii="Times New Roman" w:eastAsiaTheme="minorHAnsi" w:hAnsi="Times New Roman"/>
          <w:color w:val="000000" w:themeColor="text1"/>
          <w:sz w:val="28"/>
          <w:szCs w:val="28"/>
        </w:rPr>
        <w:t>монопрофильных</w:t>
      </w:r>
      <w:proofErr w:type="spellEnd"/>
      <w:r>
        <w:rPr>
          <w:rFonts w:ascii="Times New Roman" w:eastAsiaTheme="minorHAnsi" w:hAnsi="Times New Roman"/>
          <w:color w:val="000000" w:themeColor="text1"/>
          <w:sz w:val="28"/>
          <w:szCs w:val="28"/>
        </w:rPr>
        <w:t xml:space="preserve"> муниципальных образований Российской Федерации (моногорода), мониторинга внедрения и оценки эффективности использования спутниковых навигационных технологий на базе системы ГЛОНАСС/GPS.</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5.4.2. Развитие </w:t>
      </w:r>
      <w:r>
        <w:rPr>
          <w:rFonts w:ascii="Times New Roman" w:hAnsi="Times New Roman"/>
          <w:b/>
          <w:color w:val="000000" w:themeColor="text1"/>
          <w:sz w:val="28"/>
          <w:szCs w:val="28"/>
          <w:lang w:eastAsia="ar-SA"/>
        </w:rPr>
        <w:t xml:space="preserve">официального сайта Российской Федерации </w:t>
      </w:r>
      <w:r>
        <w:rPr>
          <w:rFonts w:ascii="Times New Roman" w:hAnsi="Times New Roman"/>
          <w:b/>
          <w:color w:val="000000" w:themeColor="text1"/>
          <w:sz w:val="28"/>
          <w:szCs w:val="28"/>
          <w:lang w:eastAsia="ar-SA"/>
        </w:rPr>
        <w:br/>
        <w:t xml:space="preserve">в информационно-телекоммуникационной сети «Интернет» </w:t>
      </w:r>
      <w:r>
        <w:rPr>
          <w:rFonts w:ascii="Times New Roman" w:hAnsi="Times New Roman"/>
          <w:b/>
          <w:color w:val="000000" w:themeColor="text1"/>
          <w:sz w:val="28"/>
          <w:szCs w:val="28"/>
          <w:lang w:eastAsia="ar-SA"/>
        </w:rPr>
        <w:br/>
        <w:t>для размещения информации о государственных (муниципальных) учреждениях (www.</w:t>
      </w:r>
      <w:hyperlink r:id="rId202" w:history="1">
        <w:r>
          <w:rPr>
            <w:rFonts w:ascii="Times New Roman" w:hAnsi="Times New Roman"/>
            <w:b/>
            <w:color w:val="000000" w:themeColor="text1"/>
            <w:sz w:val="28"/>
            <w:szCs w:val="28"/>
            <w:lang w:eastAsia="ar-SA"/>
          </w:rPr>
          <w:t>bus.gov.ru</w:t>
        </w:r>
      </w:hyperlink>
      <w:r>
        <w:rPr>
          <w:rFonts w:ascii="Times New Roman" w:hAnsi="Times New Roman"/>
          <w:b/>
          <w:color w:val="000000" w:themeColor="text1"/>
          <w:sz w:val="28"/>
          <w:szCs w:val="28"/>
          <w:lang w:eastAsia="ar-SA"/>
        </w:rPr>
        <w:t>)</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2016 году в рамках исполнения поручений Минфина России</w:t>
      </w:r>
      <w:r>
        <w:rPr>
          <w:rFonts w:ascii="Times New Roman" w:eastAsiaTheme="minorHAnsi" w:hAnsi="Times New Roman"/>
          <w:color w:val="000000" w:themeColor="text1"/>
          <w:sz w:val="28"/>
          <w:szCs w:val="28"/>
        </w:rPr>
        <w:br/>
        <w:t>и протокола заседания комиссии при Президенте Российской Федерации разработана форма «Мониторинг размещения сведений по Независимой оценке», отображающая динамику размещения сведений в разрезе показателей и регионов.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Разработан отчет «Рейтинг учреждений», демонстрирующий список учреждений в сфере образования, культуры, здравоохранении</w:t>
      </w:r>
      <w:r>
        <w:rPr>
          <w:rFonts w:ascii="Times New Roman" w:eastAsiaTheme="minorHAnsi" w:hAnsi="Times New Roman"/>
          <w:color w:val="000000" w:themeColor="text1"/>
          <w:sz w:val="28"/>
          <w:szCs w:val="28"/>
        </w:rPr>
        <w:br/>
        <w:t>и социального обслуживания. Учреждения отображаются</w:t>
      </w:r>
      <w:r>
        <w:rPr>
          <w:rFonts w:ascii="Times New Roman" w:eastAsiaTheme="minorHAnsi" w:hAnsi="Times New Roman"/>
          <w:color w:val="000000" w:themeColor="text1"/>
          <w:sz w:val="28"/>
          <w:szCs w:val="28"/>
        </w:rPr>
        <w:br/>
        <w:t>на интерактивной карте в форме таблицы с соответствующим рейтингом, построение которого осуществляется на основании значений показателей общих критериев, определенных ФОИВ в сфере образования, культуры, здравоохранении и социального обслуживания. Реализована система оперативной фильтрации списка учреждений по общему рейтингу, по оценкам, полученным по общим критериям оценки качества оказания услуг организациями, установленными федеральным органом исполнительной власти, осуществляющими функции по:</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выработке и реализации государственной политики и нормативному правовому регулированию в сфере культуры;</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выработке и реализации государственной политики и нормативно-правовому регулированию в сфере здравоохранения;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выработке государственной политики и нормативно-правовому регулированию в сфере образования;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выработке и реализации государственной политики и нормативному правовому регулированию в сфере социального обслуживания, </w:t>
      </w:r>
      <w:r>
        <w:rPr>
          <w:rFonts w:ascii="Times New Roman" w:eastAsiaTheme="minorHAnsi" w:hAnsi="Times New Roman"/>
          <w:color w:val="000000" w:themeColor="text1"/>
          <w:sz w:val="28"/>
          <w:szCs w:val="28"/>
        </w:rPr>
        <w:br/>
        <w:t xml:space="preserve">в соответствии с абзацем 10 статьи 36.1 Федерального закона от 5 мая 2014 г. № 102-ФЗ «Основы законодательства Российской Федерации </w:t>
      </w:r>
      <w:r>
        <w:rPr>
          <w:rFonts w:ascii="Times New Roman" w:eastAsiaTheme="minorHAnsi" w:hAnsi="Times New Roman"/>
          <w:color w:val="000000" w:themeColor="text1"/>
          <w:sz w:val="28"/>
          <w:szCs w:val="28"/>
        </w:rPr>
        <w:br/>
        <w:t>о культуре», частью 6 статьи 23.1 Федерального закона от 28 декабря 2013 г. № 442-ФЗ «Об основах социального обслуживания граждан в Российской Федерации», частью 5 статьи 79.1 Федерального закона от 21 ноября 2011 г. № 323-ФЗ «Об основах охраны здоровья граждан в Российской Федерации», частью 5 статьи 95.2 Федерального закона от 29 декабря 2012 г. № 273-ФЗ «Об образовании в Российской Федерации».</w:t>
      </w:r>
      <w:r>
        <w:rPr>
          <w:rFonts w:ascii="Times New Roman" w:eastAsia="Times New Roman" w:hAnsi="Times New Roman"/>
          <w:i/>
          <w:color w:val="000000" w:themeColor="text1"/>
          <w:sz w:val="24"/>
          <w:szCs w:val="24"/>
        </w:rPr>
        <w:t xml:space="preserve"> </w:t>
      </w:r>
      <w:r>
        <w:rPr>
          <w:rFonts w:ascii="Times New Roman" w:eastAsiaTheme="minorHAnsi" w:hAnsi="Times New Roman"/>
          <w:color w:val="000000" w:themeColor="text1"/>
          <w:sz w:val="28"/>
          <w:szCs w:val="28"/>
        </w:rPr>
        <w:t xml:space="preserve">Реализован переход </w:t>
      </w:r>
      <w:r>
        <w:rPr>
          <w:rFonts w:ascii="Times New Roman" w:eastAsiaTheme="minorHAnsi" w:hAnsi="Times New Roman"/>
          <w:color w:val="000000" w:themeColor="text1"/>
          <w:sz w:val="28"/>
          <w:szCs w:val="28"/>
        </w:rPr>
        <w:br/>
        <w:t>на карточку конкретного учреждения с отображением детальной информации по его рейтингу, местонахождению (</w:t>
      </w:r>
      <w:proofErr w:type="spellStart"/>
      <w:r>
        <w:rPr>
          <w:rFonts w:ascii="Times New Roman" w:eastAsiaTheme="minorHAnsi" w:hAnsi="Times New Roman"/>
          <w:color w:val="000000" w:themeColor="text1"/>
          <w:sz w:val="28"/>
          <w:szCs w:val="28"/>
        </w:rPr>
        <w:t>геопозиции</w:t>
      </w:r>
      <w:proofErr w:type="spellEnd"/>
      <w:r>
        <w:rPr>
          <w:rFonts w:ascii="Times New Roman" w:eastAsiaTheme="minorHAnsi" w:hAnsi="Times New Roman"/>
          <w:color w:val="000000" w:themeColor="text1"/>
          <w:sz w:val="28"/>
          <w:szCs w:val="28"/>
        </w:rPr>
        <w:t>) данного учреждения по всей Российской Федерации, региону в выбранной сфере деятельности учреждения и группе организаций, к которым применяются указанные показатели.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К общим критериям оценки качества оказания услуг относятся: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1 – критерий открытости и доступности информации об организации;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2 – критерий комфортности условий предоставления услуг </w:t>
      </w:r>
      <w:r>
        <w:rPr>
          <w:rFonts w:ascii="Times New Roman" w:eastAsiaTheme="minorHAnsi" w:hAnsi="Times New Roman"/>
          <w:color w:val="000000" w:themeColor="text1"/>
          <w:sz w:val="28"/>
          <w:szCs w:val="28"/>
        </w:rPr>
        <w:br/>
        <w:t>и доступности их получения;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3 – критерий времени ожидания предоставления услуги;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4 – критерий доброжелательности, вежливости, компетентности работников организации;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5 – критерий удовлетворенности качеством оказания услуг.</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Разработан отчет «Рейтинг субъектов Российской Федерации (муниципальных образований)», отражающий рейтинг регионов в сфере образования, культуры, здравоохранении и социального обслуживания </w:t>
      </w:r>
      <w:r>
        <w:rPr>
          <w:rFonts w:ascii="Times New Roman" w:eastAsiaTheme="minorHAnsi" w:hAnsi="Times New Roman"/>
          <w:color w:val="000000" w:themeColor="text1"/>
          <w:sz w:val="28"/>
          <w:szCs w:val="28"/>
        </w:rPr>
        <w:br/>
        <w:t>на интерактивной карте в цветовой гамме в зависимости от результатов независимой оценки качества образовательной деятельности организаций, осуществляющих образовательную деятельность, оказания услуг организациями культуры, социального обслуживания, медицинскими организациями (далее – Независимая оценка качества) на Официальном сайте ГМУ.</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Реализован переход на использование карточки региона</w:t>
      </w:r>
      <w:r>
        <w:rPr>
          <w:rFonts w:ascii="Times New Roman" w:eastAsiaTheme="minorHAnsi" w:hAnsi="Times New Roman"/>
          <w:color w:val="000000" w:themeColor="text1"/>
          <w:sz w:val="28"/>
          <w:szCs w:val="28"/>
        </w:rPr>
        <w:br/>
        <w:t>с отображением детальной информации по рейтингу региона и количеством оцениваемых организаций по каждой из сфер деятельности.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Статистика размещения сведений по результатам Независимой оценки качества за 2016 год:</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уполномоченные органы – 4 686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общественные советы – 3 823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операторы – 2 240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перечни организаций – 2 490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сведений об организациях – 45 904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результаты оценки – 1 869 записей;</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результаты рассмотрения оценки – 1 131 записей.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Обеспечена инфраструктурная связанность и технологическая интеграция Официального сайта ГМУ и Реестра УБП и НУБП подсистемы «Нормативно-справочная информация» ГИИС «Электронный бюджет» </w:t>
      </w:r>
      <w:r>
        <w:rPr>
          <w:rFonts w:ascii="Times New Roman" w:eastAsiaTheme="minorHAnsi" w:hAnsi="Times New Roman"/>
          <w:color w:val="000000" w:themeColor="text1"/>
          <w:sz w:val="28"/>
          <w:szCs w:val="28"/>
        </w:rPr>
        <w:br/>
        <w:t>по всем уровням бюджетов.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Процент соответствия успешно загруженных на Официальный сайт ГМУ записей о государственных (муниципальных) учреждениях из Реестра УБП и НУБП составляет:</w:t>
      </w:r>
    </w:p>
    <w:p>
      <w:pPr>
        <w:tabs>
          <w:tab w:val="left" w:pos="1134"/>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федеральный уровень: 99,12 процентов;</w:t>
      </w:r>
    </w:p>
    <w:p>
      <w:pPr>
        <w:tabs>
          <w:tab w:val="left" w:pos="1134"/>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уровень субъекта Российской Федерации: 99,44 процентов;</w:t>
      </w:r>
    </w:p>
    <w:p>
      <w:pPr>
        <w:tabs>
          <w:tab w:val="left" w:pos="1134"/>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rPr>
        <w:t xml:space="preserve">– муниципальный уровень: </w:t>
      </w:r>
      <w:r>
        <w:rPr>
          <w:rFonts w:ascii="Times New Roman" w:eastAsiaTheme="minorHAnsi" w:hAnsi="Times New Roman"/>
          <w:color w:val="000000" w:themeColor="text1"/>
          <w:sz w:val="28"/>
          <w:szCs w:val="28"/>
        </w:rPr>
        <w:t>99,69 процентов.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Выполнены работы по переводу оборудования, всех серверов Официального сайта ГМУ и всего объема данных Официального сайта ГМУ в центр обработки данных «Гознак» (ГИИС «Электронный бюджет»). Проведены комплексные испытания Официального сайта ГМУ на площадке единой облачной инфраструктуры. Официальный сайт ГМУ запущен</w:t>
      </w:r>
      <w:r>
        <w:rPr>
          <w:rFonts w:ascii="Times New Roman" w:eastAsiaTheme="minorHAnsi" w:hAnsi="Times New Roman"/>
          <w:color w:val="000000" w:themeColor="text1"/>
          <w:sz w:val="28"/>
          <w:szCs w:val="28"/>
        </w:rPr>
        <w:br/>
        <w:t>в промышленную эксплуатацию на площадке «Гознак».</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Проведены работы по разработке интерактивных </w:t>
      </w:r>
      <w:proofErr w:type="spellStart"/>
      <w:r>
        <w:rPr>
          <w:rFonts w:ascii="Times New Roman" w:eastAsiaTheme="minorHAnsi" w:hAnsi="Times New Roman"/>
          <w:color w:val="000000" w:themeColor="text1"/>
          <w:sz w:val="28"/>
          <w:szCs w:val="28"/>
        </w:rPr>
        <w:t>виджетов</w:t>
      </w:r>
      <w:proofErr w:type="spellEnd"/>
      <w:r>
        <w:rPr>
          <w:rFonts w:ascii="Times New Roman" w:eastAsiaTheme="minorHAnsi" w:hAnsi="Times New Roman"/>
          <w:color w:val="000000" w:themeColor="text1"/>
          <w:sz w:val="28"/>
          <w:szCs w:val="28"/>
        </w:rPr>
        <w:t xml:space="preserve"> на главной странице Официального сайта ГМУ, отображающих информацию</w:t>
      </w:r>
      <w:r>
        <w:rPr>
          <w:rFonts w:ascii="Times New Roman" w:eastAsiaTheme="minorHAnsi" w:hAnsi="Times New Roman"/>
          <w:color w:val="000000" w:themeColor="text1"/>
          <w:sz w:val="28"/>
          <w:szCs w:val="28"/>
        </w:rPr>
        <w:br/>
        <w:t>по рейтингам организаций в различных сферах и группах, статистику</w:t>
      </w:r>
      <w:r>
        <w:rPr>
          <w:rFonts w:ascii="Times New Roman" w:eastAsiaTheme="minorHAnsi" w:hAnsi="Times New Roman"/>
          <w:color w:val="000000" w:themeColor="text1"/>
          <w:sz w:val="28"/>
          <w:szCs w:val="28"/>
        </w:rPr>
        <w:br/>
        <w:t>по размещению сведений в соответствии с приказом Минфина России от 21 июля 2011 г. № 86н «Об утверждении порядка предоставления информации государственным (муниципальным) учреждением, ее размещения</w:t>
      </w:r>
      <w:r>
        <w:rPr>
          <w:rFonts w:ascii="Times New Roman" w:eastAsiaTheme="minorHAnsi" w:hAnsi="Times New Roman"/>
          <w:color w:val="000000" w:themeColor="text1"/>
          <w:sz w:val="28"/>
          <w:szCs w:val="28"/>
        </w:rPr>
        <w:br/>
        <w:t>на официальном сайте в сети «Интернет» и ведения указанного сайта».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Реализована возможность выгрузки размещенных сведений</w:t>
      </w:r>
      <w:r>
        <w:rPr>
          <w:rFonts w:ascii="Times New Roman" w:eastAsiaTheme="minorHAnsi" w:hAnsi="Times New Roman"/>
          <w:color w:val="000000" w:themeColor="text1"/>
          <w:sz w:val="28"/>
          <w:szCs w:val="28"/>
        </w:rPr>
        <w:br/>
        <w:t>по Независимой оценке качества в формате структурированных данных (</w:t>
      </w:r>
      <w:proofErr w:type="spellStart"/>
      <w:r>
        <w:rPr>
          <w:rFonts w:ascii="Times New Roman" w:eastAsiaTheme="minorHAnsi" w:hAnsi="Times New Roman"/>
          <w:color w:val="000000" w:themeColor="text1"/>
          <w:sz w:val="28"/>
          <w:szCs w:val="28"/>
        </w:rPr>
        <w:t>xml</w:t>
      </w:r>
      <w:proofErr w:type="spellEnd"/>
      <w:r>
        <w:rPr>
          <w:rFonts w:ascii="Times New Roman" w:eastAsiaTheme="minorHAnsi" w:hAnsi="Times New Roman"/>
          <w:color w:val="000000" w:themeColor="text1"/>
          <w:sz w:val="28"/>
          <w:szCs w:val="28"/>
        </w:rPr>
        <w:t>) и формате «</w:t>
      </w:r>
      <w:proofErr w:type="spellStart"/>
      <w:r>
        <w:rPr>
          <w:rFonts w:ascii="Times New Roman" w:eastAsiaTheme="minorHAnsi" w:hAnsi="Times New Roman"/>
          <w:color w:val="000000" w:themeColor="text1"/>
          <w:sz w:val="28"/>
          <w:szCs w:val="28"/>
        </w:rPr>
        <w:t>Excel</w:t>
      </w:r>
      <w:proofErr w:type="spellEnd"/>
      <w:r>
        <w:rPr>
          <w:rFonts w:ascii="Times New Roman" w:eastAsiaTheme="minorHAnsi" w:hAnsi="Times New Roman"/>
          <w:color w:val="000000" w:themeColor="text1"/>
          <w:sz w:val="28"/>
          <w:szCs w:val="28"/>
        </w:rPr>
        <w:t>» в Личных кабинетах Уполномоченных органов,</w:t>
      </w:r>
      <w:r>
        <w:rPr>
          <w:rFonts w:ascii="Times New Roman" w:eastAsiaTheme="minorHAnsi" w:hAnsi="Times New Roman"/>
          <w:color w:val="000000" w:themeColor="text1"/>
          <w:sz w:val="28"/>
          <w:szCs w:val="28"/>
        </w:rPr>
        <w:br/>
        <w:t xml:space="preserve">а так же в разделе «Открытые данные» Официального сайта ГМУ Дополнительно </w:t>
      </w:r>
      <w:proofErr w:type="spellStart"/>
      <w:r>
        <w:rPr>
          <w:rFonts w:ascii="Times New Roman" w:eastAsiaTheme="minorHAnsi" w:hAnsi="Times New Roman"/>
          <w:color w:val="000000" w:themeColor="text1"/>
          <w:sz w:val="28"/>
          <w:szCs w:val="28"/>
        </w:rPr>
        <w:t>рализована</w:t>
      </w:r>
      <w:proofErr w:type="spellEnd"/>
      <w:r>
        <w:rPr>
          <w:rFonts w:ascii="Times New Roman" w:eastAsiaTheme="minorHAnsi" w:hAnsi="Times New Roman"/>
          <w:color w:val="000000" w:themeColor="text1"/>
          <w:sz w:val="28"/>
          <w:szCs w:val="28"/>
        </w:rPr>
        <w:t xml:space="preserve"> возможность размещения и отображения сферы </w:t>
      </w:r>
      <w:r>
        <w:rPr>
          <w:rFonts w:ascii="Times New Roman" w:eastAsiaTheme="minorHAnsi" w:hAnsi="Times New Roman"/>
          <w:color w:val="000000" w:themeColor="text1"/>
          <w:sz w:val="28"/>
          <w:szCs w:val="28"/>
        </w:rPr>
        <w:lastRenderedPageBreak/>
        <w:t>«Спорт» по Независимой оценке качества. В результатах поиска</w:t>
      </w:r>
      <w:r>
        <w:rPr>
          <w:rFonts w:ascii="Times New Roman" w:eastAsiaTheme="minorHAnsi" w:hAnsi="Times New Roman"/>
          <w:color w:val="000000" w:themeColor="text1"/>
          <w:sz w:val="28"/>
          <w:szCs w:val="28"/>
        </w:rPr>
        <w:br/>
        <w:t>по размещенной информации об учреждениях реализовано отображение рейтингов учреждений по Независимой оценке качества.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Доработан сервис управления обновлением данных из ЕГРЮЛ</w:t>
      </w:r>
      <w:r>
        <w:rPr>
          <w:rFonts w:ascii="Times New Roman" w:eastAsiaTheme="minorHAnsi" w:hAnsi="Times New Roman"/>
          <w:color w:val="000000" w:themeColor="text1"/>
          <w:sz w:val="28"/>
          <w:szCs w:val="28"/>
        </w:rPr>
        <w:br/>
        <w:t>с использованием сервиса Системы межведомственного электронного взаимодействия (далее – СМЭВ) при размещении сведений о Независимой оценке качества по негосударственным организациям.</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Доработаны формы размещения и отображения информации</w:t>
      </w:r>
      <w:r>
        <w:rPr>
          <w:rFonts w:ascii="Times New Roman" w:eastAsiaTheme="minorHAnsi" w:hAnsi="Times New Roman"/>
          <w:color w:val="000000" w:themeColor="text1"/>
          <w:sz w:val="28"/>
          <w:szCs w:val="28"/>
        </w:rPr>
        <w:br/>
        <w:t>о годовой бухгалтерской отчетности в соответствии с изменениями, вносимыми приказами Минфина России: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от 17 декабря 2015 г. № 199н «О внесении изменений в приказ Министерства финансов Российской Федерации от 25 марта 2011 г. № 33н «Об утверждении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от 31 декабря 2015 г. № 229н «О внесении изменений в приказ Министерства финансов Российской Федерации от 28 декабря 2010 г.</w:t>
      </w:r>
      <w:r>
        <w:rPr>
          <w:rFonts w:ascii="Times New Roman" w:eastAsiaTheme="minorHAnsi" w:hAnsi="Times New Roman"/>
          <w:color w:val="000000" w:themeColor="text1"/>
          <w:sz w:val="28"/>
          <w:szCs w:val="28"/>
        </w:rPr>
        <w:br/>
        <w:t>№ 191н «Об утверждении Инструкции о порядке составления</w:t>
      </w:r>
      <w:r>
        <w:rPr>
          <w:rFonts w:ascii="Times New Roman" w:eastAsiaTheme="minorHAnsi" w:hAnsi="Times New Roman"/>
          <w:color w:val="000000" w:themeColor="text1"/>
          <w:sz w:val="28"/>
          <w:szCs w:val="28"/>
        </w:rPr>
        <w:br/>
        <w:t>и представления годовой, квартальной и ежемесячной отчетности</w:t>
      </w:r>
      <w:r>
        <w:rPr>
          <w:rFonts w:ascii="Times New Roman" w:eastAsiaTheme="minorHAnsi" w:hAnsi="Times New Roman"/>
          <w:color w:val="000000" w:themeColor="text1"/>
          <w:sz w:val="28"/>
          <w:szCs w:val="28"/>
        </w:rPr>
        <w:br/>
        <w:t>об исполнении бюджетов бюджетной системы Российской Федерации».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По состоянию на 1 января 2017 года на Официальном сайте ГМУ зарегистрировано 170 735 учреждений (типы учреждений – «бюджетные», «казенные», «автономные»), данные по которым обновлены и актуальны, в том числе, 5 538 обособленных структурных подразделений государственных (муниципальных) учреждений по уровням бюджетов:</w:t>
      </w:r>
    </w:p>
    <w:p>
      <w:pPr>
        <w:spacing w:after="0" w:line="360" w:lineRule="atLeast"/>
        <w:ind w:left="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rPr>
        <w:t>– 11 </w:t>
      </w:r>
      <w:r>
        <w:rPr>
          <w:rFonts w:ascii="Times New Roman" w:eastAsiaTheme="minorHAnsi" w:hAnsi="Times New Roman"/>
          <w:color w:val="000000" w:themeColor="text1"/>
          <w:sz w:val="28"/>
          <w:szCs w:val="28"/>
        </w:rPr>
        <w:t>270 – учреждений федерального уровня;</w:t>
      </w:r>
    </w:p>
    <w:p>
      <w:pPr>
        <w:spacing w:after="0" w:line="360" w:lineRule="atLeast"/>
        <w:ind w:left="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34 947 – учреждений уровня субъекта Российской Федерации;</w:t>
      </w:r>
    </w:p>
    <w:p>
      <w:pPr>
        <w:spacing w:after="0" w:line="360" w:lineRule="atLeast"/>
        <w:ind w:left="709"/>
        <w:jc w:val="both"/>
        <w:rPr>
          <w:rFonts w:ascii="Times New Roman" w:eastAsia="Times New Roman" w:hAnsi="Times New Roman"/>
          <w:color w:val="000000" w:themeColor="text1"/>
          <w:sz w:val="28"/>
          <w:szCs w:val="28"/>
        </w:rPr>
      </w:pPr>
      <w:r>
        <w:rPr>
          <w:rFonts w:ascii="Times New Roman" w:eastAsiaTheme="minorHAnsi" w:hAnsi="Times New Roman"/>
          <w:color w:val="000000" w:themeColor="text1"/>
          <w:sz w:val="28"/>
          <w:szCs w:val="28"/>
        </w:rPr>
        <w:t>– 124 497 – учреждений муниципального</w:t>
      </w:r>
      <w:r>
        <w:rPr>
          <w:rFonts w:ascii="Times New Roman" w:eastAsia="Times New Roman" w:hAnsi="Times New Roman"/>
          <w:color w:val="000000" w:themeColor="text1"/>
          <w:sz w:val="28"/>
          <w:szCs w:val="28"/>
        </w:rPr>
        <w:t xml:space="preserve"> уровня.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По типам учреждений:</w:t>
      </w:r>
    </w:p>
    <w:p>
      <w:pPr>
        <w:spacing w:after="0" w:line="360" w:lineRule="atLeast"/>
        <w:ind w:left="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17 142 – автономных учреждения;</w:t>
      </w:r>
    </w:p>
    <w:p>
      <w:pPr>
        <w:spacing w:after="0" w:line="360" w:lineRule="atLeast"/>
        <w:ind w:left="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107 561 – бюджетное учреждение;</w:t>
      </w:r>
    </w:p>
    <w:p>
      <w:pPr>
        <w:spacing w:after="0" w:line="360" w:lineRule="atLeast"/>
        <w:ind w:left="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46 032 – казенных учреждения.</w:t>
      </w:r>
    </w:p>
    <w:p>
      <w:pPr>
        <w:spacing w:before="120" w:after="120" w:line="240" w:lineRule="auto"/>
        <w:ind w:firstLine="709"/>
        <w:jc w:val="both"/>
        <w:rPr>
          <w:rFonts w:ascii="Times New Roman" w:hAnsi="Times New Roman"/>
          <w:b/>
          <w:color w:val="000000" w:themeColor="text1"/>
          <w:sz w:val="28"/>
          <w:szCs w:val="28"/>
        </w:rPr>
      </w:pPr>
      <w:r>
        <w:rPr>
          <w:rFonts w:ascii="Times New Roman" w:eastAsiaTheme="minorEastAsia" w:hAnsi="Times New Roman"/>
          <w:b/>
          <w:color w:val="000000" w:themeColor="text1"/>
          <w:kern w:val="24"/>
          <w:sz w:val="28"/>
          <w:szCs w:val="28"/>
          <w:lang w:eastAsia="ru-RU"/>
        </w:rPr>
        <w:t>5.4.3. </w:t>
      </w:r>
      <w:r>
        <w:rPr>
          <w:rFonts w:ascii="Times New Roman" w:hAnsi="Times New Roman"/>
          <w:b/>
          <w:color w:val="000000" w:themeColor="text1"/>
          <w:sz w:val="28"/>
          <w:szCs w:val="28"/>
        </w:rPr>
        <w:t xml:space="preserve">Государственной информационной системы </w:t>
      </w:r>
      <w:r>
        <w:rPr>
          <w:rFonts w:ascii="Times New Roman" w:hAnsi="Times New Roman"/>
          <w:b/>
          <w:color w:val="000000" w:themeColor="text1"/>
          <w:sz w:val="28"/>
          <w:szCs w:val="28"/>
        </w:rPr>
        <w:br/>
        <w:t>о государственных и муниципальных платежах</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Основными задачами в 2016 году по развитию </w:t>
      </w:r>
      <w:r>
        <w:rPr>
          <w:rFonts w:ascii="Times New Roman" w:eastAsiaTheme="minorEastAsia" w:hAnsi="Times New Roman"/>
          <w:color w:val="000000" w:themeColor="text1"/>
          <w:kern w:val="24"/>
          <w:sz w:val="28"/>
          <w:szCs w:val="28"/>
          <w:lang w:eastAsia="ru-RU"/>
        </w:rPr>
        <w:t>ГИС ГМП</w:t>
      </w:r>
      <w:r>
        <w:rPr>
          <w:rFonts w:ascii="Times New Roman" w:eastAsiaTheme="minorHAnsi" w:hAnsi="Times New Roman"/>
          <w:color w:val="000000" w:themeColor="text1"/>
          <w:sz w:val="28"/>
          <w:szCs w:val="28"/>
        </w:rPr>
        <w:t xml:space="preserve"> являлись развитие форматов взаимодействия с его участниками, технологическое обеспечение расширения возможностей по анализу данных, а также расширение сервисов и механизмов для работы с ГИС ГМП.</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 xml:space="preserve">В рамках реализации требований к Форматам обмена информацией участников с </w:t>
      </w:r>
      <w:r>
        <w:rPr>
          <w:rFonts w:ascii="Times New Roman" w:eastAsiaTheme="minorEastAsia" w:hAnsi="Times New Roman"/>
          <w:color w:val="000000" w:themeColor="text1"/>
          <w:kern w:val="24"/>
          <w:sz w:val="28"/>
          <w:szCs w:val="28"/>
          <w:lang w:eastAsia="ru-RU"/>
        </w:rPr>
        <w:t xml:space="preserve">ГИС ГМП </w:t>
      </w:r>
      <w:r>
        <w:rPr>
          <w:rFonts w:ascii="Times New Roman" w:eastAsiaTheme="minorHAnsi" w:hAnsi="Times New Roman"/>
          <w:color w:val="000000" w:themeColor="text1"/>
          <w:sz w:val="28"/>
          <w:szCs w:val="28"/>
        </w:rPr>
        <w:t xml:space="preserve">версии 1.16.2 (далее – Формат 1.16.2) </w:t>
      </w:r>
      <w:r>
        <w:rPr>
          <w:rFonts w:ascii="Times New Roman" w:eastAsiaTheme="minorEastAsia" w:hAnsi="Times New Roman"/>
          <w:color w:val="000000" w:themeColor="text1"/>
          <w:kern w:val="24"/>
          <w:sz w:val="28"/>
          <w:szCs w:val="28"/>
          <w:lang w:eastAsia="ru-RU"/>
        </w:rPr>
        <w:t>(установленной на промышленной платформе Федерального казначейства)</w:t>
      </w:r>
      <w:r>
        <w:rPr>
          <w:rFonts w:ascii="Times New Roman" w:eastAsiaTheme="minorHAnsi" w:hAnsi="Times New Roman"/>
          <w:color w:val="000000" w:themeColor="text1"/>
          <w:sz w:val="28"/>
          <w:szCs w:val="28"/>
        </w:rPr>
        <w:br/>
        <w:t>в том числе выполнено:</w:t>
      </w:r>
    </w:p>
    <w:p>
      <w:pPr>
        <w:spacing w:after="0" w:line="360" w:lineRule="atLeast"/>
        <w:ind w:firstLine="709"/>
        <w:jc w:val="both"/>
        <w:rPr>
          <w:rFonts w:ascii="Times New Roman" w:eastAsiaTheme="minorEastAsia" w:hAnsi="Times New Roman"/>
          <w:color w:val="000000" w:themeColor="text1"/>
          <w:kern w:val="24"/>
          <w:sz w:val="28"/>
          <w:szCs w:val="28"/>
          <w:lang w:eastAsia="ru-RU"/>
        </w:rPr>
      </w:pPr>
      <w:r>
        <w:rPr>
          <w:rFonts w:ascii="Times New Roman" w:eastAsiaTheme="minorHAnsi" w:hAnsi="Times New Roman"/>
          <w:color w:val="000000" w:themeColor="text1"/>
          <w:sz w:val="28"/>
          <w:szCs w:val="28"/>
        </w:rPr>
        <w:t>– </w:t>
      </w:r>
      <w:r>
        <w:rPr>
          <w:rFonts w:ascii="Times New Roman" w:eastAsiaTheme="minorEastAsia" w:hAnsi="Times New Roman"/>
          <w:color w:val="000000" w:themeColor="text1"/>
          <w:kern w:val="24"/>
          <w:sz w:val="28"/>
          <w:szCs w:val="28"/>
          <w:lang w:eastAsia="ru-RU"/>
        </w:rPr>
        <w:t xml:space="preserve">усиление форматно-логического контроля при импорте государственных и муниципальных платежей и начислений </w:t>
      </w:r>
      <w:r>
        <w:rPr>
          <w:rFonts w:ascii="Times New Roman" w:eastAsiaTheme="minorEastAsia" w:hAnsi="Times New Roman"/>
          <w:color w:val="000000" w:themeColor="text1"/>
          <w:kern w:val="24"/>
          <w:sz w:val="28"/>
          <w:szCs w:val="28"/>
          <w:lang w:eastAsia="ru-RU"/>
        </w:rPr>
        <w:br/>
        <w:t xml:space="preserve">из информационных систем администраторов доходов, в том числе, структуры уникального идентификатора начисления и обязательность </w:t>
      </w:r>
      <w:r>
        <w:rPr>
          <w:rFonts w:ascii="Times New Roman" w:eastAsiaTheme="minorEastAsia" w:hAnsi="Times New Roman"/>
          <w:color w:val="000000" w:themeColor="text1"/>
          <w:kern w:val="24"/>
          <w:sz w:val="28"/>
          <w:szCs w:val="28"/>
          <w:lang w:eastAsia="ru-RU"/>
        </w:rPr>
        <w:br/>
        <w:t>его передачи в ГИС ГМП, а также контроля сроков передачи платежей;</w:t>
      </w:r>
    </w:p>
    <w:p>
      <w:pPr>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eastAsiaTheme="minorHAnsi" w:hAnsi="Times New Roman"/>
          <w:color w:val="000000" w:themeColor="text1"/>
          <w:sz w:val="28"/>
          <w:szCs w:val="28"/>
        </w:rPr>
        <w:t xml:space="preserve">– для участников </w:t>
      </w:r>
      <w:r>
        <w:rPr>
          <w:rFonts w:ascii="Times New Roman" w:eastAsiaTheme="minorEastAsia" w:hAnsi="Times New Roman"/>
          <w:color w:val="000000" w:themeColor="text1"/>
          <w:kern w:val="24"/>
          <w:sz w:val="28"/>
          <w:szCs w:val="28"/>
          <w:lang w:eastAsia="ru-RU"/>
        </w:rPr>
        <w:t>ГИС ГМП</w:t>
      </w:r>
      <w:r>
        <w:rPr>
          <w:rFonts w:ascii="Times New Roman" w:eastAsiaTheme="minorHAnsi" w:hAnsi="Times New Roman"/>
          <w:color w:val="000000" w:themeColor="text1"/>
          <w:sz w:val="28"/>
          <w:szCs w:val="28"/>
        </w:rPr>
        <w:t xml:space="preserve"> обеспечен запрос на экспорт платежей </w:t>
      </w:r>
      <w:r>
        <w:rPr>
          <w:rFonts w:ascii="Times New Roman" w:eastAsiaTheme="minorHAnsi" w:hAnsi="Times New Roman"/>
          <w:color w:val="000000" w:themeColor="text1"/>
          <w:sz w:val="28"/>
          <w:szCs w:val="28"/>
        </w:rPr>
        <w:br/>
        <w:t>с фильтром по конкретному коду бюджетной классификации;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предоставлена возможность изменения результатов квитирования (сопоставления начисления и факта оплаты);</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 реализованы требования Форматов обмена информацией между ТОФК и ГИС ГМП версии 1.16.2 в части обмена посредством файлового адаптера (обеспечен прием из ППО «АСФК» зачислений и платежей </w:t>
      </w:r>
      <w:r>
        <w:rPr>
          <w:rFonts w:ascii="Times New Roman" w:eastAsiaTheme="minorHAnsi" w:hAnsi="Times New Roman"/>
          <w:color w:val="000000" w:themeColor="text1"/>
          <w:sz w:val="28"/>
          <w:szCs w:val="28"/>
        </w:rPr>
        <w:br/>
        <w:t>в Формате 1.16.2).</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5.4.4. Автоматизированная система Федерального казначейства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ППО «АСФК» является важнейшей информационной системой Казначейства России, обеспечивающей соблюдение главных принципов управления государственными финансами.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ППО «АСФК» позволяет осуществлять следующие операции: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ведение кассового планирования, включая прогноз поступлений</w:t>
      </w:r>
      <w:r>
        <w:rPr>
          <w:rFonts w:ascii="Times New Roman" w:eastAsiaTheme="minorHAnsi" w:hAnsi="Times New Roman"/>
          <w:color w:val="000000" w:themeColor="text1"/>
          <w:sz w:val="28"/>
          <w:szCs w:val="28"/>
        </w:rPr>
        <w:br/>
        <w:t>и план платежей, регистрацию бюджетных данных, контроль и учет бюджетных обязательств;</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управление платежами и учет поступлений в бюджетную систему Российской Федерации, распределение поступлений в доход иных бюджетов, осуществление возвратов (зачетов), учет налоговых льгот</w:t>
      </w:r>
      <w:r>
        <w:rPr>
          <w:rFonts w:ascii="Times New Roman" w:eastAsiaTheme="minorHAnsi" w:hAnsi="Times New Roman"/>
          <w:color w:val="000000" w:themeColor="text1"/>
          <w:sz w:val="28"/>
          <w:szCs w:val="28"/>
        </w:rPr>
        <w:br/>
        <w:t>и обработку невыясненных поступлений;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перечисление средств на ЕКС и на счетах иных бюджетов в порядке межбюджетного регулирования;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формирование необходимой оперативной и аналитической отчетности; </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обеспечение юридической значимости и безопасности документооборота с клиентами;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осуществление взаимодействия с ИАС мониторинга ключевых показателей исполнения бюджетов бюджетной системы с информационной системой Минфина России и с информационными системами иных клиентов Федерального казначейства;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 осуществление интеграционного взаимодействия с подсистемами ГИИС «Электронный бюджет».</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развитие ППО «АСФК» проходило по следующим направлениям: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реализация механизмов ведения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imes New Roman" w:hAnsi="Times New Roman"/>
          <w:color w:val="000000" w:themeColor="text1"/>
          <w:sz w:val="28"/>
          <w:szCs w:val="28"/>
          <w:lang w:eastAsia="ru-RU"/>
        </w:rPr>
        <w:t xml:space="preserve"> а также применение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imes New Roman" w:hAnsi="Times New Roman"/>
          <w:color w:val="000000" w:themeColor="text1"/>
          <w:sz w:val="28"/>
          <w:szCs w:val="28"/>
          <w:lang w:eastAsia="ru-RU"/>
        </w:rPr>
        <w:t xml:space="preserve"> в процессах кассового обслуживания исполнения бюджетов;</w:t>
      </w:r>
    </w:p>
    <w:p>
      <w:pPr>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eastAsia="Times New Roman" w:hAnsi="Times New Roman"/>
          <w:color w:val="000000" w:themeColor="text1"/>
          <w:sz w:val="28"/>
          <w:szCs w:val="28"/>
          <w:lang w:eastAsia="ru-RU"/>
        </w:rPr>
        <w:t>– </w:t>
      </w:r>
      <w:r>
        <w:rPr>
          <w:rFonts w:ascii="Times New Roman" w:eastAsiaTheme="minorHAnsi" w:hAnsi="Times New Roman"/>
          <w:color w:val="000000" w:themeColor="text1"/>
          <w:sz w:val="28"/>
          <w:szCs w:val="28"/>
        </w:rPr>
        <w:t xml:space="preserve">интеграция с подсистемой «Нормативно-справочная информация» ГИИС «Электронный бюджет» в части ведения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imes New Roman" w:hAnsi="Times New Roman"/>
          <w:color w:val="000000" w:themeColor="text1"/>
          <w:sz w:val="28"/>
          <w:szCs w:val="28"/>
          <w:lang w:eastAsia="ru-RU"/>
        </w:rPr>
        <w:t>, лицевых счетов, а также справочников общероссийских классификаторов;</w:t>
      </w:r>
    </w:p>
    <w:p>
      <w:pPr>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eastAsia="Times New Roman" w:hAnsi="Times New Roman"/>
          <w:color w:val="000000" w:themeColor="text1"/>
          <w:sz w:val="28"/>
          <w:szCs w:val="28"/>
          <w:lang w:eastAsia="ru-RU"/>
        </w:rPr>
        <w:t>– перевод клиентов и органов Федерального казначейства</w:t>
      </w:r>
      <w:r>
        <w:rPr>
          <w:rFonts w:ascii="Times New Roman" w:eastAsia="Times New Roman" w:hAnsi="Times New Roman"/>
          <w:color w:val="000000" w:themeColor="text1"/>
          <w:sz w:val="28"/>
          <w:szCs w:val="28"/>
          <w:lang w:eastAsia="ru-RU"/>
        </w:rPr>
        <w:br/>
        <w:t xml:space="preserve">на использование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w:t>
      </w:r>
      <w:r>
        <w:rPr>
          <w:rFonts w:ascii="Times New Roman" w:eastAsiaTheme="minorHAnsi" w:hAnsi="Times New Roman"/>
          <w:color w:val="000000" w:themeColor="text1"/>
          <w:sz w:val="28"/>
          <w:szCs w:val="28"/>
        </w:rPr>
        <w:t xml:space="preserve">интеграция с подсистемой «Управление расходами» ГИИС «Электронный бюджет» в части учета ТОФК бюджетных </w:t>
      </w:r>
      <w:r>
        <w:rPr>
          <w:rFonts w:ascii="Times New Roman" w:eastAsiaTheme="minorHAnsi" w:hAnsi="Times New Roman"/>
          <w:color w:val="000000" w:themeColor="text1"/>
          <w:sz w:val="28"/>
          <w:szCs w:val="28"/>
        </w:rPr>
        <w:br/>
        <w:t>и денежных обязательств получателей средств федерального бюджета</w:t>
      </w:r>
      <w:r>
        <w:rPr>
          <w:rFonts w:ascii="Times New Roman" w:eastAsiaTheme="minorHAnsi" w:hAnsi="Times New Roman"/>
          <w:color w:val="000000" w:themeColor="text1"/>
          <w:sz w:val="28"/>
          <w:szCs w:val="28"/>
        </w:rPr>
        <w:br/>
        <w:t>и централизации в подсистеме «Управление расходами» ГИИС «Электронный бюджет» сведений об операциях на лицевых счетах</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обеспечение казначейского сопровождения государственных контрактов, договоров, соглашений в соответствии с приказом Минфина России от 25 декабря 2015 г. № 213н «О порядке проведения территориальными органами Федерального казначейства санкционирования операций при казначейском сопровождении государственных контрактов, договоров (соглашений), а также контрактов, договоров, соглашений, заключенных в рамках их исполнения»;</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обеспечение применения при исполнении федерального бюджета предельных объемов финансирования расходов, утверждаемых </w:t>
      </w:r>
      <w:r>
        <w:rPr>
          <w:rFonts w:ascii="Times New Roman" w:eastAsia="Times New Roman" w:hAnsi="Times New Roman"/>
          <w:color w:val="000000" w:themeColor="text1"/>
          <w:sz w:val="28"/>
          <w:szCs w:val="28"/>
          <w:lang w:eastAsia="ru-RU"/>
        </w:rPr>
        <w:br/>
        <w:t xml:space="preserve">и доводимых до УБП в порядке, утвержденном приказом Минфина России от 21 декабря 2015 г. № 204н </w:t>
      </w:r>
      <w:r>
        <w:rPr>
          <w:rFonts w:ascii="Times New Roman" w:eastAsiaTheme="minorHAnsi" w:hAnsi="Times New Roman"/>
          <w:color w:val="000000" w:themeColor="text1"/>
          <w:sz w:val="28"/>
          <w:szCs w:val="28"/>
        </w:rPr>
        <w:t>«Об утверждении и доведении до главных распорядителей, распорядителей и получателей средств федерального бюджета предельного объема оплаты денежных обязательств и о внесении изменений в некоторые приказы Министерства финансов Российской Федерации»</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обеспечение ведения закрытого реестра банковских гарантий</w:t>
      </w:r>
      <w:r>
        <w:rPr>
          <w:rFonts w:ascii="Times New Roman" w:eastAsia="Times New Roman" w:hAnsi="Times New Roman"/>
          <w:color w:val="000000" w:themeColor="text1"/>
          <w:sz w:val="28"/>
          <w:szCs w:val="28"/>
          <w:lang w:eastAsia="ru-RU"/>
        </w:rPr>
        <w:br/>
        <w:t xml:space="preserve">в соответствии с приказом Минфина России от 22 октября 2015 г № 164н </w:t>
      </w:r>
      <w:r>
        <w:rPr>
          <w:rFonts w:ascii="Times New Roman" w:eastAsia="Times New Roman" w:hAnsi="Times New Roman"/>
          <w:color w:val="000000" w:themeColor="text1"/>
          <w:sz w:val="28"/>
          <w:szCs w:val="28"/>
          <w:lang w:eastAsia="ru-RU"/>
        </w:rPr>
        <w:br/>
        <w:t>«О порядке формирования и направления информации в целях формирования и ведения закрытого реестра банковских гарантий, а также направления Федеральным казначейством выписок и протоколов»;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обеспечение контроля финансового обеспечения закупок</w:t>
      </w:r>
      <w:r>
        <w:rPr>
          <w:rFonts w:ascii="Times New Roman" w:eastAsia="Times New Roman" w:hAnsi="Times New Roman"/>
          <w:color w:val="000000" w:themeColor="text1"/>
          <w:sz w:val="28"/>
          <w:szCs w:val="28"/>
          <w:lang w:eastAsia="ru-RU"/>
        </w:rPr>
        <w:br/>
        <w:t xml:space="preserve">в соответствии с частью 5 статьи 99 Федерального закона № 44-ФЗ, включая </w:t>
      </w:r>
      <w:r>
        <w:rPr>
          <w:rFonts w:ascii="Times New Roman" w:eastAsia="Times New Roman" w:hAnsi="Times New Roman"/>
          <w:color w:val="000000" w:themeColor="text1"/>
          <w:sz w:val="28"/>
          <w:szCs w:val="28"/>
          <w:lang w:eastAsia="ru-RU"/>
        </w:rPr>
        <w:lastRenderedPageBreak/>
        <w:t xml:space="preserve">интеграцию с </w:t>
      </w:r>
      <w:r>
        <w:rPr>
          <w:rFonts w:ascii="Times New Roman" w:eastAsiaTheme="minorHAnsi" w:hAnsi="Times New Roman"/>
          <w:color w:val="000000" w:themeColor="text1"/>
          <w:sz w:val="28"/>
          <w:szCs w:val="28"/>
        </w:rPr>
        <w:t>подсистемой «Управление расходами» ГИИС «Электронный бюджет»</w:t>
      </w:r>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обеспечение предоставления ежемесячной, ежеквартальной, годовой отчетности об исполнении бюджетов бюджетной системы Российской Федерации, а также формирование исходящей отчетности в соответствии </w:t>
      </w:r>
      <w:r>
        <w:rPr>
          <w:rFonts w:ascii="Times New Roman" w:eastAsia="Times New Roman" w:hAnsi="Times New Roman"/>
          <w:color w:val="000000" w:themeColor="text1"/>
          <w:sz w:val="28"/>
          <w:szCs w:val="28"/>
          <w:lang w:eastAsia="ru-RU"/>
        </w:rPr>
        <w:br/>
        <w:t>с приказами: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rPr>
        <w:t>Минфина России</w:t>
      </w:r>
      <w:r>
        <w:rPr>
          <w:rFonts w:ascii="Times New Roman" w:eastAsia="Times New Roman" w:hAnsi="Times New Roman"/>
          <w:color w:val="000000" w:themeColor="text1"/>
          <w:sz w:val="28"/>
          <w:szCs w:val="28"/>
          <w:lang w:eastAsia="ru-RU"/>
        </w:rPr>
        <w:t xml:space="preserve"> от 28 декабря 2010 г. № 191н «Об утверждении Инструкции о порядке составления и представления годовой, ежеквартальной и ежемесячной отчетности об исполнении бюджетов бюджетной системы Российской Федерации»;</w:t>
      </w:r>
    </w:p>
    <w:p>
      <w:pPr>
        <w:spacing w:after="0" w:line="360" w:lineRule="atLeast"/>
        <w:ind w:firstLine="709"/>
        <w:jc w:val="both"/>
        <w:rPr>
          <w:rFonts w:ascii="Times New Roman" w:hAnsi="Times New Roman"/>
          <w:color w:val="000000" w:themeColor="text1"/>
          <w:sz w:val="28"/>
          <w:szCs w:val="28"/>
          <w:lang w:eastAsia="ru-RU"/>
        </w:rPr>
      </w:pPr>
      <w:r>
        <w:rPr>
          <w:rFonts w:ascii="Times New Roman" w:eastAsia="Times New Roman" w:hAnsi="Times New Roman"/>
          <w:color w:val="000000" w:themeColor="text1"/>
          <w:sz w:val="28"/>
          <w:szCs w:val="28"/>
        </w:rPr>
        <w:t>Минфина России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t>от 11 апреля 2016 г. № 116 «Об утверждении форм ежеквартальной 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 перечня таких форм, а также рекомендаций по формированию некоторых форм»;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rPr>
        <w:t>Минфина России</w:t>
      </w:r>
      <w:r>
        <w:rPr>
          <w:rFonts w:ascii="Times New Roman" w:eastAsia="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t xml:space="preserve">от 1 марта 2016 г. № 15 «Об утверждении дополнительных форм годовой и квартальной бюджетной отчетности </w:t>
      </w:r>
      <w:r>
        <w:rPr>
          <w:rFonts w:ascii="Times New Roman" w:hAnsi="Times New Roman"/>
          <w:color w:val="000000" w:themeColor="text1"/>
          <w:sz w:val="28"/>
          <w:szCs w:val="28"/>
          <w:lang w:eastAsia="ru-RU"/>
        </w:rPr>
        <w:br/>
        <w:t>об ис</w:t>
      </w:r>
      <w:r>
        <w:rPr>
          <w:rFonts w:ascii="Times New Roman" w:eastAsia="Times New Roman" w:hAnsi="Times New Roman"/>
          <w:color w:val="000000" w:themeColor="text1"/>
          <w:sz w:val="28"/>
          <w:szCs w:val="28"/>
          <w:lang w:eastAsia="ru-RU"/>
        </w:rPr>
        <w:t xml:space="preserve">полнении федерального бюджета и инструкции о порядке </w:t>
      </w:r>
      <w:r>
        <w:rPr>
          <w:rFonts w:ascii="Times New Roman" w:eastAsia="Times New Roman" w:hAnsi="Times New Roman"/>
          <w:color w:val="000000" w:themeColor="text1"/>
          <w:sz w:val="28"/>
          <w:szCs w:val="28"/>
          <w:lang w:eastAsia="ru-RU"/>
        </w:rPr>
        <w:br/>
        <w:t>их составления и представления»;</w:t>
      </w:r>
    </w:p>
    <w:p>
      <w:pPr>
        <w:spacing w:after="0" w:line="360" w:lineRule="atLeast"/>
        <w:ind w:firstLine="709"/>
        <w:jc w:val="both"/>
        <w:rPr>
          <w:rFonts w:ascii="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Казначейства России от 4 декабря 2015 г. № 339 «Об утверждении Особенностей фо</w:t>
      </w:r>
      <w:r>
        <w:rPr>
          <w:rFonts w:ascii="Times New Roman" w:hAnsi="Times New Roman"/>
          <w:color w:val="000000" w:themeColor="text1"/>
          <w:sz w:val="28"/>
          <w:szCs w:val="28"/>
          <w:lang w:eastAsia="ru-RU"/>
        </w:rPr>
        <w:t>рмирования бюджетной отчетности по кассовому исполнению федерального бюджета, кассовому обслуживанию исполнения бюджетов бюджетной системы Российской Федерации, по операциям</w:t>
      </w:r>
      <w:r>
        <w:rPr>
          <w:rFonts w:ascii="Times New Roman" w:hAnsi="Times New Roman"/>
          <w:color w:val="000000" w:themeColor="text1"/>
          <w:sz w:val="28"/>
          <w:szCs w:val="28"/>
          <w:lang w:eastAsia="ru-RU"/>
        </w:rPr>
        <w:br/>
        <w:t>со средствами бюджетных, автономных учреждений и иных юридических лиц территориальными органами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обеспечение представление отчетности в </w:t>
      </w:r>
      <w:r>
        <w:rPr>
          <w:rFonts w:ascii="Times New Roman" w:eastAsiaTheme="minorHAnsi" w:hAnsi="Times New Roman"/>
          <w:color w:val="000000" w:themeColor="text1"/>
          <w:sz w:val="28"/>
          <w:szCs w:val="28"/>
        </w:rPr>
        <w:t>Минфин России</w:t>
      </w:r>
      <w:r>
        <w:rPr>
          <w:rFonts w:ascii="Times New Roman" w:eastAsiaTheme="minorHAnsi"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в </w:t>
      </w:r>
      <w:r>
        <w:rPr>
          <w:rFonts w:ascii="Times New Roman" w:eastAsiaTheme="minorHAnsi" w:hAnsi="Times New Roman"/>
          <w:color w:val="000000" w:themeColor="text1"/>
          <w:sz w:val="28"/>
          <w:szCs w:val="28"/>
        </w:rPr>
        <w:t>рамках информационного обмена между Министерством финансов Российской Федерации и Федеральным казначейством в соответствии с приказом Минфина России от 25 января 2016 г. № 23 «Об организации представления в электронном виде информации, необходимой для формирования бюджетной отчетности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представление отчетности Евразийского экономического союза: Отчета о зачислении и распределении сумм ввозных таможенных пошлин </w:t>
      </w:r>
      <w:r>
        <w:rPr>
          <w:rFonts w:ascii="Times New Roman" w:eastAsia="Times New Roman" w:hAnsi="Times New Roman"/>
          <w:color w:val="000000" w:themeColor="text1"/>
          <w:sz w:val="28"/>
          <w:szCs w:val="28"/>
          <w:lang w:eastAsia="ru-RU"/>
        </w:rPr>
        <w:br/>
        <w:t xml:space="preserve">и Отчета о зачислении и распределении сумм специальных, антидемпинговых, компенсационных пошлин в части отражения информации по Кыргызской Республике, а также в части деноминации белорусских рублей в соответствии с письмами Евразийской экономической комиссии от 7 сентября 2015 г. № 09-269, 11 сентября 2015 г. № 09-274 </w:t>
      </w:r>
      <w:r>
        <w:rPr>
          <w:rFonts w:ascii="Times New Roman" w:eastAsia="Times New Roman" w:hAnsi="Times New Roman"/>
          <w:color w:val="000000" w:themeColor="text1"/>
          <w:sz w:val="28"/>
          <w:szCs w:val="28"/>
          <w:lang w:eastAsia="ru-RU"/>
        </w:rPr>
        <w:br/>
        <w:t>и 29 июня 2016 г. № 09-155;</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lang w:eastAsia="ru-RU"/>
        </w:rPr>
        <w:lastRenderedPageBreak/>
        <w:t>– </w:t>
      </w:r>
      <w:r>
        <w:rPr>
          <w:rFonts w:ascii="Times New Roman" w:eastAsiaTheme="minorHAnsi" w:hAnsi="Times New Roman"/>
          <w:color w:val="000000" w:themeColor="text1"/>
          <w:sz w:val="28"/>
          <w:szCs w:val="28"/>
        </w:rPr>
        <w:t>обеспечение положений Соглашения об информационном взаимодействии между Федеральной службой по финансовому мониторингу и Федеральным казначейством от 29 марта 2016 г. № 01-01-17/6680/</w:t>
      </w:r>
      <w:r>
        <w:rPr>
          <w:rFonts w:ascii="Times New Roman" w:eastAsiaTheme="minorHAnsi" w:hAnsi="Times New Roman"/>
          <w:color w:val="000000" w:themeColor="text1"/>
          <w:sz w:val="28"/>
          <w:szCs w:val="28"/>
        </w:rPr>
        <w:br/>
        <w:t>/07-04-30/1;</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lang w:eastAsia="ru-RU"/>
        </w:rPr>
        <w:t>– </w:t>
      </w:r>
      <w:r>
        <w:rPr>
          <w:rFonts w:ascii="Times New Roman" w:eastAsiaTheme="minorHAnsi" w:hAnsi="Times New Roman"/>
          <w:color w:val="000000" w:themeColor="text1"/>
          <w:sz w:val="28"/>
          <w:szCs w:val="28"/>
        </w:rPr>
        <w:t>обеспечение положений Дополнительного соглашения от 5 февраля 2016 г. № 2 к Соглашению об информационном взаимодействии Счетной палаты Российской Федерации и Федерального казначейства от 16 мая 2014 года;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автоматизация перекодировки поступлений страховых взносов </w:t>
      </w:r>
      <w:r>
        <w:rPr>
          <w:rFonts w:ascii="Times New Roman" w:eastAsia="Times New Roman" w:hAnsi="Times New Roman"/>
          <w:color w:val="000000" w:themeColor="text1"/>
          <w:sz w:val="28"/>
          <w:szCs w:val="28"/>
          <w:lang w:eastAsia="ru-RU"/>
        </w:rPr>
        <w:br/>
        <w:t xml:space="preserve">для отражения на лицевых счетах Управлений ФНС России в соответствии </w:t>
      </w:r>
      <w:r>
        <w:rPr>
          <w:rFonts w:ascii="Times New Roman" w:eastAsia="Times New Roman" w:hAnsi="Times New Roman"/>
          <w:color w:val="000000" w:themeColor="text1"/>
          <w:sz w:val="28"/>
          <w:szCs w:val="28"/>
          <w:lang w:eastAsia="ru-RU"/>
        </w:rPr>
        <w:br/>
        <w:t xml:space="preserve">с письмами Минфина России от 28 декабря 2016 г. № 21-03-04/78884 </w:t>
      </w:r>
      <w:r>
        <w:rPr>
          <w:rFonts w:ascii="Times New Roman" w:eastAsia="Times New Roman" w:hAnsi="Times New Roman"/>
          <w:color w:val="000000" w:themeColor="text1"/>
          <w:sz w:val="28"/>
          <w:szCs w:val="28"/>
          <w:lang w:eastAsia="ru-RU"/>
        </w:rPr>
        <w:br/>
        <w:t xml:space="preserve">и Федеральной налоговой службы </w:t>
      </w:r>
      <w:r>
        <w:rPr>
          <w:rFonts w:ascii="Times New Roman" w:eastAsiaTheme="minorHAnsi" w:hAnsi="Times New Roman"/>
          <w:color w:val="000000" w:themeColor="text1"/>
          <w:sz w:val="28"/>
          <w:szCs w:val="28"/>
        </w:rPr>
        <w:t>от 12 декабря 2016 г. № ЗН-4-1/24026@.</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рамках выполнения Приоритетной модели выполнены следующие работы:</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выполнена доработка ППО «АСФК» в части осуществления механизма </w:t>
      </w:r>
      <w:proofErr w:type="spellStart"/>
      <w:r>
        <w:rPr>
          <w:rFonts w:ascii="Times New Roman" w:eastAsiaTheme="minorHAnsi" w:hAnsi="Times New Roman"/>
          <w:color w:val="000000" w:themeColor="text1"/>
          <w:sz w:val="28"/>
          <w:szCs w:val="28"/>
        </w:rPr>
        <w:t>самоинкассации</w:t>
      </w:r>
      <w:proofErr w:type="spellEnd"/>
      <w:r>
        <w:rPr>
          <w:rFonts w:ascii="Times New Roman" w:eastAsiaTheme="minorHAnsi" w:hAnsi="Times New Roman"/>
          <w:color w:val="000000" w:themeColor="text1"/>
          <w:sz w:val="28"/>
          <w:szCs w:val="28"/>
        </w:rPr>
        <w:t xml:space="preserve"> и проведены испытания на базе УФК </w:t>
      </w:r>
      <w:r>
        <w:rPr>
          <w:rFonts w:ascii="Times New Roman" w:eastAsiaTheme="minorHAnsi" w:hAnsi="Times New Roman"/>
          <w:color w:val="000000" w:themeColor="text1"/>
          <w:sz w:val="28"/>
          <w:szCs w:val="28"/>
        </w:rPr>
        <w:br/>
        <w:t>по Тульской области и УФК по Тверской области;</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проведено тестирование механизма электронного документооборота в рамках требований к форматам файлов унифицированных форматов электронных банковских сообщений и Федерального казначейства версии 2.0 между ППО «АСФК» и автоматизированной системой «Сбербанк бизнес онлайн», «Сбербанк Корпорация» на базе УФК по Омской области. Осуществлено тиражирование данного механизма во всех ТОФК, что позволило существенно снизить ручной труд и время обработки выписок </w:t>
      </w:r>
      <w:r>
        <w:rPr>
          <w:rFonts w:ascii="Times New Roman" w:eastAsiaTheme="minorHAnsi" w:hAnsi="Times New Roman"/>
          <w:color w:val="000000" w:themeColor="text1"/>
          <w:sz w:val="28"/>
          <w:szCs w:val="28"/>
        </w:rPr>
        <w:br/>
        <w:t xml:space="preserve">по счетам 40116 в ТОФК, а также обеспечить ежедневное оповещение клиентов Федерального казначейства об операциях, совершенных </w:t>
      </w:r>
      <w:r>
        <w:rPr>
          <w:rFonts w:ascii="Times New Roman" w:eastAsiaTheme="minorHAnsi" w:hAnsi="Times New Roman"/>
          <w:color w:val="000000" w:themeColor="text1"/>
          <w:sz w:val="28"/>
          <w:szCs w:val="28"/>
        </w:rPr>
        <w:br/>
        <w:t>с помощью пластиковых карт.</w:t>
      </w:r>
    </w:p>
    <w:p>
      <w:pPr>
        <w:tabs>
          <w:tab w:val="left" w:pos="709"/>
        </w:tabs>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eastAsiaTheme="minorHAnsi" w:hAnsi="Times New Roman"/>
          <w:color w:val="000000" w:themeColor="text1"/>
          <w:sz w:val="28"/>
          <w:szCs w:val="28"/>
        </w:rPr>
        <w:t xml:space="preserve">В целях реализации Приказа № 163н в ППО «АСФК» закрытого контура обеспечено наполнение в полном объеме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heme="minorHAnsi" w:hAnsi="Times New Roman"/>
          <w:color w:val="000000" w:themeColor="text1"/>
          <w:sz w:val="28"/>
          <w:szCs w:val="28"/>
        </w:rPr>
        <w:t xml:space="preserve"> федерального уровня, содержащего сведения, составляющие государственную тайну. В ППО «АСФК» закрытого и открытого контуров обеспечено распространение и обновление данных </w:t>
      </w:r>
      <w:r>
        <w:rPr>
          <w:rFonts w:ascii="Times New Roman" w:eastAsiaTheme="minorEastAsia" w:hAnsi="Times New Roman"/>
          <w:color w:val="000000" w:themeColor="text1"/>
          <w:kern w:val="24"/>
          <w:sz w:val="28"/>
          <w:szCs w:val="28"/>
          <w:lang w:eastAsia="ru-RU"/>
        </w:rPr>
        <w:t>Реестра УБП и НУБП</w:t>
      </w:r>
      <w:r>
        <w:rPr>
          <w:rFonts w:ascii="Times New Roman" w:eastAsiaTheme="minorHAnsi" w:hAnsi="Times New Roman"/>
          <w:color w:val="000000" w:themeColor="text1"/>
          <w:sz w:val="28"/>
          <w:szCs w:val="28"/>
        </w:rPr>
        <w:t>.</w:t>
      </w:r>
      <w:r>
        <w:rPr>
          <w:rFonts w:ascii="Times New Roman" w:eastAsiaTheme="minorEastAsia" w:hAnsi="Times New Roman"/>
          <w:i/>
          <w:color w:val="000000" w:themeColor="text1"/>
          <w:kern w:val="24"/>
          <w:sz w:val="24"/>
          <w:szCs w:val="24"/>
          <w:lang w:eastAsia="ru-RU"/>
        </w:rPr>
        <w:t xml:space="preserve"> </w:t>
      </w:r>
    </w:p>
    <w:p>
      <w:pPr>
        <w:tabs>
          <w:tab w:val="left" w:pos="709"/>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соответствии с приказами Федерального казначейства</w:t>
      </w:r>
      <w:r>
        <w:rPr>
          <w:rFonts w:ascii="Times New Roman" w:eastAsiaTheme="minorHAnsi" w:hAnsi="Times New Roman"/>
          <w:color w:val="000000" w:themeColor="text1"/>
          <w:sz w:val="28"/>
          <w:szCs w:val="28"/>
        </w:rPr>
        <w:br/>
        <w:t xml:space="preserve">от 14 октября 2016 г № 20н «О внесении изменений в нормативные правовые акты Федерального казначейства в целях реализации положений Федерального закона от 28 декабря 2013 г. № 418-ФЗ «О внесении изменений в Бюджетный кодекс Российской Федерации и отдельные законодательные акты Российской Федерации» и от 17 октября 2016 г. № 21н «О порядке открытия и ведения лицевых счетов территориальными органами Федерального казначейства» реализована возможность указания </w:t>
      </w:r>
      <w:r>
        <w:rPr>
          <w:rFonts w:ascii="Times New Roman" w:eastAsiaTheme="minorHAnsi" w:hAnsi="Times New Roman"/>
          <w:color w:val="000000" w:themeColor="text1"/>
          <w:sz w:val="28"/>
          <w:szCs w:val="28"/>
        </w:rPr>
        <w:lastRenderedPageBreak/>
        <w:t xml:space="preserve">во всех документах клиентов кода по </w:t>
      </w:r>
      <w:r>
        <w:rPr>
          <w:rFonts w:ascii="Times New Roman" w:eastAsiaTheme="minorEastAsia" w:hAnsi="Times New Roman"/>
          <w:color w:val="000000" w:themeColor="text1"/>
          <w:kern w:val="24"/>
          <w:sz w:val="28"/>
          <w:szCs w:val="28"/>
          <w:lang w:eastAsia="ru-RU"/>
        </w:rPr>
        <w:t>Реестру УБП и НУБП</w:t>
      </w:r>
      <w:r>
        <w:rPr>
          <w:rFonts w:ascii="Times New Roman" w:eastAsia="Times New Roman" w:hAnsi="Times New Roman"/>
          <w:color w:val="000000" w:themeColor="text1"/>
          <w:sz w:val="28"/>
          <w:szCs w:val="28"/>
          <w:lang w:eastAsia="ru-RU"/>
        </w:rPr>
        <w:t xml:space="preserve"> </w:t>
      </w:r>
      <w:r>
        <w:rPr>
          <w:rFonts w:ascii="Times New Roman" w:eastAsiaTheme="minorHAnsi" w:hAnsi="Times New Roman"/>
          <w:color w:val="000000" w:themeColor="text1"/>
          <w:sz w:val="28"/>
          <w:szCs w:val="28"/>
        </w:rPr>
        <w:t xml:space="preserve">в соответствии </w:t>
      </w:r>
      <w:r>
        <w:rPr>
          <w:rFonts w:ascii="Times New Roman" w:eastAsiaTheme="minorHAnsi" w:hAnsi="Times New Roman"/>
          <w:color w:val="000000" w:themeColor="text1"/>
          <w:sz w:val="28"/>
          <w:szCs w:val="28"/>
        </w:rPr>
        <w:br/>
        <w:t>с Приказом № 163н.</w:t>
      </w:r>
    </w:p>
    <w:p>
      <w:pPr>
        <w:pStyle w:val="11"/>
        <w:tabs>
          <w:tab w:val="left" w:pos="709"/>
          <w:tab w:val="left" w:pos="1134"/>
        </w:tabs>
        <w:spacing w:before="120" w:after="120" w:line="240" w:lineRule="auto"/>
        <w:ind w:left="0" w:firstLine="709"/>
        <w:contextualSpacing w:val="0"/>
        <w:jc w:val="both"/>
        <w:rPr>
          <w:rFonts w:ascii="Times New Roman" w:eastAsiaTheme="minorHAnsi" w:hAnsi="Times New Roman"/>
          <w:b/>
          <w:color w:val="000000" w:themeColor="text1"/>
          <w:sz w:val="28"/>
          <w:szCs w:val="28"/>
        </w:rPr>
      </w:pPr>
      <w:r>
        <w:rPr>
          <w:rFonts w:ascii="Times New Roman" w:hAnsi="Times New Roman"/>
          <w:b/>
          <w:color w:val="000000" w:themeColor="text1"/>
          <w:sz w:val="28"/>
          <w:szCs w:val="28"/>
        </w:rPr>
        <w:t>5.4.5. Реестр участников бюджетного процесса, а также юридических лиц, не являющихся участниками бюджетного процесса</w:t>
      </w:r>
    </w:p>
    <w:p>
      <w:pPr>
        <w:pStyle w:val="11"/>
        <w:tabs>
          <w:tab w:val="left" w:pos="-142"/>
          <w:tab w:val="left" w:pos="1134"/>
        </w:tabs>
        <w:spacing w:line="360" w:lineRule="atLeast"/>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Основной задачей в 2016 году являлась технологическое обеспечение интеграционных процессов </w:t>
      </w:r>
      <w:r>
        <w:rPr>
          <w:rFonts w:ascii="Times New Roman" w:eastAsiaTheme="minorEastAsia" w:hAnsi="Times New Roman"/>
          <w:color w:val="000000" w:themeColor="text1"/>
          <w:kern w:val="24"/>
          <w:sz w:val="28"/>
          <w:szCs w:val="28"/>
          <w:lang w:eastAsia="ru-RU"/>
        </w:rPr>
        <w:t>Реестр УБП и НУБП</w:t>
      </w:r>
      <w:r>
        <w:rPr>
          <w:rFonts w:ascii="Times New Roman" w:hAnsi="Times New Roman"/>
          <w:color w:val="000000" w:themeColor="text1"/>
          <w:sz w:val="28"/>
          <w:szCs w:val="28"/>
        </w:rPr>
        <w:t xml:space="preserve"> с информационными системами, оператором которых является Федеральное казначейство </w:t>
      </w:r>
      <w:r>
        <w:rPr>
          <w:rFonts w:ascii="Times New Roman" w:hAnsi="Times New Roman"/>
          <w:color w:val="000000" w:themeColor="text1"/>
          <w:sz w:val="28"/>
          <w:szCs w:val="28"/>
        </w:rPr>
        <w:br/>
        <w:t>и Министерство финансов Российской Федерации.</w:t>
      </w:r>
    </w:p>
    <w:p>
      <w:pPr>
        <w:pStyle w:val="11"/>
        <w:tabs>
          <w:tab w:val="left" w:pos="-142"/>
          <w:tab w:val="left" w:pos="1134"/>
        </w:tabs>
        <w:spacing w:line="360" w:lineRule="atLeast"/>
        <w:ind w:left="0"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23</w:t>
      </w:r>
    </w:p>
    <w:p>
      <w:pPr>
        <w:spacing w:before="120" w:after="120" w:line="240" w:lineRule="auto"/>
        <w:ind w:firstLine="709"/>
        <w:jc w:val="center"/>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 xml:space="preserve">Наполняемость </w:t>
      </w:r>
      <w:r>
        <w:rPr>
          <w:rFonts w:ascii="Times New Roman" w:eastAsiaTheme="minorEastAsia" w:hAnsi="Times New Roman"/>
          <w:b/>
          <w:color w:val="000000" w:themeColor="text1"/>
          <w:kern w:val="24"/>
          <w:sz w:val="28"/>
          <w:szCs w:val="28"/>
          <w:lang w:eastAsia="ru-RU"/>
        </w:rPr>
        <w:t xml:space="preserve">Реестра УБП и НУБП </w:t>
      </w:r>
      <w:r>
        <w:rPr>
          <w:rFonts w:ascii="Times New Roman" w:hAnsi="Times New Roman"/>
          <w:b/>
          <w:color w:val="000000" w:themeColor="text1"/>
          <w:sz w:val="28"/>
          <w:szCs w:val="28"/>
          <w:lang w:eastAsia="ru-RU"/>
        </w:rPr>
        <w:t>по состоянию на 1 января 2017 года</w:t>
      </w:r>
    </w:p>
    <w:tbl>
      <w:tblPr>
        <w:tblStyle w:val="afc"/>
        <w:tblW w:w="9356" w:type="dxa"/>
        <w:tblInd w:w="108" w:type="dxa"/>
        <w:tblLook w:val="04A0" w:firstRow="1" w:lastRow="0" w:firstColumn="1" w:lastColumn="0" w:noHBand="0" w:noVBand="1"/>
      </w:tblPr>
      <w:tblGrid>
        <w:gridCol w:w="6663"/>
        <w:gridCol w:w="2693"/>
      </w:tblGrid>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center"/>
              <w:rPr>
                <w:rFonts w:ascii="Times New Roman" w:hAnsi="Times New Roman"/>
                <w:b/>
                <w:color w:val="000000" w:themeColor="text1"/>
                <w:sz w:val="28"/>
                <w:szCs w:val="28"/>
              </w:rPr>
            </w:pPr>
            <w:r>
              <w:rPr>
                <w:rFonts w:ascii="Times New Roman" w:hAnsi="Times New Roman"/>
                <w:b/>
                <w:color w:val="000000" w:themeColor="text1"/>
                <w:sz w:val="28"/>
                <w:szCs w:val="28"/>
              </w:rPr>
              <w:t>Уровень</w:t>
            </w:r>
          </w:p>
        </w:tc>
        <w:tc>
          <w:tcPr>
            <w:tcW w:w="2693" w:type="dxa"/>
            <w:tcBorders>
              <w:top w:val="single" w:sz="4" w:space="0" w:color="auto"/>
              <w:left w:val="single" w:sz="4" w:space="0" w:color="auto"/>
              <w:bottom w:val="single" w:sz="4" w:space="0" w:color="auto"/>
              <w:right w:val="single" w:sz="4" w:space="0" w:color="auto"/>
            </w:tcBorders>
            <w:hideMark/>
          </w:tcPr>
          <w:p>
            <w:pPr>
              <w:spacing w:line="360" w:lineRule="atLeast"/>
              <w:jc w:val="center"/>
              <w:rPr>
                <w:rFonts w:ascii="Times New Roman" w:hAnsi="Times New Roman"/>
                <w:b/>
                <w:color w:val="000000" w:themeColor="text1"/>
                <w:sz w:val="28"/>
                <w:szCs w:val="28"/>
              </w:rPr>
            </w:pPr>
            <w:r>
              <w:rPr>
                <w:rFonts w:ascii="Times New Roman" w:hAnsi="Times New Roman"/>
                <w:b/>
                <w:color w:val="000000" w:themeColor="text1"/>
                <w:sz w:val="28"/>
                <w:szCs w:val="28"/>
              </w:rPr>
              <w:t>Количество (шт.)</w:t>
            </w:r>
          </w:p>
        </w:tc>
      </w:tr>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Федеральный уровень</w:t>
            </w:r>
          </w:p>
        </w:tc>
        <w:tc>
          <w:tcPr>
            <w:tcW w:w="2693" w:type="dxa"/>
            <w:tcBorders>
              <w:top w:val="single" w:sz="4" w:space="0" w:color="auto"/>
              <w:left w:val="single" w:sz="4" w:space="0" w:color="auto"/>
              <w:bottom w:val="single" w:sz="4" w:space="0" w:color="auto"/>
              <w:right w:val="single" w:sz="4" w:space="0" w:color="auto"/>
            </w:tcBorders>
            <w:hideMark/>
          </w:tcPr>
          <w:p>
            <w:pPr>
              <w:keepNext/>
              <w:spacing w:line="360" w:lineRule="atLeast"/>
              <w:jc w:val="right"/>
              <w:rPr>
                <w:rFonts w:ascii="Times New Roman" w:hAnsi="Times New Roman"/>
                <w:color w:val="000000" w:themeColor="text1"/>
                <w:sz w:val="28"/>
                <w:szCs w:val="28"/>
              </w:rPr>
            </w:pPr>
            <w:r>
              <w:rPr>
                <w:rFonts w:ascii="Times New Roman" w:hAnsi="Times New Roman"/>
                <w:color w:val="000000" w:themeColor="text1"/>
                <w:sz w:val="28"/>
                <w:szCs w:val="28"/>
              </w:rPr>
              <w:t>20 694</w:t>
            </w:r>
          </w:p>
        </w:tc>
      </w:tr>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субъекта Российской Федерации</w:t>
            </w:r>
          </w:p>
        </w:tc>
        <w:tc>
          <w:tcPr>
            <w:tcW w:w="2693" w:type="dxa"/>
            <w:tcBorders>
              <w:top w:val="single" w:sz="4" w:space="0" w:color="auto"/>
              <w:left w:val="single" w:sz="4" w:space="0" w:color="auto"/>
              <w:bottom w:val="single" w:sz="4" w:space="0" w:color="auto"/>
              <w:right w:val="single" w:sz="4" w:space="0" w:color="auto"/>
            </w:tcBorders>
            <w:hideMark/>
          </w:tcPr>
          <w:p>
            <w:pPr>
              <w:keepNext/>
              <w:spacing w:line="360" w:lineRule="atLeast"/>
              <w:jc w:val="right"/>
              <w:rPr>
                <w:rFonts w:ascii="Times New Roman" w:hAnsi="Times New Roman"/>
                <w:color w:val="000000" w:themeColor="text1"/>
                <w:sz w:val="28"/>
                <w:szCs w:val="28"/>
              </w:rPr>
            </w:pPr>
            <w:r>
              <w:rPr>
                <w:rFonts w:ascii="Times New Roman" w:hAnsi="Times New Roman"/>
                <w:color w:val="000000" w:themeColor="text1"/>
                <w:sz w:val="28"/>
                <w:szCs w:val="28"/>
              </w:rPr>
              <w:t>36 387</w:t>
            </w:r>
          </w:p>
        </w:tc>
      </w:tr>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both"/>
              <w:rPr>
                <w:rFonts w:ascii="Times New Roman" w:hAnsi="Times New Roman"/>
                <w:color w:val="000000" w:themeColor="text1"/>
                <w:sz w:val="28"/>
                <w:szCs w:val="28"/>
              </w:rPr>
            </w:pPr>
            <w:r>
              <w:rPr>
                <w:rFonts w:ascii="Times New Roman" w:hAnsi="Times New Roman"/>
                <w:color w:val="000000" w:themeColor="text1"/>
                <w:sz w:val="28"/>
                <w:szCs w:val="28"/>
              </w:rPr>
              <w:t>Муниципальный уровень</w:t>
            </w:r>
          </w:p>
        </w:tc>
        <w:tc>
          <w:tcPr>
            <w:tcW w:w="2693" w:type="dxa"/>
            <w:tcBorders>
              <w:top w:val="single" w:sz="4" w:space="0" w:color="auto"/>
              <w:left w:val="single" w:sz="4" w:space="0" w:color="auto"/>
              <w:bottom w:val="single" w:sz="4" w:space="0" w:color="auto"/>
              <w:right w:val="single" w:sz="4" w:space="0" w:color="auto"/>
            </w:tcBorders>
            <w:hideMark/>
          </w:tcPr>
          <w:p>
            <w:pPr>
              <w:keepNext/>
              <w:spacing w:line="360" w:lineRule="atLeast"/>
              <w:jc w:val="right"/>
              <w:rPr>
                <w:rFonts w:ascii="Times New Roman" w:hAnsi="Times New Roman"/>
                <w:color w:val="000000" w:themeColor="text1"/>
                <w:sz w:val="28"/>
                <w:szCs w:val="28"/>
              </w:rPr>
            </w:pPr>
            <w:r>
              <w:rPr>
                <w:rFonts w:ascii="Times New Roman" w:hAnsi="Times New Roman"/>
                <w:color w:val="000000" w:themeColor="text1"/>
                <w:sz w:val="28"/>
                <w:szCs w:val="28"/>
              </w:rPr>
              <w:t>157 696</w:t>
            </w:r>
          </w:p>
        </w:tc>
      </w:tr>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ГВФ РФ</w:t>
            </w:r>
          </w:p>
        </w:tc>
        <w:tc>
          <w:tcPr>
            <w:tcW w:w="2693" w:type="dxa"/>
            <w:tcBorders>
              <w:top w:val="single" w:sz="4" w:space="0" w:color="auto"/>
              <w:left w:val="single" w:sz="4" w:space="0" w:color="auto"/>
              <w:bottom w:val="single" w:sz="4" w:space="0" w:color="auto"/>
              <w:right w:val="single" w:sz="4" w:space="0" w:color="auto"/>
            </w:tcBorders>
            <w:hideMark/>
          </w:tcPr>
          <w:p>
            <w:pPr>
              <w:keepNext/>
              <w:spacing w:line="360" w:lineRule="atLeast"/>
              <w:jc w:val="right"/>
              <w:rPr>
                <w:rFonts w:ascii="Times New Roman" w:hAnsi="Times New Roman"/>
                <w:color w:val="000000" w:themeColor="text1"/>
                <w:sz w:val="28"/>
                <w:szCs w:val="28"/>
              </w:rPr>
            </w:pPr>
            <w:r>
              <w:rPr>
                <w:rFonts w:ascii="Times New Roman" w:hAnsi="Times New Roman"/>
                <w:color w:val="000000" w:themeColor="text1"/>
                <w:sz w:val="28"/>
                <w:szCs w:val="28"/>
              </w:rPr>
              <w:t>2 628</w:t>
            </w:r>
          </w:p>
        </w:tc>
      </w:tr>
      <w:tr>
        <w:tc>
          <w:tcPr>
            <w:tcW w:w="6663" w:type="dxa"/>
            <w:tcBorders>
              <w:top w:val="single" w:sz="4" w:space="0" w:color="auto"/>
              <w:left w:val="single" w:sz="4" w:space="0" w:color="auto"/>
              <w:bottom w:val="single" w:sz="4" w:space="0" w:color="auto"/>
              <w:right w:val="single" w:sz="4" w:space="0" w:color="auto"/>
            </w:tcBorders>
            <w:hideMark/>
          </w:tcPr>
          <w:p>
            <w:pPr>
              <w:spacing w:line="360" w:lineRule="atLeast"/>
              <w:jc w:val="both"/>
              <w:rPr>
                <w:rFonts w:ascii="Times New Roman" w:hAnsi="Times New Roman"/>
                <w:color w:val="000000" w:themeColor="text1"/>
                <w:sz w:val="28"/>
                <w:szCs w:val="28"/>
              </w:rPr>
            </w:pPr>
            <w:r>
              <w:rPr>
                <w:rFonts w:ascii="Times New Roman" w:hAnsi="Times New Roman"/>
                <w:color w:val="000000" w:themeColor="text1"/>
                <w:sz w:val="28"/>
                <w:szCs w:val="28"/>
              </w:rPr>
              <w:t>Всего организаций:</w:t>
            </w:r>
          </w:p>
        </w:tc>
        <w:tc>
          <w:tcPr>
            <w:tcW w:w="2693" w:type="dxa"/>
            <w:tcBorders>
              <w:top w:val="single" w:sz="4" w:space="0" w:color="auto"/>
              <w:left w:val="single" w:sz="4" w:space="0" w:color="auto"/>
              <w:bottom w:val="single" w:sz="4" w:space="0" w:color="auto"/>
              <w:right w:val="single" w:sz="4" w:space="0" w:color="auto"/>
            </w:tcBorders>
            <w:hideMark/>
          </w:tcPr>
          <w:p>
            <w:pPr>
              <w:keepNext/>
              <w:spacing w:line="360" w:lineRule="atLeast"/>
              <w:jc w:val="right"/>
              <w:rPr>
                <w:rFonts w:ascii="Times New Roman" w:hAnsi="Times New Roman"/>
                <w:color w:val="000000" w:themeColor="text1"/>
                <w:sz w:val="28"/>
                <w:szCs w:val="28"/>
              </w:rPr>
            </w:pPr>
            <w:r>
              <w:rPr>
                <w:rFonts w:ascii="Times New Roman" w:hAnsi="Times New Roman"/>
                <w:color w:val="000000" w:themeColor="text1"/>
                <w:sz w:val="28"/>
                <w:szCs w:val="28"/>
              </w:rPr>
              <w:t>217 405</w:t>
            </w:r>
          </w:p>
        </w:tc>
      </w:tr>
    </w:tbl>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течение 2016 года в </w:t>
      </w:r>
      <w:r>
        <w:rPr>
          <w:rFonts w:ascii="Times New Roman" w:eastAsiaTheme="minorEastAsia" w:hAnsi="Times New Roman"/>
          <w:color w:val="000000" w:themeColor="text1"/>
          <w:kern w:val="24"/>
          <w:sz w:val="28"/>
          <w:szCs w:val="28"/>
          <w:lang w:eastAsia="ru-RU"/>
        </w:rPr>
        <w:t>Реестр УБП и НУБП</w:t>
      </w:r>
      <w:r>
        <w:rPr>
          <w:rFonts w:ascii="Times New Roman" w:hAnsi="Times New Roman"/>
          <w:color w:val="000000" w:themeColor="text1"/>
          <w:sz w:val="28"/>
          <w:szCs w:val="28"/>
          <w:lang w:eastAsia="ru-RU"/>
        </w:rPr>
        <w:t xml:space="preserve"> было включено 34 704 новых организаций, из них:</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2 898 – федерального уровня;</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7 280 – уровня субъектов Российской Федерации;</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24 382 – уровня муниципальных образований;</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144 – уровня ГВФ РФ.</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2015 году происходило активное формирование </w:t>
      </w:r>
      <w:r>
        <w:rPr>
          <w:rFonts w:ascii="Times New Roman" w:eastAsiaTheme="minorEastAsia" w:hAnsi="Times New Roman"/>
          <w:color w:val="000000" w:themeColor="text1"/>
          <w:kern w:val="24"/>
          <w:sz w:val="28"/>
          <w:szCs w:val="28"/>
          <w:lang w:eastAsia="ru-RU"/>
        </w:rPr>
        <w:t xml:space="preserve">Реестра УБП </w:t>
      </w:r>
      <w:r>
        <w:rPr>
          <w:rFonts w:ascii="Times New Roman" w:eastAsiaTheme="minorEastAsia" w:hAnsi="Times New Roman"/>
          <w:color w:val="000000" w:themeColor="text1"/>
          <w:kern w:val="24"/>
          <w:sz w:val="28"/>
          <w:szCs w:val="28"/>
          <w:lang w:eastAsia="ru-RU"/>
        </w:rPr>
        <w:br/>
        <w:t>и НУБП</w:t>
      </w:r>
      <w:r>
        <w:rPr>
          <w:rFonts w:ascii="Times New Roman" w:hAnsi="Times New Roman"/>
          <w:color w:val="000000" w:themeColor="text1"/>
          <w:sz w:val="28"/>
          <w:szCs w:val="28"/>
          <w:lang w:eastAsia="ru-RU"/>
        </w:rPr>
        <w:t xml:space="preserve">. Количество изменений данных, внесенных в указанный реестр уполномоченными организациями, а также с учетом изменений </w:t>
      </w:r>
      <w:r>
        <w:rPr>
          <w:rFonts w:ascii="Times New Roman" w:hAnsi="Times New Roman"/>
          <w:color w:val="000000" w:themeColor="text1"/>
          <w:sz w:val="28"/>
          <w:szCs w:val="28"/>
          <w:lang w:eastAsia="ru-RU"/>
        </w:rPr>
        <w:br/>
        <w:t xml:space="preserve">на основании данных ЕГРЮЛ составляло </w:t>
      </w:r>
      <w:r>
        <w:rPr>
          <w:rFonts w:ascii="Times New Roman" w:eastAsiaTheme="minorEastAsia" w:hAnsi="Times New Roman"/>
          <w:color w:val="000000" w:themeColor="text1"/>
          <w:kern w:val="24"/>
          <w:sz w:val="28"/>
          <w:szCs w:val="28"/>
          <w:lang w:eastAsia="ru-RU"/>
        </w:rPr>
        <w:t>288 428,</w:t>
      </w:r>
      <w:r>
        <w:rPr>
          <w:rFonts w:ascii="Times New Roman" w:hAnsi="Times New Roman"/>
          <w:color w:val="000000" w:themeColor="text1"/>
          <w:sz w:val="28"/>
          <w:szCs w:val="28"/>
          <w:lang w:eastAsia="ru-RU"/>
        </w:rPr>
        <w:t xml:space="preserve"> в том числе, </w:t>
      </w:r>
      <w:r>
        <w:rPr>
          <w:rFonts w:ascii="Times New Roman" w:hAnsi="Times New Roman"/>
          <w:color w:val="000000" w:themeColor="text1"/>
          <w:sz w:val="28"/>
          <w:szCs w:val="28"/>
          <w:lang w:eastAsia="ru-RU"/>
        </w:rPr>
        <w:br/>
        <w:t xml:space="preserve">по организациям федерального уровня – </w:t>
      </w:r>
      <w:r>
        <w:rPr>
          <w:rFonts w:ascii="Times New Roman" w:eastAsiaTheme="minorEastAsia" w:hAnsi="Times New Roman"/>
          <w:color w:val="000000" w:themeColor="text1"/>
          <w:kern w:val="24"/>
          <w:sz w:val="28"/>
          <w:szCs w:val="28"/>
          <w:lang w:eastAsia="ru-RU"/>
        </w:rPr>
        <w:t>37 498 изменений данных</w:t>
      </w:r>
      <w:r>
        <w:rPr>
          <w:rFonts w:ascii="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br/>
        <w:t>по организациям уровня субъектов Российской Федерации – 41 376</w:t>
      </w:r>
      <w:r>
        <w:rPr>
          <w:rFonts w:ascii="Times New Roman" w:eastAsiaTheme="minorEastAsia" w:hAnsi="Times New Roman"/>
          <w:color w:val="000000" w:themeColor="text1"/>
          <w:kern w:val="24"/>
          <w:sz w:val="28"/>
          <w:szCs w:val="28"/>
          <w:lang w:eastAsia="ru-RU"/>
        </w:rPr>
        <w:t xml:space="preserve"> изменений данных</w:t>
      </w:r>
      <w:r>
        <w:rPr>
          <w:rFonts w:ascii="Times New Roman" w:hAnsi="Times New Roman"/>
          <w:color w:val="000000" w:themeColor="text1"/>
          <w:sz w:val="28"/>
          <w:szCs w:val="28"/>
          <w:lang w:eastAsia="ru-RU"/>
        </w:rPr>
        <w:t>, по организациям уровня муниципальных образований – 205 758</w:t>
      </w:r>
      <w:r>
        <w:rPr>
          <w:rFonts w:ascii="Times New Roman" w:eastAsiaTheme="minorEastAsia" w:hAnsi="Times New Roman"/>
          <w:color w:val="000000" w:themeColor="text1"/>
          <w:kern w:val="24"/>
          <w:sz w:val="28"/>
          <w:szCs w:val="28"/>
          <w:lang w:eastAsia="ru-RU"/>
        </w:rPr>
        <w:t xml:space="preserve"> изменений данных</w:t>
      </w:r>
      <w:r>
        <w:rPr>
          <w:rFonts w:ascii="Times New Roman" w:hAnsi="Times New Roman"/>
          <w:color w:val="000000" w:themeColor="text1"/>
          <w:sz w:val="28"/>
          <w:szCs w:val="28"/>
          <w:lang w:eastAsia="ru-RU"/>
        </w:rPr>
        <w:t>, по организациям уровня ГВФ РФ – 3 796</w:t>
      </w:r>
      <w:r>
        <w:rPr>
          <w:rFonts w:ascii="Times New Roman" w:eastAsiaTheme="minorEastAsia" w:hAnsi="Times New Roman"/>
          <w:color w:val="000000" w:themeColor="text1"/>
          <w:kern w:val="24"/>
          <w:sz w:val="28"/>
          <w:szCs w:val="28"/>
          <w:lang w:eastAsia="ru-RU"/>
        </w:rPr>
        <w:t xml:space="preserve"> изменений данных</w:t>
      </w:r>
      <w:r>
        <w:rPr>
          <w:rFonts w:ascii="Times New Roman" w:hAnsi="Times New Roman"/>
          <w:color w:val="000000" w:themeColor="text1"/>
          <w:sz w:val="28"/>
          <w:szCs w:val="28"/>
          <w:lang w:eastAsia="ru-RU"/>
        </w:rPr>
        <w:t>.</w:t>
      </w:r>
    </w:p>
    <w:p>
      <w:pPr>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hAnsi="Times New Roman"/>
          <w:color w:val="000000" w:themeColor="text1"/>
          <w:sz w:val="28"/>
          <w:szCs w:val="28"/>
          <w:lang w:eastAsia="ru-RU"/>
        </w:rPr>
        <w:t xml:space="preserve">На протяжении 2016 года объем </w:t>
      </w:r>
      <w:r>
        <w:rPr>
          <w:rFonts w:ascii="Times New Roman" w:eastAsiaTheme="minorEastAsia" w:hAnsi="Times New Roman"/>
          <w:color w:val="000000" w:themeColor="text1"/>
          <w:kern w:val="24"/>
          <w:sz w:val="28"/>
          <w:szCs w:val="28"/>
          <w:lang w:eastAsia="ru-RU"/>
        </w:rPr>
        <w:t>изменений данных</w:t>
      </w:r>
      <w:r>
        <w:rPr>
          <w:rFonts w:ascii="Times New Roman" w:hAnsi="Times New Roman"/>
          <w:color w:val="000000" w:themeColor="text1"/>
          <w:sz w:val="28"/>
          <w:szCs w:val="28"/>
          <w:lang w:eastAsia="ru-RU"/>
        </w:rPr>
        <w:t xml:space="preserve"> составил 636 272. При этом, по организациям федерального уровня – 52 252</w:t>
      </w:r>
      <w:r>
        <w:rPr>
          <w:rFonts w:ascii="Times New Roman" w:eastAsiaTheme="minorHAnsi" w:hAnsi="Times New Roman"/>
          <w:i/>
          <w:color w:val="000000" w:themeColor="text1"/>
          <w:sz w:val="24"/>
          <w:szCs w:val="24"/>
        </w:rPr>
        <w:t xml:space="preserve"> </w:t>
      </w:r>
      <w:r>
        <w:rPr>
          <w:rFonts w:ascii="Times New Roman" w:eastAsiaTheme="minorEastAsia" w:hAnsi="Times New Roman"/>
          <w:color w:val="000000" w:themeColor="text1"/>
          <w:kern w:val="24"/>
          <w:sz w:val="28"/>
          <w:szCs w:val="28"/>
          <w:lang w:eastAsia="ru-RU"/>
        </w:rPr>
        <w:t>изменений данных,</w:t>
      </w:r>
      <w:r>
        <w:rPr>
          <w:rFonts w:ascii="Times New Roman" w:hAnsi="Times New Roman"/>
          <w:color w:val="000000" w:themeColor="text1"/>
          <w:sz w:val="28"/>
          <w:szCs w:val="28"/>
          <w:lang w:eastAsia="ru-RU"/>
        </w:rPr>
        <w:t xml:space="preserve"> по организациям уровня субъектов Российской Федерации – 106 698</w:t>
      </w:r>
      <w:r>
        <w:rPr>
          <w:rFonts w:ascii="Times New Roman" w:eastAsiaTheme="minorEastAsia" w:hAnsi="Times New Roman"/>
          <w:color w:val="000000" w:themeColor="text1"/>
          <w:kern w:val="24"/>
          <w:sz w:val="28"/>
          <w:szCs w:val="28"/>
          <w:lang w:eastAsia="ru-RU"/>
        </w:rPr>
        <w:t xml:space="preserve"> изменений данных</w:t>
      </w:r>
      <w:r>
        <w:rPr>
          <w:rFonts w:ascii="Times New Roman" w:hAnsi="Times New Roman"/>
          <w:color w:val="000000" w:themeColor="text1"/>
          <w:sz w:val="28"/>
          <w:szCs w:val="28"/>
          <w:lang w:eastAsia="ru-RU"/>
        </w:rPr>
        <w:t>, по организациям уровня муниципальных образований – 470 331</w:t>
      </w:r>
      <w:r>
        <w:rPr>
          <w:rFonts w:ascii="Times New Roman" w:eastAsiaTheme="minorEastAsia" w:hAnsi="Times New Roman"/>
          <w:color w:val="000000" w:themeColor="text1"/>
          <w:kern w:val="24"/>
          <w:sz w:val="28"/>
          <w:szCs w:val="28"/>
          <w:lang w:eastAsia="ru-RU"/>
        </w:rPr>
        <w:t xml:space="preserve"> изменений данных</w:t>
      </w:r>
      <w:r>
        <w:rPr>
          <w:rFonts w:ascii="Times New Roman" w:hAnsi="Times New Roman"/>
          <w:color w:val="000000" w:themeColor="text1"/>
          <w:sz w:val="28"/>
          <w:szCs w:val="28"/>
          <w:lang w:eastAsia="ru-RU"/>
        </w:rPr>
        <w:t xml:space="preserve">, по организациям уровня ГВФ РФ – 6 991 </w:t>
      </w:r>
      <w:r>
        <w:rPr>
          <w:rFonts w:ascii="Times New Roman" w:eastAsiaTheme="minorEastAsia" w:hAnsi="Times New Roman"/>
          <w:color w:val="000000" w:themeColor="text1"/>
          <w:kern w:val="24"/>
          <w:sz w:val="28"/>
          <w:szCs w:val="28"/>
          <w:lang w:eastAsia="ru-RU"/>
        </w:rPr>
        <w:t>изменений данных</w:t>
      </w:r>
      <w:r>
        <w:rPr>
          <w:rFonts w:ascii="Times New Roman" w:hAnsi="Times New Roman"/>
          <w:color w:val="000000" w:themeColor="text1"/>
          <w:sz w:val="28"/>
          <w:szCs w:val="28"/>
          <w:lang w:eastAsia="ru-RU"/>
        </w:rPr>
        <w:t>.</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hAnsi="Times New Roman"/>
          <w:color w:val="000000" w:themeColor="text1"/>
          <w:sz w:val="28"/>
          <w:szCs w:val="28"/>
          <w:lang w:eastAsia="ru-RU"/>
        </w:rPr>
        <w:lastRenderedPageBreak/>
        <w:t xml:space="preserve">Ежедневный объем изменений </w:t>
      </w:r>
      <w:r>
        <w:rPr>
          <w:rFonts w:ascii="Times New Roman" w:eastAsiaTheme="minorEastAsia" w:hAnsi="Times New Roman"/>
          <w:color w:val="000000" w:themeColor="text1"/>
          <w:kern w:val="24"/>
          <w:sz w:val="28"/>
          <w:szCs w:val="28"/>
          <w:lang w:eastAsia="ru-RU"/>
        </w:rPr>
        <w:t>Реестра УБП и НУБП</w:t>
      </w:r>
      <w:r>
        <w:rPr>
          <w:rFonts w:ascii="Times New Roman" w:hAnsi="Times New Roman"/>
          <w:color w:val="000000" w:themeColor="text1"/>
          <w:sz w:val="28"/>
          <w:szCs w:val="28"/>
          <w:lang w:eastAsia="ru-RU"/>
        </w:rPr>
        <w:t xml:space="preserve"> в октябре–декабре 2016 года составил 6–12 тысяч записей.</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Формирование и актуализация сведений </w:t>
      </w:r>
      <w:r>
        <w:rPr>
          <w:rFonts w:ascii="Times New Roman" w:eastAsiaTheme="minorEastAsia" w:hAnsi="Times New Roman"/>
          <w:color w:val="000000" w:themeColor="text1"/>
          <w:kern w:val="24"/>
          <w:sz w:val="28"/>
          <w:szCs w:val="28"/>
          <w:lang w:eastAsia="ru-RU"/>
        </w:rPr>
        <w:t>Реестра УБП и НУБП</w:t>
      </w:r>
      <w:r>
        <w:rPr>
          <w:rFonts w:ascii="Times New Roman" w:hAnsi="Times New Roman"/>
          <w:color w:val="000000" w:themeColor="text1"/>
          <w:sz w:val="28"/>
          <w:szCs w:val="28"/>
          <w:lang w:eastAsia="ru-RU"/>
        </w:rPr>
        <w:t xml:space="preserve"> выполнялись на основании сведений ЕГРЮЛ, полученных через СМЭВ</w:t>
      </w:r>
      <w:r>
        <w:rPr>
          <w:rFonts w:ascii="Times New Roman" w:hAnsi="Times New Roman"/>
          <w:color w:val="000000" w:themeColor="text1"/>
          <w:sz w:val="28"/>
          <w:szCs w:val="28"/>
          <w:lang w:eastAsia="ru-RU"/>
        </w:rPr>
        <w:br/>
        <w:t>с использованием технологического сервиса ГИИС «Электронный бюджет».</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ходе формирования и обеспечения интеграционных процессов </w:t>
      </w:r>
      <w:r>
        <w:rPr>
          <w:rFonts w:ascii="Times New Roman" w:eastAsiaTheme="minorEastAsia" w:hAnsi="Times New Roman"/>
          <w:color w:val="000000" w:themeColor="text1"/>
          <w:kern w:val="24"/>
          <w:sz w:val="28"/>
          <w:szCs w:val="28"/>
          <w:lang w:eastAsia="ru-RU"/>
        </w:rPr>
        <w:t>Реестра УБП и НУБП</w:t>
      </w:r>
      <w:r>
        <w:rPr>
          <w:rFonts w:ascii="Times New Roman" w:hAnsi="Times New Roman"/>
          <w:color w:val="000000" w:themeColor="text1"/>
          <w:sz w:val="28"/>
          <w:szCs w:val="28"/>
          <w:lang w:eastAsia="ru-RU"/>
        </w:rPr>
        <w:t xml:space="preserve"> с информационными системами выявлен и уточнен ряд методологических вопросов, впоследствии отраженных в приказе Минфина России № 203н.</w:t>
      </w:r>
    </w:p>
    <w:p>
      <w:pPr>
        <w:tabs>
          <w:tab w:val="left" w:pos="-142"/>
          <w:tab w:val="left" w:pos="1134"/>
        </w:tabs>
        <w:spacing w:after="0" w:line="360" w:lineRule="atLeast"/>
        <w:ind w:firstLine="709"/>
        <w:contextualSpacing/>
        <w:jc w:val="both"/>
        <w:rPr>
          <w:rFonts w:ascii="Times New Roman" w:eastAsiaTheme="minorEastAsia" w:hAnsi="Times New Roman"/>
          <w:i/>
          <w:color w:val="000000" w:themeColor="text1"/>
          <w:kern w:val="24"/>
          <w:sz w:val="24"/>
          <w:szCs w:val="24"/>
          <w:lang w:eastAsia="ru-RU"/>
        </w:rPr>
      </w:pPr>
      <w:r>
        <w:rPr>
          <w:rFonts w:ascii="Times New Roman" w:hAnsi="Times New Roman"/>
          <w:color w:val="000000" w:themeColor="text1"/>
          <w:sz w:val="28"/>
          <w:szCs w:val="28"/>
          <w:lang w:eastAsia="ru-RU"/>
        </w:rPr>
        <w:t xml:space="preserve">На основании полученных от функционального заказчика требований зафиксировано 68 доработок подсистемы «Ведение нормативной справочной информации» ГИИС «Электронный бюджет» в части модулей </w:t>
      </w:r>
      <w:r>
        <w:rPr>
          <w:rFonts w:ascii="Times New Roman" w:eastAsiaTheme="minorEastAsia" w:hAnsi="Times New Roman"/>
          <w:color w:val="000000" w:themeColor="text1"/>
          <w:kern w:val="24"/>
          <w:sz w:val="28"/>
          <w:szCs w:val="28"/>
          <w:lang w:eastAsia="ru-RU"/>
        </w:rPr>
        <w:t>Реестра УБП и НУБП</w:t>
      </w:r>
      <w:r>
        <w:rPr>
          <w:rFonts w:ascii="Times New Roman" w:hAnsi="Times New Roman"/>
          <w:color w:val="000000" w:themeColor="text1"/>
          <w:sz w:val="28"/>
          <w:szCs w:val="28"/>
          <w:lang w:eastAsia="ru-RU"/>
        </w:rPr>
        <w:t xml:space="preserve"> и общей нормативной справочной информации </w:t>
      </w:r>
      <w:r>
        <w:rPr>
          <w:rFonts w:ascii="Times New Roman" w:hAnsi="Times New Roman"/>
          <w:color w:val="000000" w:themeColor="text1"/>
          <w:sz w:val="28"/>
          <w:szCs w:val="28"/>
          <w:lang w:eastAsia="ru-RU"/>
        </w:rPr>
        <w:br/>
        <w:t>для реализации в 2017 году.</w:t>
      </w:r>
    </w:p>
    <w:p>
      <w:pPr>
        <w:tabs>
          <w:tab w:val="left" w:pos="-142"/>
          <w:tab w:val="left" w:pos="1134"/>
        </w:tabs>
        <w:spacing w:after="0" w:line="360" w:lineRule="atLeast"/>
        <w:ind w:firstLine="709"/>
        <w:contextualSpacing/>
        <w:jc w:val="both"/>
        <w:rPr>
          <w:rFonts w:ascii="Times New Roman" w:eastAsiaTheme="minorEastAsia" w:hAnsi="Times New Roman"/>
          <w:i/>
          <w:color w:val="000000" w:themeColor="text1"/>
          <w:kern w:val="24"/>
          <w:sz w:val="24"/>
          <w:szCs w:val="24"/>
          <w:lang w:eastAsia="ru-RU"/>
        </w:rPr>
      </w:pPr>
      <w:r>
        <w:rPr>
          <w:rFonts w:ascii="Times New Roman" w:hAnsi="Times New Roman"/>
          <w:color w:val="000000" w:themeColor="text1"/>
          <w:sz w:val="28"/>
          <w:szCs w:val="28"/>
          <w:lang w:eastAsia="ru-RU"/>
        </w:rPr>
        <w:t xml:space="preserve">Обеспечена инфраструктурная связанность и проведена апробация </w:t>
      </w:r>
      <w:r>
        <w:rPr>
          <w:rFonts w:ascii="Times New Roman" w:hAnsi="Times New Roman"/>
          <w:color w:val="000000" w:themeColor="text1"/>
          <w:sz w:val="28"/>
          <w:szCs w:val="28"/>
          <w:lang w:eastAsia="ru-RU"/>
        </w:rPr>
        <w:br/>
        <w:t xml:space="preserve">в промышленном режиме использования </w:t>
      </w:r>
      <w:r>
        <w:rPr>
          <w:rFonts w:ascii="Times New Roman" w:eastAsiaTheme="minorEastAsia" w:hAnsi="Times New Roman"/>
          <w:color w:val="000000" w:themeColor="text1"/>
          <w:kern w:val="24"/>
          <w:sz w:val="28"/>
          <w:szCs w:val="28"/>
          <w:lang w:eastAsia="ru-RU"/>
        </w:rPr>
        <w:t>Реестра УБП и НУБП</w:t>
      </w:r>
      <w:r>
        <w:rPr>
          <w:rFonts w:ascii="Times New Roman" w:hAnsi="Times New Roman"/>
          <w:color w:val="000000" w:themeColor="text1"/>
          <w:sz w:val="28"/>
          <w:szCs w:val="28"/>
          <w:lang w:eastAsia="ru-RU"/>
        </w:rPr>
        <w:t xml:space="preserve"> </w:t>
      </w:r>
      <w:r>
        <w:rPr>
          <w:rFonts w:ascii="Times New Roman" w:hAnsi="Times New Roman"/>
          <w:color w:val="000000" w:themeColor="text1"/>
          <w:sz w:val="28"/>
          <w:szCs w:val="28"/>
          <w:lang w:eastAsia="ru-RU"/>
        </w:rPr>
        <w:br/>
        <w:t>в операционных процессах функциональных подсистем ГИИС «Электронный бюджет» (подсистем</w:t>
      </w:r>
      <w:r>
        <w:rPr>
          <w:rFonts w:ascii="Times New Roman" w:eastAsiaTheme="minorEastAsia" w:hAnsi="Times New Roman"/>
          <w:color w:val="000000" w:themeColor="text1"/>
          <w:kern w:val="24"/>
          <w:sz w:val="28"/>
          <w:szCs w:val="28"/>
          <w:lang w:eastAsia="ru-RU"/>
        </w:rPr>
        <w:t xml:space="preserve">е </w:t>
      </w:r>
      <w:r>
        <w:rPr>
          <w:rFonts w:ascii="Times New Roman" w:hAnsi="Times New Roman"/>
          <w:color w:val="000000" w:themeColor="text1"/>
          <w:sz w:val="28"/>
          <w:szCs w:val="28"/>
          <w:lang w:eastAsia="ru-RU"/>
        </w:rPr>
        <w:t>«Управление расходами», «Управление закупками», Един</w:t>
      </w:r>
      <w:r>
        <w:rPr>
          <w:rFonts w:ascii="Times New Roman" w:eastAsiaTheme="minorEastAsia" w:hAnsi="Times New Roman"/>
          <w:color w:val="000000" w:themeColor="text1"/>
          <w:kern w:val="24"/>
          <w:sz w:val="28"/>
          <w:szCs w:val="28"/>
          <w:lang w:eastAsia="ru-RU"/>
        </w:rPr>
        <w:t>ом</w:t>
      </w:r>
      <w:r>
        <w:rPr>
          <w:rFonts w:ascii="Times New Roman" w:hAnsi="Times New Roman"/>
          <w:color w:val="000000" w:themeColor="text1"/>
          <w:sz w:val="28"/>
          <w:szCs w:val="28"/>
          <w:lang w:eastAsia="ru-RU"/>
        </w:rPr>
        <w:t xml:space="preserve"> портал</w:t>
      </w:r>
      <w:r>
        <w:rPr>
          <w:rFonts w:ascii="Times New Roman" w:eastAsiaTheme="minorEastAsia" w:hAnsi="Times New Roman"/>
          <w:color w:val="000000" w:themeColor="text1"/>
          <w:kern w:val="24"/>
          <w:sz w:val="28"/>
          <w:szCs w:val="28"/>
          <w:lang w:eastAsia="ru-RU"/>
        </w:rPr>
        <w:t>е</w:t>
      </w:r>
      <w:r>
        <w:rPr>
          <w:rFonts w:ascii="Times New Roman" w:hAnsi="Times New Roman"/>
          <w:color w:val="000000" w:themeColor="text1"/>
          <w:sz w:val="28"/>
          <w:szCs w:val="28"/>
          <w:lang w:eastAsia="ru-RU"/>
        </w:rPr>
        <w:t xml:space="preserve"> бюджетной системы), в том числе в информационных системах, оператором которых является Федеральное казначейство: ППО «АСФК», ЕИС, Официальный сайт ГМУ.</w:t>
      </w:r>
      <w:r>
        <w:rPr>
          <w:rFonts w:ascii="Times New Roman" w:eastAsiaTheme="minorEastAsia" w:hAnsi="Times New Roman"/>
          <w:i/>
          <w:color w:val="000000" w:themeColor="text1"/>
          <w:kern w:val="24"/>
          <w:sz w:val="24"/>
          <w:szCs w:val="24"/>
          <w:lang w:eastAsia="ru-RU"/>
        </w:rPr>
        <w:t xml:space="preserve"> </w:t>
      </w:r>
      <w:r>
        <w:rPr>
          <w:rFonts w:ascii="Times New Roman" w:hAnsi="Times New Roman"/>
          <w:color w:val="000000" w:themeColor="text1"/>
          <w:sz w:val="28"/>
          <w:szCs w:val="28"/>
          <w:lang w:eastAsia="ru-RU"/>
        </w:rPr>
        <w:t xml:space="preserve">Выполнена пуско-наладка передачи сведений </w:t>
      </w:r>
      <w:r>
        <w:rPr>
          <w:rFonts w:ascii="Times New Roman" w:eastAsiaTheme="minorEastAsia" w:hAnsi="Times New Roman"/>
          <w:color w:val="000000" w:themeColor="text1"/>
          <w:kern w:val="24"/>
          <w:sz w:val="28"/>
          <w:szCs w:val="28"/>
          <w:lang w:eastAsia="ru-RU"/>
        </w:rPr>
        <w:t xml:space="preserve">Реестра УБП и НУБП </w:t>
      </w:r>
      <w:r>
        <w:rPr>
          <w:rFonts w:ascii="Times New Roman" w:eastAsiaTheme="minorEastAsia" w:hAnsi="Times New Roman"/>
          <w:color w:val="000000" w:themeColor="text1"/>
          <w:kern w:val="24"/>
          <w:sz w:val="28"/>
          <w:szCs w:val="28"/>
          <w:lang w:eastAsia="ru-RU"/>
        </w:rPr>
        <w:br/>
      </w:r>
      <w:r>
        <w:rPr>
          <w:rFonts w:ascii="Times New Roman" w:hAnsi="Times New Roman"/>
          <w:color w:val="000000" w:themeColor="text1"/>
          <w:sz w:val="28"/>
          <w:szCs w:val="28"/>
          <w:lang w:eastAsia="ru-RU"/>
        </w:rPr>
        <w:t xml:space="preserve">в подсистему «Бюджетное планирование» Минфина России. </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С целью формирования государственных заданий в подсистеме «Ведение нормативной справочной информации» ГИИС «Электронный бюджет»</w:t>
      </w:r>
      <w:r>
        <w:rPr>
          <w:rFonts w:ascii="Times New Roman" w:eastAsiaTheme="minorHAnsi" w:hAnsi="Times New Roman"/>
          <w:i/>
          <w:color w:val="000000" w:themeColor="text1"/>
          <w:sz w:val="24"/>
          <w:szCs w:val="24"/>
        </w:rPr>
        <w:t xml:space="preserve"> </w:t>
      </w:r>
      <w:r>
        <w:rPr>
          <w:rFonts w:ascii="Times New Roman" w:hAnsi="Times New Roman"/>
          <w:color w:val="000000" w:themeColor="text1"/>
          <w:sz w:val="28"/>
          <w:szCs w:val="28"/>
          <w:lang w:eastAsia="ru-RU"/>
        </w:rPr>
        <w:t>в модуле базовых и ведомственных перечней государственных (муниципальных) услуг и работ (далее – Модуль «</w:t>
      </w:r>
      <w:proofErr w:type="spellStart"/>
      <w:r>
        <w:rPr>
          <w:rFonts w:ascii="Times New Roman" w:hAnsi="Times New Roman"/>
          <w:color w:val="000000" w:themeColor="text1"/>
          <w:sz w:val="28"/>
          <w:szCs w:val="28"/>
          <w:lang w:eastAsia="ru-RU"/>
        </w:rPr>
        <w:t>БиВПГМУ</w:t>
      </w:r>
      <w:proofErr w:type="spellEnd"/>
      <w:r>
        <w:rPr>
          <w:rFonts w:ascii="Times New Roman" w:hAnsi="Times New Roman"/>
          <w:color w:val="000000" w:themeColor="text1"/>
          <w:sz w:val="28"/>
          <w:szCs w:val="28"/>
          <w:lang w:eastAsia="ru-RU"/>
        </w:rPr>
        <w:t xml:space="preserve">») осуществлялась активная работа по созданию и внесению изменений </w:t>
      </w:r>
      <w:r>
        <w:rPr>
          <w:rFonts w:ascii="Times New Roman" w:hAnsi="Times New Roman"/>
          <w:color w:val="000000" w:themeColor="text1"/>
          <w:sz w:val="28"/>
          <w:szCs w:val="28"/>
          <w:lang w:eastAsia="ru-RU"/>
        </w:rPr>
        <w:br/>
        <w:t xml:space="preserve">в базовые (отраслевые) перечни государственных (муниципальных) услуг </w:t>
      </w:r>
      <w:r>
        <w:rPr>
          <w:rFonts w:ascii="Times New Roman" w:hAnsi="Times New Roman"/>
          <w:color w:val="000000" w:themeColor="text1"/>
          <w:sz w:val="28"/>
          <w:szCs w:val="28"/>
          <w:lang w:eastAsia="ru-RU"/>
        </w:rPr>
        <w:br/>
        <w:t>и работ (далее – БПГМУ) и ведомственные перечни государственных (муниципальных) услуг и работ (далее – ВПГМУ).</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По состоянию на 1 января 2017 года создано 565 095 реестровых записей в БПГМУ и 577 111 реестровых записей в ВПГМУ. В течение</w:t>
      </w:r>
      <w:r>
        <w:rPr>
          <w:rFonts w:ascii="Times New Roman" w:hAnsi="Times New Roman"/>
          <w:color w:val="000000" w:themeColor="text1"/>
          <w:sz w:val="28"/>
          <w:szCs w:val="28"/>
          <w:lang w:eastAsia="ru-RU"/>
        </w:rPr>
        <w:br/>
        <w:t>2016 года пользователями внесено 2 284 изменений в БПГМУ и 262 760 изменений в ВПГМУ.</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Всего в течение 2016 года в Модуле «</w:t>
      </w:r>
      <w:proofErr w:type="spellStart"/>
      <w:r>
        <w:rPr>
          <w:rFonts w:ascii="Times New Roman" w:hAnsi="Times New Roman"/>
          <w:color w:val="000000" w:themeColor="text1"/>
          <w:sz w:val="28"/>
          <w:szCs w:val="28"/>
          <w:lang w:eastAsia="ru-RU"/>
        </w:rPr>
        <w:t>БиВПГМУ</w:t>
      </w:r>
      <w:proofErr w:type="spellEnd"/>
      <w:r>
        <w:rPr>
          <w:rFonts w:ascii="Times New Roman" w:hAnsi="Times New Roman"/>
          <w:color w:val="000000" w:themeColor="text1"/>
          <w:sz w:val="28"/>
          <w:szCs w:val="28"/>
          <w:lang w:eastAsia="ru-RU"/>
        </w:rPr>
        <w:t>» ФОИВ размещено 32 БПГМУ и 61 ВПГМУ.</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Обеспечена инфраструктурная связанность и информационное взаимодействие по размещению на Официальном сайте ГМУ, Едином портале бюджетной системы и в подсистеме «Бюджетное планирование» </w:t>
      </w:r>
      <w:r>
        <w:rPr>
          <w:rFonts w:ascii="Times New Roman" w:hAnsi="Times New Roman"/>
          <w:color w:val="000000" w:themeColor="text1"/>
          <w:sz w:val="28"/>
          <w:szCs w:val="28"/>
          <w:lang w:eastAsia="ru-RU"/>
        </w:rPr>
        <w:lastRenderedPageBreak/>
        <w:t>ГИИС «Электронный бюджет» БПГМУ и ВПГМУ, в том числе, субъектов и муниципальных образований Российской Федерации.</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На основании полученных от функционального заказчика требований зафиксировано 25 доработок, которые вошли в состав технических требований на развитие Модуля </w:t>
      </w:r>
      <w:proofErr w:type="spellStart"/>
      <w:r>
        <w:rPr>
          <w:rFonts w:ascii="Times New Roman" w:hAnsi="Times New Roman"/>
          <w:color w:val="000000" w:themeColor="text1"/>
          <w:sz w:val="28"/>
          <w:szCs w:val="28"/>
          <w:lang w:eastAsia="ru-RU"/>
        </w:rPr>
        <w:t>БиВПГМУ</w:t>
      </w:r>
      <w:proofErr w:type="spellEnd"/>
      <w:r>
        <w:rPr>
          <w:rFonts w:ascii="Times New Roman" w:hAnsi="Times New Roman"/>
          <w:color w:val="000000" w:themeColor="text1"/>
          <w:sz w:val="28"/>
          <w:szCs w:val="28"/>
          <w:lang w:eastAsia="ru-RU"/>
        </w:rPr>
        <w:t xml:space="preserve"> подсистемы «Нормативно-справочная информация» ГИИС «Электронный бюджет» на 2017 год.</w:t>
      </w:r>
    </w:p>
    <w:p>
      <w:pPr>
        <w:tabs>
          <w:tab w:val="left" w:pos="-142"/>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2016 году обеспечено регулярное обновление актуализированных справочников бюджетной классификации расходов по сегментам</w:t>
      </w:r>
      <w:r>
        <w:rPr>
          <w:rFonts w:ascii="Times New Roman" w:hAnsi="Times New Roman"/>
          <w:color w:val="000000" w:themeColor="text1"/>
          <w:sz w:val="28"/>
          <w:szCs w:val="28"/>
          <w:lang w:eastAsia="ru-RU"/>
        </w:rPr>
        <w:br/>
        <w:t>из информационной системы Минфина России в подсистему «Нормативно-справочная информация»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5.4.6. Технологическое обеспечение контроля и надзора </w:t>
      </w:r>
      <w:r>
        <w:rPr>
          <w:rFonts w:ascii="Times New Roman" w:hAnsi="Times New Roman"/>
          <w:b/>
          <w:color w:val="000000" w:themeColor="text1"/>
          <w:sz w:val="28"/>
          <w:szCs w:val="28"/>
        </w:rPr>
        <w:br/>
        <w:t>в финансово-бюджетной сфере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Во исполнение Указа Президента № 41 в 2016 году Федеральным казначейством принято участие в ликвидационных процедурах в связи </w:t>
      </w:r>
      <w:r>
        <w:rPr>
          <w:rFonts w:ascii="Times New Roman" w:eastAsiaTheme="minorHAnsi" w:hAnsi="Times New Roman"/>
          <w:color w:val="000000" w:themeColor="text1"/>
          <w:sz w:val="28"/>
          <w:szCs w:val="28"/>
        </w:rPr>
        <w:br/>
        <w:t>с упразднением Федеральной службы финансово-бюджетного надзора.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Для организации работ по данному направлению Руководителем Федерального казначейства Р.Е. Артюхиным 5 сентября 2016 года утвержден План мероприятий («дорожная карта») по принятию Федеральным казначейством имущества, документов и функций упраздненного Росфиннадзора, обеспечению непрерывности реализации полномочий по контролю и надзору в финансово-бюджетной сфере</w:t>
      </w:r>
      <w:r>
        <w:rPr>
          <w:rFonts w:ascii="Times New Roman" w:eastAsiaTheme="minorHAnsi" w:hAnsi="Times New Roman"/>
          <w:color w:val="000000" w:themeColor="text1"/>
          <w:sz w:val="28"/>
          <w:szCs w:val="28"/>
        </w:rPr>
        <w:br/>
        <w:t>и внешнему контролю качества работы аудиторских организаций (далее – «дорожная карта»).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рамках работ по автоматизации полномочий Федерального казначейства по контролю и надзору в финансово-бюджетной сфере</w:t>
      </w:r>
      <w:r>
        <w:rPr>
          <w:rFonts w:ascii="Times New Roman" w:eastAsiaTheme="minorHAnsi" w:hAnsi="Times New Roman"/>
          <w:color w:val="000000" w:themeColor="text1"/>
          <w:sz w:val="28"/>
          <w:szCs w:val="28"/>
        </w:rPr>
        <w:br/>
        <w:t>и внешнему контролю качества работы аудиторских организаций</w:t>
      </w:r>
      <w:r>
        <w:rPr>
          <w:rFonts w:ascii="Times New Roman" w:eastAsiaTheme="minorHAnsi" w:hAnsi="Times New Roman"/>
          <w:color w:val="000000" w:themeColor="text1"/>
          <w:sz w:val="28"/>
          <w:szCs w:val="28"/>
        </w:rPr>
        <w:br/>
        <w:t>в соответствии с пунктом 10.7 указанного плана мероприятий осуществлен анализ информационных систем в центральном аппарате Росфиннадзора и его территориальных органах:</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проведено исследование эксплуатируемого прикладного программного продукта «Автоматизированная система планирования контрольной и надзорной деятельности Федеральной службы финансово-бюджетного надзора в исполняемых модулях» (далее – АСП Росфиннадзора) в центральном аппарате Росфиннадзора, а также </w:t>
      </w:r>
      <w:r>
        <w:rPr>
          <w:rFonts w:ascii="Times New Roman" w:eastAsiaTheme="minorHAnsi" w:hAnsi="Times New Roman"/>
          <w:color w:val="000000" w:themeColor="text1"/>
          <w:sz w:val="28"/>
          <w:szCs w:val="28"/>
        </w:rPr>
        <w:br/>
        <w:t>в территориальном органе Росфиннадзора по Краснодарскому краю;</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проведен сбор информации по использованию функциональных возможностей АСП Росфиннадзора путем проведения анкетирования центрального аппарата Росфиннадзора и 78 территориальных органов Росфиннадзора.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На основании проведенного анализа выявлено, что по состоянию</w:t>
      </w:r>
      <w:r>
        <w:rPr>
          <w:rFonts w:ascii="Times New Roman" w:eastAsiaTheme="minorHAnsi" w:hAnsi="Times New Roman"/>
          <w:color w:val="000000" w:themeColor="text1"/>
          <w:sz w:val="28"/>
          <w:szCs w:val="28"/>
        </w:rPr>
        <w:br/>
        <w:t>на 1 января 2016 года в упраздняемом Росфиннадзоре была обеспечена автоматизация только полномочия по осуществлению внутреннего государственного финансового контроля в сфере бюджетных правоотношений в части реализации этапов контрольной деятельности</w:t>
      </w:r>
      <w:r>
        <w:rPr>
          <w:rFonts w:ascii="Times New Roman" w:eastAsiaTheme="minorHAnsi" w:hAnsi="Times New Roman"/>
          <w:color w:val="000000" w:themeColor="text1"/>
          <w:sz w:val="28"/>
          <w:szCs w:val="28"/>
        </w:rPr>
        <w:br/>
        <w:t>по планированию и проведению контрольных мероприятий, а также формированию отчетности по результатам контрольных мероприятий.</w:t>
      </w:r>
      <w:r>
        <w:rPr>
          <w:rFonts w:ascii="Times New Roman" w:eastAsiaTheme="minorHAnsi" w:hAnsi="Times New Roman"/>
          <w:color w:val="000000" w:themeColor="text1"/>
          <w:sz w:val="28"/>
          <w:szCs w:val="28"/>
        </w:rPr>
        <w:br/>
        <w:t>При этом согласно результатам анкетирования, имеющиеся функциональные возможности АСП Росфиннадзора применялись</w:t>
      </w:r>
      <w:r>
        <w:rPr>
          <w:rFonts w:ascii="Times New Roman" w:eastAsiaTheme="minorHAnsi" w:hAnsi="Times New Roman"/>
          <w:color w:val="000000" w:themeColor="text1"/>
          <w:sz w:val="28"/>
          <w:szCs w:val="28"/>
        </w:rPr>
        <w:br/>
        <w:t>не во всех территориальных органах Росфиннадзора или не в полном объеме.</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Уровень применения в Росфиннадзоре функциональных возможностей АСП Росфиннадзора по планированию контрольных мероприятий представлен на диаграмме</w:t>
      </w:r>
      <w:r>
        <w:rPr>
          <w:rFonts w:ascii="Times New Roman" w:hAnsi="Times New Roman"/>
          <w:color w:val="000000" w:themeColor="text1"/>
          <w:sz w:val="28"/>
          <w:szCs w:val="28"/>
        </w:rPr>
        <w:t xml:space="preserve"> 64.</w:t>
      </w: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64</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Планирование контрольных мероприятий</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56744" cy="4094922"/>
            <wp:effectExtent l="0" t="0" r="15875" b="2032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применения функциональных возможностей АСП Росфиннадзора по подготовке и назначению контрольных мероприятий (далее – КМ) представлен на диаграмме 65.</w:t>
      </w:r>
    </w:p>
    <w:p>
      <w:pPr>
        <w:keepNext/>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65</w:t>
      </w:r>
    </w:p>
    <w:p>
      <w:pPr>
        <w:keepNext/>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Подготовка и назначение контрольного мероприятия</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48793" cy="3021496"/>
            <wp:effectExtent l="0" t="0" r="23495" b="2667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применения функциональных возможностей АСП Росфиннадзора по проведению КМ представлен на диаграмме 66.</w:t>
      </w:r>
    </w:p>
    <w:p>
      <w:pPr>
        <w:spacing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 66</w:t>
      </w:r>
    </w:p>
    <w:p>
      <w:pPr>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Проведение контрольного мероприятия</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64696" cy="3442914"/>
            <wp:effectExtent l="0" t="0" r="26670" b="2476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Уровень применения функциональных возможностей АСП Росфиннадзора»</w:t>
      </w:r>
      <w:r>
        <w:rPr>
          <w:rFonts w:ascii="Times New Roman" w:hAnsi="Times New Roman"/>
          <w:i/>
          <w:color w:val="000000" w:themeColor="text1"/>
          <w:sz w:val="24"/>
          <w:szCs w:val="24"/>
        </w:rPr>
        <w:t xml:space="preserve"> </w:t>
      </w:r>
      <w:r>
        <w:rPr>
          <w:rFonts w:ascii="Times New Roman" w:hAnsi="Times New Roman"/>
          <w:color w:val="000000" w:themeColor="text1"/>
          <w:sz w:val="28"/>
          <w:szCs w:val="28"/>
        </w:rPr>
        <w:t>по реализации КМ представлен на диаграмме 67.</w:t>
      </w:r>
    </w:p>
    <w:p>
      <w:pPr>
        <w:keepNext/>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67</w:t>
      </w:r>
    </w:p>
    <w:p>
      <w:pPr>
        <w:keepNext/>
        <w:spacing w:before="120" w:after="120" w:line="240" w:lineRule="auto"/>
        <w:ind w:firstLine="709"/>
        <w:jc w:val="center"/>
        <w:rPr>
          <w:rFonts w:ascii="Times New Roman" w:hAnsi="Times New Roman"/>
          <w:b/>
          <w:color w:val="000000" w:themeColor="text1"/>
          <w:sz w:val="28"/>
          <w:szCs w:val="28"/>
        </w:rPr>
      </w:pPr>
      <w:r>
        <w:rPr>
          <w:rFonts w:ascii="Times New Roman" w:hAnsi="Times New Roman"/>
          <w:b/>
          <w:color w:val="000000" w:themeColor="text1"/>
          <w:sz w:val="28"/>
          <w:szCs w:val="28"/>
        </w:rPr>
        <w:t>Реализация контрольных мероприятий</w:t>
      </w:r>
    </w:p>
    <w:p>
      <w:pPr>
        <w:spacing w:after="0" w:line="360" w:lineRule="atLeast"/>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788550" cy="3212327"/>
            <wp:effectExtent l="0" t="0" r="22225" b="26670"/>
            <wp:docPr id="2050" name="Диаграмма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По результатам проведенного анализа информационных систем, эксплуатируемых в Росфиннадзоре и его территориальных органах, подготовлено заключение по автоматизации контрольных полномочий</w:t>
      </w:r>
      <w:r>
        <w:rPr>
          <w:rFonts w:ascii="Times New Roman" w:eastAsiaTheme="minorHAnsi" w:hAnsi="Times New Roman"/>
          <w:color w:val="000000" w:themeColor="text1"/>
          <w:sz w:val="28"/>
          <w:szCs w:val="28"/>
        </w:rPr>
        <w:br/>
        <w:t>и функций Федерального казначейства.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соответствии с пунктом 10.9 Плана мероприятий («дорожная карта») по принятию Федеральным казначейством имущества, документов </w:t>
      </w:r>
      <w:r>
        <w:rPr>
          <w:rFonts w:ascii="Times New Roman" w:eastAsiaTheme="minorHAnsi" w:hAnsi="Times New Roman"/>
          <w:color w:val="000000" w:themeColor="text1"/>
          <w:sz w:val="28"/>
          <w:szCs w:val="28"/>
        </w:rPr>
        <w:br/>
        <w:t xml:space="preserve">и функций упраздненного Росфиннадзора, обеспечению непрерывности реализации полномочий по контролю и надзору в финансово-бюджетной сфере и внешнему контролю качества работы аудиторских организаций разработаны предложения по автоматизации полномочий Росфиннадзора </w:t>
      </w:r>
      <w:r>
        <w:rPr>
          <w:rFonts w:ascii="Times New Roman" w:eastAsiaTheme="minorHAnsi" w:hAnsi="Times New Roman"/>
          <w:color w:val="000000" w:themeColor="text1"/>
          <w:sz w:val="28"/>
          <w:szCs w:val="28"/>
        </w:rPr>
        <w:br/>
        <w:t>с учетом функциональности информационных систем Федерального казначейства в 2 этапа.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С целью обеспечения непрерывности реализации полномочий</w:t>
      </w:r>
      <w:r>
        <w:rPr>
          <w:rFonts w:ascii="Times New Roman" w:eastAsiaTheme="minorHAnsi" w:hAnsi="Times New Roman"/>
          <w:color w:val="000000" w:themeColor="text1"/>
          <w:sz w:val="28"/>
          <w:szCs w:val="28"/>
        </w:rPr>
        <w:br/>
        <w:t>по контролю и надзору в финансово-бюджетной сфере с учетом сформированных предложений принято решение о продолжении использования информационных систем упраздненного Росфиннадзора.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июне 2016 года Федеральным казначейством проведены мероприятия по развертыванию АСП Росфиннадзора и его подсистемы </w:t>
      </w:r>
      <w:r>
        <w:rPr>
          <w:rFonts w:ascii="Times New Roman" w:eastAsiaTheme="minorHAnsi" w:hAnsi="Times New Roman"/>
          <w:color w:val="000000" w:themeColor="text1"/>
          <w:sz w:val="28"/>
          <w:szCs w:val="28"/>
        </w:rPr>
        <w:br/>
        <w:t xml:space="preserve">для сопровождения процесса сбора и консолидации отчетных данных (далее – Свод-Смарт) и подключению сотрудников ЦАФК и УФК </w:t>
      </w:r>
      <w:r>
        <w:rPr>
          <w:rFonts w:ascii="Times New Roman" w:eastAsiaTheme="minorHAnsi" w:hAnsi="Times New Roman"/>
          <w:color w:val="000000" w:themeColor="text1"/>
          <w:sz w:val="28"/>
          <w:szCs w:val="28"/>
        </w:rPr>
        <w:br/>
        <w:t xml:space="preserve">по субъектам Российской Федерации. </w:t>
      </w:r>
      <w:r>
        <w:rPr>
          <w:rFonts w:ascii="Times New Roman" w:eastAsiaTheme="minorHAnsi" w:hAnsi="Times New Roman"/>
          <w:bCs/>
          <w:color w:val="000000" w:themeColor="text1"/>
          <w:sz w:val="28"/>
          <w:szCs w:val="28"/>
        </w:rPr>
        <w:t>Федеральным казначейством разработан и утвержден технологический регламент, отражающий последовательность выполнения операций с использованием Свод-Смарт.</w:t>
      </w:r>
    </w:p>
    <w:p>
      <w:pPr>
        <w:spacing w:after="0" w:line="360" w:lineRule="atLeast"/>
        <w:ind w:firstLine="709"/>
        <w:contextualSpacing/>
        <w:jc w:val="both"/>
        <w:rPr>
          <w:rFonts w:ascii="Times New Roman" w:eastAsiaTheme="minorHAnsi" w:hAnsi="Times New Roman"/>
          <w:bCs/>
          <w:color w:val="000000" w:themeColor="text1"/>
          <w:sz w:val="28"/>
          <w:szCs w:val="28"/>
        </w:rPr>
      </w:pPr>
      <w:r>
        <w:rPr>
          <w:rFonts w:ascii="Times New Roman" w:eastAsiaTheme="minorHAnsi" w:hAnsi="Times New Roman"/>
          <w:bCs/>
          <w:color w:val="000000" w:themeColor="text1"/>
          <w:sz w:val="28"/>
          <w:szCs w:val="28"/>
        </w:rPr>
        <w:lastRenderedPageBreak/>
        <w:t>В 2016 году посредством Свод-Смарт обеспечен сбор отчетности</w:t>
      </w:r>
      <w:r>
        <w:rPr>
          <w:rFonts w:ascii="Times New Roman" w:eastAsiaTheme="minorHAnsi" w:hAnsi="Times New Roman"/>
          <w:bCs/>
          <w:color w:val="000000" w:themeColor="text1"/>
          <w:sz w:val="28"/>
          <w:szCs w:val="28"/>
        </w:rPr>
        <w:br/>
        <w:t>о результатах осуществления полномочий Федерального казначейства</w:t>
      </w:r>
      <w:r>
        <w:rPr>
          <w:rFonts w:ascii="Times New Roman" w:eastAsiaTheme="minorHAnsi" w:hAnsi="Times New Roman"/>
          <w:bCs/>
          <w:color w:val="000000" w:themeColor="text1"/>
          <w:sz w:val="28"/>
          <w:szCs w:val="28"/>
        </w:rPr>
        <w:br/>
        <w:t xml:space="preserve">по контролю в финансово-бюджетной сфере за </w:t>
      </w:r>
      <w:r>
        <w:rPr>
          <w:rFonts w:ascii="Times New Roman" w:eastAsiaTheme="minorHAnsi" w:hAnsi="Times New Roman"/>
          <w:bCs/>
          <w:color w:val="000000" w:themeColor="text1"/>
          <w:sz w:val="28"/>
          <w:szCs w:val="28"/>
          <w:lang w:val="en-US"/>
        </w:rPr>
        <w:t>I </w:t>
      </w:r>
      <w:r>
        <w:rPr>
          <w:rFonts w:ascii="Times New Roman" w:eastAsiaTheme="minorHAnsi" w:hAnsi="Times New Roman"/>
          <w:bCs/>
          <w:color w:val="000000" w:themeColor="text1"/>
          <w:sz w:val="28"/>
          <w:szCs w:val="28"/>
        </w:rPr>
        <w:t xml:space="preserve">квартал, </w:t>
      </w:r>
      <w:r>
        <w:rPr>
          <w:rFonts w:ascii="Times New Roman" w:eastAsiaTheme="minorHAnsi" w:hAnsi="Times New Roman"/>
          <w:bCs/>
          <w:color w:val="000000" w:themeColor="text1"/>
          <w:sz w:val="28"/>
          <w:szCs w:val="28"/>
          <w:lang w:val="en-US"/>
        </w:rPr>
        <w:t>I </w:t>
      </w:r>
      <w:r>
        <w:rPr>
          <w:rFonts w:ascii="Times New Roman" w:eastAsiaTheme="minorHAnsi" w:hAnsi="Times New Roman"/>
          <w:bCs/>
          <w:color w:val="000000" w:themeColor="text1"/>
          <w:sz w:val="28"/>
          <w:szCs w:val="28"/>
        </w:rPr>
        <w:t>полугодие</w:t>
      </w:r>
      <w:r>
        <w:rPr>
          <w:rFonts w:ascii="Times New Roman" w:eastAsiaTheme="minorHAnsi" w:hAnsi="Times New Roman"/>
          <w:bCs/>
          <w:color w:val="000000" w:themeColor="text1"/>
          <w:sz w:val="28"/>
          <w:szCs w:val="28"/>
        </w:rPr>
        <w:br/>
        <w:t>и 9 месяцев 2016 года.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рамках принятия на баланс Федерального казначейства АСП Росфиннадзора как объекта учета в соответствии с распоряжением Территориального управления Федерального агентства по управлению государственным имуществом в городе Москве (далее – ТУ Росимущества </w:t>
      </w:r>
      <w:r>
        <w:rPr>
          <w:rFonts w:ascii="Times New Roman" w:eastAsiaTheme="minorHAnsi" w:hAnsi="Times New Roman"/>
          <w:color w:val="000000" w:themeColor="text1"/>
          <w:sz w:val="28"/>
          <w:szCs w:val="28"/>
        </w:rPr>
        <w:br/>
        <w:t xml:space="preserve">в г. Москве) от 6 сентября 2016 г. № 963 «О закреплении федерального движимого имущества на праве оперативного управления за Федеральным казначейством» (в редакции распоряжения ТУ Росимущества в г. Москве </w:t>
      </w:r>
      <w:r>
        <w:rPr>
          <w:rFonts w:ascii="Times New Roman" w:eastAsiaTheme="minorHAnsi" w:hAnsi="Times New Roman"/>
          <w:color w:val="000000" w:themeColor="text1"/>
          <w:sz w:val="28"/>
          <w:szCs w:val="28"/>
        </w:rPr>
        <w:br/>
        <w:t>от 24 октября 2016 г. № 1122), а также во исполнение поручений руководителя Федерального казначейства Р.Е. Артюхина проведен ряд мероприятий с целью внедрения в Федеральном казначействе централизованной версии АСП Росфиннадзора, в том числе: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определены прогнозируемые показатели функционального назначения, с помощью которых были определены основные архитектурные решения и рассчитана требуемая производительность аппаратных средств </w:t>
      </w:r>
      <w:r>
        <w:rPr>
          <w:rFonts w:ascii="Times New Roman" w:eastAsiaTheme="minorHAnsi" w:hAnsi="Times New Roman"/>
          <w:color w:val="000000" w:themeColor="text1"/>
          <w:sz w:val="28"/>
          <w:szCs w:val="28"/>
        </w:rPr>
        <w:br/>
        <w:t>с целью централизованного внедрения информационной системы;</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8 ноября 2016 года согласованы функциональные требования</w:t>
      </w:r>
      <w:r>
        <w:rPr>
          <w:rFonts w:ascii="Times New Roman" w:eastAsiaTheme="minorHAnsi" w:hAnsi="Times New Roman"/>
          <w:color w:val="000000" w:themeColor="text1"/>
          <w:sz w:val="28"/>
          <w:szCs w:val="28"/>
        </w:rPr>
        <w:br/>
        <w:t>в объеме функциональных возможностей, достаточных для исполнения Федеральным казначействам функций по контролю и надзору</w:t>
      </w:r>
      <w:r>
        <w:rPr>
          <w:rFonts w:ascii="Times New Roman" w:eastAsiaTheme="minorHAnsi" w:hAnsi="Times New Roman"/>
          <w:color w:val="000000" w:themeColor="text1"/>
          <w:sz w:val="28"/>
          <w:szCs w:val="28"/>
        </w:rPr>
        <w:br/>
        <w:t>в финансово-бюджетной сфере в автоматизированном режиме;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с 19 по 21 декабря 2016 года проведена демонстрация функциональных возможностей базовой версии АСП Росфиннадзора</w:t>
      </w:r>
      <w:r>
        <w:rPr>
          <w:rFonts w:ascii="Times New Roman" w:eastAsiaTheme="minorHAnsi" w:hAnsi="Times New Roman"/>
          <w:color w:val="000000" w:themeColor="text1"/>
          <w:sz w:val="28"/>
          <w:szCs w:val="28"/>
        </w:rPr>
        <w:br/>
        <w:t xml:space="preserve">для сотрудников ЦАФК, уполномоченных на осуществление контроля </w:t>
      </w:r>
      <w:r>
        <w:rPr>
          <w:rFonts w:ascii="Times New Roman" w:eastAsiaTheme="minorHAnsi" w:hAnsi="Times New Roman"/>
          <w:color w:val="000000" w:themeColor="text1"/>
          <w:sz w:val="28"/>
          <w:szCs w:val="28"/>
        </w:rPr>
        <w:br/>
        <w:t>и надзора в финансово-бюджетной сфере;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26 декабря 2016 года проведена демонстрация функциональных возможностей базовой версии АСП Росфиннадзора в формате видеоконференцсвязи с ТОФК;</w:t>
      </w:r>
    </w:p>
    <w:p>
      <w:pPr>
        <w:spacing w:after="0" w:line="360" w:lineRule="atLeast"/>
        <w:ind w:firstLine="709"/>
        <w:contextualSpacing/>
        <w:jc w:val="both"/>
        <w:rPr>
          <w:rFonts w:ascii="Times New Roman" w:eastAsiaTheme="minorHAnsi" w:hAnsi="Times New Roman"/>
          <w:bCs/>
          <w:color w:val="000000" w:themeColor="text1"/>
          <w:sz w:val="28"/>
          <w:szCs w:val="28"/>
        </w:rPr>
      </w:pPr>
      <w:r>
        <w:rPr>
          <w:rFonts w:ascii="Times New Roman" w:eastAsiaTheme="minorHAnsi" w:hAnsi="Times New Roman"/>
          <w:color w:val="000000" w:themeColor="text1"/>
          <w:sz w:val="28"/>
          <w:szCs w:val="28"/>
        </w:rPr>
        <w:t xml:space="preserve">– разработан </w:t>
      </w:r>
      <w:r>
        <w:rPr>
          <w:rFonts w:ascii="Times New Roman" w:eastAsiaTheme="minorHAnsi" w:hAnsi="Times New Roman"/>
          <w:bCs/>
          <w:color w:val="000000" w:themeColor="text1"/>
          <w:sz w:val="28"/>
          <w:szCs w:val="28"/>
        </w:rPr>
        <w:t>и утвержден технологический регламент, отражающий последовательность выполнения операций с использованием базовой версии АСП Росфиннадзора;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издан приказ Федерального казначейства от 12 декабря 2016 г.</w:t>
      </w:r>
      <w:r>
        <w:rPr>
          <w:rFonts w:ascii="Times New Roman" w:eastAsiaTheme="minorHAnsi" w:hAnsi="Times New Roman"/>
          <w:color w:val="000000" w:themeColor="text1"/>
          <w:sz w:val="28"/>
          <w:szCs w:val="28"/>
        </w:rPr>
        <w:br/>
        <w:t>№ 460 «О вводе в эксплуатацию прикладного программного продукта «Автоматизированная система планирования контрольной и надзорной деятельности Федеральной службы финансово-бюджетного надзора</w:t>
      </w:r>
      <w:r>
        <w:rPr>
          <w:rFonts w:ascii="Times New Roman" w:eastAsiaTheme="minorHAnsi" w:hAnsi="Times New Roman"/>
          <w:color w:val="000000" w:themeColor="text1"/>
          <w:sz w:val="28"/>
          <w:szCs w:val="28"/>
        </w:rPr>
        <w:br/>
        <w:t>в исполняемых модулях» с датой ввода в эксплуатацию 20 декабря</w:t>
      </w:r>
      <w:r>
        <w:rPr>
          <w:rFonts w:ascii="Times New Roman" w:eastAsiaTheme="minorHAnsi" w:hAnsi="Times New Roman"/>
          <w:color w:val="000000" w:themeColor="text1"/>
          <w:sz w:val="28"/>
          <w:szCs w:val="28"/>
        </w:rPr>
        <w:br/>
        <w:t>2016 года.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Внедренная в 2016 году в Федеральном казначействе базовая версия</w:t>
      </w:r>
      <w:r>
        <w:rPr>
          <w:rFonts w:ascii="Times New Roman" w:eastAsiaTheme="minorHAnsi" w:hAnsi="Times New Roman"/>
          <w:b/>
          <w:color w:val="000000" w:themeColor="text1"/>
          <w:sz w:val="28"/>
          <w:szCs w:val="28"/>
        </w:rPr>
        <w:t xml:space="preserve"> </w:t>
      </w:r>
      <w:r>
        <w:rPr>
          <w:rFonts w:ascii="Times New Roman" w:eastAsiaTheme="minorHAnsi" w:hAnsi="Times New Roman"/>
          <w:color w:val="000000" w:themeColor="text1"/>
          <w:sz w:val="28"/>
          <w:szCs w:val="28"/>
        </w:rPr>
        <w:t>АСП Росфиннадзора, кроме реализованных в Росфиннадзоре технологий, включает в себя доработки по следующим направлениям:</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изменение структуры Плана контрольных мероприятий Федерального казначейства в финансово-бюджетной сфере и Плана контрольных мероприятий Управления Федерального казначейства</w:t>
      </w:r>
      <w:r>
        <w:rPr>
          <w:rFonts w:ascii="Times New Roman" w:eastAsiaTheme="minorHAnsi" w:hAnsi="Times New Roman"/>
          <w:color w:val="000000" w:themeColor="text1"/>
          <w:sz w:val="28"/>
          <w:szCs w:val="28"/>
        </w:rPr>
        <w:br/>
        <w:t>по субъекту Российской Федерации в соответствии с приказом Федерального казначейства от 30 сентября 2016 г. № 356 «Об утверждении порядка планирования контрольных мероприятий в финансово-бюджетной сфере, проводимых Федеральным казначейством и его территориальными органами»;</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обновление и настройка справочников с учетом данных информационных систем, используемых в Федеральном казначействе;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стандартизация и унификация бизнес-процессов по назначению контрольного мероприятия, проведения контрольного мероприятия </w:t>
      </w:r>
      <w:r>
        <w:rPr>
          <w:rFonts w:ascii="Times New Roman" w:eastAsiaTheme="minorHAnsi" w:hAnsi="Times New Roman"/>
          <w:color w:val="000000" w:themeColor="text1"/>
          <w:sz w:val="28"/>
          <w:szCs w:val="28"/>
        </w:rPr>
        <w:br/>
        <w:t xml:space="preserve">и реализации результатов контрольного мероприятия на основании технологической карты, согласованной структурными подразделениями ЦАФК, уполномоченными на осуществление контроля и надзора </w:t>
      </w:r>
      <w:r>
        <w:rPr>
          <w:rFonts w:ascii="Times New Roman" w:eastAsiaTheme="minorHAnsi" w:hAnsi="Times New Roman"/>
          <w:color w:val="000000" w:themeColor="text1"/>
          <w:sz w:val="28"/>
          <w:szCs w:val="28"/>
        </w:rPr>
        <w:br/>
        <w:t xml:space="preserve">в финансово-бюджетной сфере. Актуализация шаблонов документов согласно приказам Федерального казначейства от 29 июля 2016 г. № 12н «Об утверждении форм и требований к содержанию документов, составляемых должностными лицами Федерального казначейства </w:t>
      </w:r>
      <w:r>
        <w:rPr>
          <w:rFonts w:ascii="Times New Roman" w:eastAsiaTheme="minorHAnsi" w:hAnsi="Times New Roman"/>
          <w:color w:val="000000" w:themeColor="text1"/>
          <w:sz w:val="28"/>
          <w:szCs w:val="28"/>
        </w:rPr>
        <w:br/>
        <w:t xml:space="preserve">при реализации полномочий по контролю в финансово-бюджетной сфере» </w:t>
      </w:r>
      <w:r>
        <w:rPr>
          <w:rFonts w:ascii="Times New Roman" w:eastAsiaTheme="minorHAnsi" w:hAnsi="Times New Roman"/>
          <w:color w:val="000000" w:themeColor="text1"/>
          <w:sz w:val="28"/>
          <w:szCs w:val="28"/>
        </w:rPr>
        <w:br/>
        <w:t xml:space="preserve">и от 30 ноября 2016 г. № 437 «Об утверждении Порядка осуществления производства по делам об административных правонарушениях </w:t>
      </w:r>
      <w:r>
        <w:rPr>
          <w:rFonts w:ascii="Times New Roman" w:eastAsiaTheme="minorHAnsi" w:hAnsi="Times New Roman"/>
          <w:color w:val="000000" w:themeColor="text1"/>
          <w:sz w:val="28"/>
          <w:szCs w:val="28"/>
        </w:rPr>
        <w:br/>
        <w:t>в центральном аппарате Федерального казначейства»;</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актуализация форм отчетности:</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по приказу Федерального казначейства от 26 декабря 2016 г. № 494 «О предоставлении отчетности, информации о проведении контрольных мероприятий в финансово-бюджетной сфере»;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по приказу Минфина России от 18 мая 2016 г. № 67н </w:t>
      </w:r>
      <w:r>
        <w:rPr>
          <w:rFonts w:ascii="Times New Roman" w:eastAsiaTheme="minorHAnsi" w:hAnsi="Times New Roman"/>
          <w:color w:val="000000" w:themeColor="text1"/>
          <w:sz w:val="28"/>
          <w:szCs w:val="28"/>
        </w:rPr>
        <w:br/>
        <w:t>«Об утверждении формы и порядка представления отчета о результатах проведения Федеральным казначейством контрольных мероприятий</w:t>
      </w:r>
      <w:r>
        <w:rPr>
          <w:rFonts w:ascii="Times New Roman" w:eastAsiaTheme="minorHAnsi" w:hAnsi="Times New Roman"/>
          <w:color w:val="000000" w:themeColor="text1"/>
          <w:sz w:val="28"/>
          <w:szCs w:val="28"/>
        </w:rPr>
        <w:br/>
        <w:t>в финансово-бюджетной сфере»;</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формы 1-АЭ «Сведения об административных правонарушениях</w:t>
      </w:r>
      <w:r>
        <w:rPr>
          <w:rFonts w:ascii="Times New Roman" w:eastAsiaTheme="minorHAnsi" w:hAnsi="Times New Roman"/>
          <w:color w:val="000000" w:themeColor="text1"/>
          <w:sz w:val="28"/>
          <w:szCs w:val="28"/>
        </w:rPr>
        <w:br/>
        <w:t xml:space="preserve">в сфере экономики» в соответствии с приказом Федеральной службы государственной статистики от 4 августа 2016 г. № 388 «Об утверждении статистического инструментария для организации федерального статистического наблюдения за рыночными услугами, туризмом, </w:t>
      </w:r>
      <w:r>
        <w:rPr>
          <w:rFonts w:ascii="Times New Roman" w:eastAsiaTheme="minorHAnsi" w:hAnsi="Times New Roman"/>
          <w:color w:val="000000" w:themeColor="text1"/>
          <w:sz w:val="28"/>
          <w:szCs w:val="28"/>
        </w:rPr>
        <w:lastRenderedPageBreak/>
        <w:t>административными правонарушениями в сфере экономики и оборотом розничной торговли».</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Вместе с тем, в 2017 году планируется доработка АСП Росфиннадзора в части реализации информационного взаимодействия:</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с ЕИС с целью размещения сведений в Реестре жалоб, плановых </w:t>
      </w:r>
      <w:r>
        <w:rPr>
          <w:rFonts w:ascii="Times New Roman" w:eastAsiaTheme="minorHAnsi" w:hAnsi="Times New Roman"/>
          <w:color w:val="000000" w:themeColor="text1"/>
          <w:sz w:val="28"/>
          <w:szCs w:val="28"/>
        </w:rPr>
        <w:br/>
        <w:t>и внеплановых проверок, принятых по ним решений и выданных предписаний в соответствии с постановлением Правительства Российской Федерации от 27 октября 2015 г. № 1148 «О порядке ведения реестра жалоб, плановых и внеплановых проверок, принятых по ним решений и выданных предписаний»;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с Государственной информационной системой «Официальный сайт Российской Федерации в информационно-телекоммуникационной сети «Интернет» для размещения информации об осуществлении государственного (муниципального) финансового аудита (контроля) в сфере бюджетных правоотношений» с целью размещения сведений в соответствии с совместным приказом Счетной палаты Российской Федерации и Минфина России от 25 декабря 2015 г. № 128/214н «Об утверждении положения </w:t>
      </w:r>
      <w:r>
        <w:rPr>
          <w:rFonts w:ascii="Times New Roman" w:eastAsiaTheme="minorHAnsi" w:hAnsi="Times New Roman"/>
          <w:color w:val="000000" w:themeColor="text1"/>
          <w:sz w:val="28"/>
          <w:szCs w:val="28"/>
        </w:rPr>
        <w:br/>
        <w:t>о государственной информационной системе «Официальный сайт Российской Федерации в информационно-телекоммуникационной сети «Интернет» для размещения информации об осуществлении государственного (муниципального) финансового аудита (контроля) в сфере бюджетных правоотношений».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bCs/>
          <w:color w:val="000000" w:themeColor="text1"/>
          <w:sz w:val="28"/>
          <w:szCs w:val="28"/>
        </w:rPr>
        <w:t>В целях</w:t>
      </w:r>
      <w:r>
        <w:rPr>
          <w:rFonts w:ascii="Times New Roman" w:eastAsiaTheme="minorHAnsi" w:hAnsi="Times New Roman"/>
          <w:color w:val="000000" w:themeColor="text1"/>
          <w:sz w:val="28"/>
          <w:szCs w:val="28"/>
        </w:rPr>
        <w:t xml:space="preserve"> повышения эффективности осуществления контроля </w:t>
      </w:r>
      <w:r>
        <w:rPr>
          <w:rFonts w:ascii="Times New Roman" w:eastAsiaTheme="minorHAnsi" w:hAnsi="Times New Roman"/>
          <w:color w:val="000000" w:themeColor="text1"/>
          <w:sz w:val="28"/>
          <w:szCs w:val="28"/>
        </w:rPr>
        <w:br/>
        <w:t xml:space="preserve">и надзора в финансово-бюджетной сфере издан приказ Федерального казначейства от 16 июня 2016 г. № 200 «Об организации доступа </w:t>
      </w:r>
      <w:r>
        <w:rPr>
          <w:rFonts w:ascii="Times New Roman" w:eastAsiaTheme="minorHAnsi" w:hAnsi="Times New Roman"/>
          <w:color w:val="000000" w:themeColor="text1"/>
          <w:sz w:val="28"/>
          <w:szCs w:val="28"/>
        </w:rPr>
        <w:br/>
        <w:t xml:space="preserve">к региональным сегментам информационной системы «Прикладное программное обеспечение «Автоматизированная система Федерального казначейства» и Единой информационной системе в сфере закупок </w:t>
      </w:r>
      <w:r>
        <w:rPr>
          <w:rFonts w:ascii="Times New Roman" w:eastAsiaTheme="minorHAnsi" w:hAnsi="Times New Roman"/>
          <w:color w:val="000000" w:themeColor="text1"/>
          <w:sz w:val="28"/>
          <w:szCs w:val="28"/>
        </w:rPr>
        <w:br/>
        <w:t xml:space="preserve">для обеспечения контроля и надзора в финансово-бюджетной сфере», </w:t>
      </w:r>
      <w:r>
        <w:rPr>
          <w:rFonts w:ascii="Times New Roman" w:eastAsiaTheme="minorHAnsi" w:hAnsi="Times New Roman"/>
          <w:color w:val="000000" w:themeColor="text1"/>
          <w:sz w:val="28"/>
          <w:szCs w:val="28"/>
        </w:rPr>
        <w:br/>
        <w:t>в рамках исполнения которого:</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сотрудникам ЦАФК, уполномоченным на осуществление контроля </w:t>
      </w:r>
      <w:r>
        <w:rPr>
          <w:rFonts w:ascii="Times New Roman" w:eastAsiaTheme="minorHAnsi" w:hAnsi="Times New Roman"/>
          <w:color w:val="000000" w:themeColor="text1"/>
          <w:sz w:val="28"/>
          <w:szCs w:val="28"/>
        </w:rPr>
        <w:br/>
        <w:t xml:space="preserve">в финансово-бюджетной сфере, предоставлен доступ к соответствующим региональным сегментам информационной системы ППО «АСФК» посредством подключения с рабочих станций защищенной корпоративной вычислительной сети ЦАФК с полномочием «ППО «АСФК»: </w:t>
      </w:r>
      <w:r>
        <w:rPr>
          <w:rFonts w:ascii="Times New Roman" w:eastAsiaTheme="minorHAnsi" w:hAnsi="Times New Roman"/>
          <w:color w:val="000000" w:themeColor="text1"/>
          <w:sz w:val="28"/>
          <w:szCs w:val="28"/>
        </w:rPr>
        <w:br/>
        <w:t>Все функции – просмотр»;</w:t>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обеспечено внесение изменений информации о Федеральном казначействе как об организации, зарегистрированной в ЕИС, в части дополнения полномочия в сфере закупок «Орган внутреннего контроля»</w:t>
      </w:r>
      <w:r>
        <w:rPr>
          <w:rFonts w:ascii="Times New Roman" w:eastAsiaTheme="minorHAnsi" w:hAnsi="Times New Roman"/>
          <w:color w:val="000000" w:themeColor="text1"/>
          <w:sz w:val="28"/>
          <w:szCs w:val="28"/>
        </w:rPr>
        <w:br/>
      </w:r>
      <w:r>
        <w:rPr>
          <w:rFonts w:ascii="Times New Roman" w:eastAsiaTheme="minorHAnsi" w:hAnsi="Times New Roman"/>
          <w:color w:val="000000" w:themeColor="text1"/>
          <w:sz w:val="28"/>
          <w:szCs w:val="28"/>
        </w:rPr>
        <w:lastRenderedPageBreak/>
        <w:t>и осуществлена регистрация в ЕИС сотрудников ЦАФК, уполномоченных на осуществление контроля и надзора в финансово-бюджетной сфере;</w:t>
      </w:r>
    </w:p>
    <w:p>
      <w:pPr>
        <w:spacing w:after="0" w:line="360" w:lineRule="atLeast"/>
        <w:ind w:right="-108"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 период с 15 по 17 июня 2016 года и 9 ноября 2016 года проведено обучение, в процессе которого продемонстрированы функциональные возможности ППО «АСФК», в том числе доступ к ППО «АСФК», работа с перечнем первичной документации с учетом особенностей системы, работа</w:t>
      </w:r>
      <w:r>
        <w:rPr>
          <w:rFonts w:ascii="Times New Roman" w:eastAsiaTheme="minorHAnsi" w:hAnsi="Times New Roman"/>
          <w:color w:val="000000" w:themeColor="text1"/>
          <w:sz w:val="28"/>
          <w:szCs w:val="28"/>
        </w:rPr>
        <w:br/>
        <w:t>с перечнем сводной отчетности открытого контура, а также продемонстрированы функциональные возможности ЕИС, в том числе, порядок подключения пользователей ЕИС, функциональные возможности подсистемы «Мониторинг закупок» ЕИС, инструменты поиска</w:t>
      </w:r>
      <w:r>
        <w:rPr>
          <w:rFonts w:ascii="Times New Roman" w:eastAsiaTheme="minorHAnsi" w:hAnsi="Times New Roman"/>
          <w:color w:val="000000" w:themeColor="text1"/>
          <w:sz w:val="28"/>
          <w:szCs w:val="28"/>
        </w:rPr>
        <w:br/>
        <w:t xml:space="preserve">на </w:t>
      </w:r>
      <w:r>
        <w:rPr>
          <w:rFonts w:ascii="Times New Roman" w:eastAsia="Times New Roman" w:hAnsi="Times New Roman"/>
          <w:color w:val="000000" w:themeColor="text1"/>
          <w:sz w:val="28"/>
          <w:szCs w:val="28"/>
        </w:rPr>
        <w:t xml:space="preserve">Официальном сайте </w:t>
      </w:r>
      <w:hyperlink r:id="rId207" w:history="1">
        <w:r>
          <w:rPr>
            <w:rFonts w:ascii="Times New Roman" w:eastAsia="Times New Roman" w:hAnsi="Times New Roman"/>
            <w:color w:val="000000" w:themeColor="text1"/>
            <w:sz w:val="28"/>
            <w:szCs w:val="28"/>
          </w:rPr>
          <w:t>www.zakupki.gov.ru</w:t>
        </w:r>
      </w:hyperlink>
      <w:r>
        <w:rPr>
          <w:rFonts w:ascii="Times New Roman" w:eastAsia="Times New Roman" w:hAnsi="Times New Roman"/>
          <w:color w:val="000000" w:themeColor="text1"/>
          <w:sz w:val="28"/>
          <w:szCs w:val="28"/>
        </w:rPr>
        <w:t xml:space="preserve"> </w:t>
      </w:r>
      <w:r>
        <w:rPr>
          <w:rFonts w:ascii="Times New Roman" w:eastAsiaTheme="minorHAnsi" w:hAnsi="Times New Roman"/>
          <w:color w:val="000000" w:themeColor="text1"/>
          <w:sz w:val="28"/>
          <w:szCs w:val="28"/>
        </w:rPr>
        <w:t xml:space="preserve">сведений и документов, являющихся предметами контроля, а также реестр жалоб, плановых </w:t>
      </w:r>
      <w:r>
        <w:rPr>
          <w:rFonts w:ascii="Times New Roman" w:eastAsiaTheme="minorHAnsi" w:hAnsi="Times New Roman"/>
          <w:color w:val="000000" w:themeColor="text1"/>
          <w:sz w:val="28"/>
          <w:szCs w:val="28"/>
        </w:rPr>
        <w:br/>
        <w:t>и внеплановых проверок (ревизий, обследований), их результатов и выданных предписаний. В рамках обучения уполномоченными сотрудниками самостоятельно изучены продемонстрированные функциональные возможности ППО «АСФК» и ЕИС посредством прохождения примеров для обучения. По итогам обучения в адрес УФК по субъектам Российской Федерации направлена инструкция по работе в ППО «АСФК» и ЕИС;</w:t>
      </w:r>
    </w:p>
    <w:p>
      <w:pPr>
        <w:spacing w:after="0" w:line="360" w:lineRule="atLeast"/>
        <w:ind w:right="-108"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УФК по субъектам Российской Федерации утверждены правовые акты об организации доступа и обеспечено подключение сотрудников подразделений по контролю и надзору в финансово-бюджетной сфере</w:t>
      </w:r>
      <w:r>
        <w:rPr>
          <w:rFonts w:ascii="Times New Roman" w:eastAsiaTheme="minorHAnsi" w:hAnsi="Times New Roman"/>
          <w:color w:val="000000" w:themeColor="text1"/>
          <w:sz w:val="28"/>
          <w:szCs w:val="28"/>
        </w:rPr>
        <w:br/>
        <w:t xml:space="preserve">и внешнему контролю качества работы аудиторских организаций к ППО «АСФК» с полномочием «Все функции – просмотр» и к ЕИС с полномочием «Орган внутреннего контроля». </w:t>
      </w:r>
    </w:p>
    <w:p>
      <w:pPr>
        <w:spacing w:after="0" w:line="360" w:lineRule="atLeast"/>
        <w:ind w:firstLine="709"/>
        <w:contextualSpacing/>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В целях исполнения приказов Федерального казначейства</w:t>
      </w:r>
      <w:r>
        <w:rPr>
          <w:rFonts w:ascii="Times New Roman" w:eastAsiaTheme="minorHAnsi" w:hAnsi="Times New Roman"/>
          <w:color w:val="000000" w:themeColor="text1"/>
          <w:sz w:val="28"/>
          <w:szCs w:val="28"/>
        </w:rPr>
        <w:br/>
        <w:t xml:space="preserve">от 23 августа 2016 г. № 312 «Об утверждении правил присвоения уникального идентификатора начисления Федеральным казначейством, территориальными органами Федерального казначейства, </w:t>
      </w:r>
      <w:r>
        <w:rPr>
          <w:rFonts w:ascii="Times New Roman" w:hAnsi="Times New Roman"/>
          <w:color w:val="000000" w:themeColor="text1"/>
          <w:sz w:val="28"/>
          <w:szCs w:val="28"/>
        </w:rPr>
        <w:t>ФКУ «ЦОКР»</w:t>
      </w:r>
      <w:r>
        <w:rPr>
          <w:rFonts w:ascii="Times New Roman" w:eastAsiaTheme="minorHAnsi" w:hAnsi="Times New Roman"/>
          <w:color w:val="000000" w:themeColor="text1"/>
          <w:sz w:val="28"/>
          <w:szCs w:val="28"/>
        </w:rPr>
        <w:t xml:space="preserve"> </w:t>
      </w:r>
      <w:r>
        <w:rPr>
          <w:rFonts w:ascii="Times New Roman" w:eastAsiaTheme="minorHAnsi" w:hAnsi="Times New Roman"/>
          <w:color w:val="000000" w:themeColor="text1"/>
          <w:sz w:val="28"/>
          <w:szCs w:val="28"/>
        </w:rPr>
        <w:br/>
        <w:t xml:space="preserve">и его обособленными подразделениями» и 23 декабря 2016 г. № 492 </w:t>
      </w:r>
      <w:r>
        <w:rPr>
          <w:rFonts w:ascii="Times New Roman" w:eastAsiaTheme="minorHAnsi" w:hAnsi="Times New Roman"/>
          <w:color w:val="000000" w:themeColor="text1"/>
          <w:sz w:val="28"/>
          <w:szCs w:val="28"/>
        </w:rPr>
        <w:br/>
        <w:t>«О порядке взаимодействия структурных подразделений (уполномоченных должностных лиц) центрального аппарата Федерального казначейства при выполнении функций администратора доходов федерального бюджета по главе 100 «Федеральное казначейство» в части штрафов за административные правонарушения» в 2016 году произведена доработка Автоматизированной комплексной системы исполнения сметы органов казначейства «</w:t>
      </w:r>
      <w:proofErr w:type="spellStart"/>
      <w:r>
        <w:rPr>
          <w:rFonts w:ascii="Times New Roman" w:eastAsiaTheme="minorHAnsi" w:hAnsi="Times New Roman"/>
          <w:color w:val="000000" w:themeColor="text1"/>
          <w:sz w:val="28"/>
          <w:szCs w:val="28"/>
        </w:rPr>
        <w:t>Аксиок</w:t>
      </w:r>
      <w:proofErr w:type="spellEnd"/>
      <w:r>
        <w:rPr>
          <w:rFonts w:ascii="Times New Roman" w:eastAsiaTheme="minorHAnsi" w:hAnsi="Times New Roman"/>
          <w:color w:val="000000" w:themeColor="text1"/>
          <w:sz w:val="28"/>
          <w:szCs w:val="28"/>
        </w:rPr>
        <w:t>.</w:t>
      </w:r>
      <w:r>
        <w:rPr>
          <w:rFonts w:ascii="Times New Roman" w:eastAsiaTheme="minorHAnsi" w:hAnsi="Times New Roman"/>
          <w:color w:val="000000" w:themeColor="text1"/>
          <w:sz w:val="28"/>
          <w:szCs w:val="28"/>
          <w:lang w:val="en-US"/>
        </w:rPr>
        <w:t>Net</w:t>
      </w:r>
      <w:r>
        <w:rPr>
          <w:rFonts w:ascii="Times New Roman" w:eastAsiaTheme="minorHAnsi" w:hAnsi="Times New Roman"/>
          <w:color w:val="000000" w:themeColor="text1"/>
          <w:sz w:val="28"/>
          <w:szCs w:val="28"/>
        </w:rPr>
        <w:t xml:space="preserve">». Автоматизированы процессы формирования уникального идентификационного номера и выгрузки информации о начислениях по штрафам за административные правонарушения по главе 100 «Федеральное казначейство» в ГИС ГМП. Целевая схема </w:t>
      </w:r>
      <w:r>
        <w:rPr>
          <w:rFonts w:ascii="Times New Roman" w:eastAsiaTheme="minorHAnsi" w:hAnsi="Times New Roman"/>
          <w:color w:val="000000" w:themeColor="text1"/>
          <w:sz w:val="28"/>
          <w:szCs w:val="28"/>
        </w:rPr>
        <w:lastRenderedPageBreak/>
        <w:t>функционирования информационной системы АКСИОК.Net в 2017 году представлена на рисунке</w:t>
      </w:r>
      <w:r>
        <w:rPr>
          <w:rFonts w:ascii="Times New Roman" w:hAnsi="Times New Roman"/>
          <w:color w:val="000000" w:themeColor="text1"/>
          <w:sz w:val="28"/>
          <w:szCs w:val="28"/>
        </w:rPr>
        <w:t xml:space="preserve"> 41.</w:t>
      </w:r>
    </w:p>
    <w:p>
      <w:pPr>
        <w:spacing w:after="0" w:line="360" w:lineRule="atLeast"/>
        <w:ind w:firstLine="709"/>
        <w:contextualSpacing/>
        <w:jc w:val="right"/>
        <w:rPr>
          <w:rFonts w:ascii="Times New Roman" w:hAnsi="Times New Roman"/>
          <w:color w:val="000000" w:themeColor="text1"/>
          <w:sz w:val="28"/>
          <w:szCs w:val="28"/>
        </w:rPr>
      </w:pPr>
      <w:r>
        <w:rPr>
          <w:rFonts w:ascii="Times New Roman" w:hAnsi="Times New Roman"/>
          <w:color w:val="000000" w:themeColor="text1"/>
          <w:sz w:val="28"/>
          <w:szCs w:val="28"/>
        </w:rPr>
        <w:t>Рисунок 41</w:t>
      </w:r>
    </w:p>
    <w:p>
      <w:pPr>
        <w:widowControl w:val="0"/>
        <w:tabs>
          <w:tab w:val="left" w:pos="1418"/>
        </w:tabs>
        <w:spacing w:before="120" w:after="12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Целевая схема функционирования «АКСИОК.Net» в 2017 году</w:t>
      </w:r>
    </w:p>
    <w:p>
      <w:pPr>
        <w:spacing w:after="0" w:line="360" w:lineRule="atLeast"/>
        <w:contextualSpacing/>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645426" cy="2520564"/>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ПО АКСИОК.jpg"/>
                    <pic:cNvPicPr/>
                  </pic:nvPicPr>
                  <pic:blipFill rotWithShape="1">
                    <a:blip r:embed="rId208">
                      <a:extLst>
                        <a:ext uri="{28A0092B-C50C-407E-A947-70E740481C1C}">
                          <a14:useLocalDpi xmlns:a14="http://schemas.microsoft.com/office/drawing/2010/main" val="0"/>
                        </a:ext>
                      </a:extLst>
                    </a:blip>
                    <a:srcRect t="24266" r="-182"/>
                    <a:stretch/>
                  </pic:blipFill>
                  <pic:spPr bwMode="auto">
                    <a:xfrm>
                      <a:off x="0" y="0"/>
                      <a:ext cx="5658957" cy="2526605"/>
                    </a:xfrm>
                    <a:prstGeom prst="rect">
                      <a:avLst/>
                    </a:prstGeom>
                    <a:ln>
                      <a:noFill/>
                    </a:ln>
                    <a:extLst>
                      <a:ext uri="{53640926-AAD7-44D8-BBD7-CCE9431645EC}">
                        <a14:shadowObscured xmlns:a14="http://schemas.microsoft.com/office/drawing/2010/main"/>
                      </a:ext>
                    </a:extLst>
                  </pic:spPr>
                </pic:pic>
              </a:graphicData>
            </a:graphic>
          </wp:inline>
        </w:drawing>
      </w:r>
    </w:p>
    <w:p>
      <w:pPr>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bCs/>
          <w:color w:val="000000" w:themeColor="text1"/>
          <w:sz w:val="28"/>
          <w:szCs w:val="28"/>
        </w:rPr>
        <w:t xml:space="preserve">С </w:t>
      </w:r>
      <w:r>
        <w:rPr>
          <w:rFonts w:ascii="Times New Roman" w:eastAsiaTheme="minorHAnsi" w:hAnsi="Times New Roman"/>
          <w:color w:val="000000" w:themeColor="text1"/>
          <w:sz w:val="28"/>
          <w:szCs w:val="28"/>
        </w:rPr>
        <w:t xml:space="preserve">целью автоматизации контрольно-надзорных функций Федерального казначейства, в том числе с учетом функциональности информационных систем Федерального казначейства в декабре 2016 года обеспечено формирование предложений к функциональным требованиям </w:t>
      </w:r>
      <w:r>
        <w:rPr>
          <w:rFonts w:ascii="Times New Roman" w:eastAsiaTheme="minorHAnsi" w:hAnsi="Times New Roman"/>
          <w:color w:val="000000" w:themeColor="text1"/>
          <w:sz w:val="28"/>
          <w:szCs w:val="28"/>
        </w:rPr>
        <w:br/>
        <w:t xml:space="preserve">по автоматизации функций по контролю и надзору в финансово-бюджетной сфере на </w:t>
      </w:r>
      <w:r>
        <w:rPr>
          <w:rFonts w:ascii="Times New Roman" w:eastAsiaTheme="minorHAnsi" w:hAnsi="Times New Roman"/>
          <w:color w:val="000000" w:themeColor="text1"/>
          <w:sz w:val="28"/>
          <w:szCs w:val="28"/>
          <w:lang w:val="en-US"/>
        </w:rPr>
        <w:t>web</w:t>
      </w:r>
      <w:r>
        <w:rPr>
          <w:rFonts w:ascii="Times New Roman" w:eastAsiaTheme="minorHAnsi" w:hAnsi="Times New Roman"/>
          <w:color w:val="000000" w:themeColor="text1"/>
          <w:sz w:val="28"/>
          <w:szCs w:val="28"/>
        </w:rPr>
        <w:t xml:space="preserve">-технологиях (далее – Система на </w:t>
      </w:r>
      <w:proofErr w:type="spellStart"/>
      <w:r>
        <w:rPr>
          <w:rFonts w:ascii="Times New Roman" w:eastAsiaTheme="minorHAnsi" w:hAnsi="Times New Roman"/>
          <w:color w:val="000000" w:themeColor="text1"/>
          <w:sz w:val="28"/>
          <w:szCs w:val="28"/>
        </w:rPr>
        <w:t>web</w:t>
      </w:r>
      <w:proofErr w:type="spellEnd"/>
      <w:r>
        <w:rPr>
          <w:rFonts w:ascii="Times New Roman" w:eastAsiaTheme="minorHAnsi" w:hAnsi="Times New Roman"/>
          <w:color w:val="000000" w:themeColor="text1"/>
          <w:sz w:val="28"/>
          <w:szCs w:val="28"/>
        </w:rPr>
        <w:t>-технологиях), в которой предусмотрено обеспечение следующих возможностей:</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осуществление юридически значимого документооборота;</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однократность ввода информации;</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применение единых формуляров;</w:t>
      </w:r>
    </w:p>
    <w:p>
      <w:pPr>
        <w:tabs>
          <w:tab w:val="left" w:pos="1134"/>
        </w:tabs>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ведение личных кабинетов;</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реализация ролевой модели разграничения прав доступа;</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интеграция с внешними информационными системами.</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Система на </w:t>
      </w:r>
      <w:proofErr w:type="spellStart"/>
      <w:r>
        <w:rPr>
          <w:rFonts w:ascii="Times New Roman" w:eastAsiaTheme="minorHAnsi" w:hAnsi="Times New Roman"/>
          <w:color w:val="000000" w:themeColor="text1"/>
          <w:sz w:val="28"/>
          <w:szCs w:val="28"/>
        </w:rPr>
        <w:t>web</w:t>
      </w:r>
      <w:proofErr w:type="spellEnd"/>
      <w:r>
        <w:rPr>
          <w:rFonts w:ascii="Times New Roman" w:eastAsiaTheme="minorHAnsi" w:hAnsi="Times New Roman"/>
          <w:color w:val="000000" w:themeColor="text1"/>
          <w:sz w:val="28"/>
          <w:szCs w:val="28"/>
        </w:rPr>
        <w:t>-технологиях должна обеспечить соблюдение следующих принципов:</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стандартизация и унификация процедур планирования, назначения, проведения и реализации результатов контрольных мероприятий (ревизий, проверок, обследований), проводимых ЦАФК, а также УФК по субъектам Российской Федерации, с учетом Стандарта организации деятельности «Общие требования к организации контрольной деятельности» и Стандарта осуществления Федеральным казначейством внутреннего государственного финансового контроля в сфере бюджетных правоотношений, разрабатываемых Федеральным казначейством;</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 применение единых сценариев выполнения функциональных процессов на основе установленных технологическими регламентами процедур при осуществлении контрольно-надзорных функций Федерального казначейства;</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использование единой нормативно-справочной информации, в том числе, единых справочников объектов контроля, использование справочников сотрудников, а также единого классификатора нарушений, обязательных к использованию, на соответствующих этапах осуществления контрольно-надзорных функций Федерального казначейства;</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структурированное хранение информации, обеспечивающее</w:t>
      </w:r>
      <w:r>
        <w:rPr>
          <w:rFonts w:ascii="Times New Roman" w:eastAsia="Times New Roman" w:hAnsi="Times New Roman"/>
          <w:color w:val="000000" w:themeColor="text1"/>
          <w:sz w:val="28"/>
          <w:szCs w:val="28"/>
        </w:rPr>
        <w:br/>
        <w:t>ее обработку в автоматическом и автоматизированном режимах</w:t>
      </w:r>
      <w:r>
        <w:rPr>
          <w:rFonts w:ascii="Times New Roman" w:eastAsia="Times New Roman" w:hAnsi="Times New Roman"/>
          <w:color w:val="000000" w:themeColor="text1"/>
          <w:sz w:val="28"/>
          <w:szCs w:val="28"/>
        </w:rPr>
        <w:br/>
        <w:t>и позволяющее проводить ее аналитическую обработку;</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обеспечение полноты размещаемых в информационной системе сведений за счет работы пользователей в информационной системе на всех этапах осуществления контрольно-надзорных функций Федерального казначейства, в том числе, с использованием механизмов установления связей между операциями и документами, а также инструментов </w:t>
      </w:r>
      <w:proofErr w:type="spellStart"/>
      <w:r>
        <w:rPr>
          <w:rFonts w:ascii="Times New Roman" w:eastAsia="Times New Roman" w:hAnsi="Times New Roman"/>
          <w:color w:val="000000" w:themeColor="text1"/>
          <w:sz w:val="28"/>
          <w:szCs w:val="28"/>
        </w:rPr>
        <w:t>журналирования</w:t>
      </w:r>
      <w:proofErr w:type="spellEnd"/>
      <w:r>
        <w:rPr>
          <w:rFonts w:ascii="Times New Roman" w:eastAsia="Times New Roman" w:hAnsi="Times New Roman"/>
          <w:color w:val="000000" w:themeColor="text1"/>
          <w:sz w:val="28"/>
          <w:szCs w:val="28"/>
        </w:rPr>
        <w:t xml:space="preserve"> всех действий пользователей;</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обеспечение достоверности размещаемых в информационной системе сведений посредством реализации юридически значимого электронного документооборота на этапах создания, согласования</w:t>
      </w:r>
      <w:r>
        <w:rPr>
          <w:rFonts w:ascii="Times New Roman" w:eastAsia="Times New Roman" w:hAnsi="Times New Roman"/>
          <w:color w:val="000000" w:themeColor="text1"/>
          <w:sz w:val="28"/>
          <w:szCs w:val="28"/>
        </w:rPr>
        <w:br/>
        <w:t>и подписания электронных документов;</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обеспечение требований законодательства Российской Федерации</w:t>
      </w:r>
      <w:r>
        <w:rPr>
          <w:rFonts w:ascii="Times New Roman" w:eastAsia="Times New Roman" w:hAnsi="Times New Roman"/>
          <w:color w:val="000000" w:themeColor="text1"/>
          <w:sz w:val="28"/>
          <w:szCs w:val="28"/>
        </w:rPr>
        <w:br/>
        <w:t>о защите информации;</w:t>
      </w:r>
    </w:p>
    <w:p>
      <w:pPr>
        <w:tabs>
          <w:tab w:val="left" w:pos="1134"/>
        </w:tabs>
        <w:spacing w:after="0"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обеспечение реализации процедур идентификации, авторизации, аутентификации пользователей, позволяющих обеспечить разграничение прав доступа пользователей информационной системы;</w:t>
      </w:r>
    </w:p>
    <w:p>
      <w:pPr>
        <w:pStyle w:val="a5"/>
        <w:tabs>
          <w:tab w:val="left" w:pos="1134"/>
        </w:tabs>
        <w:spacing w:after="0" w:line="360" w:lineRule="atLeast"/>
        <w:ind w:left="0"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 обеспечение информационного взаимодействия Системы на </w:t>
      </w:r>
      <w:proofErr w:type="spellStart"/>
      <w:r>
        <w:rPr>
          <w:rFonts w:ascii="Times New Roman" w:eastAsiaTheme="minorHAnsi" w:hAnsi="Times New Roman"/>
          <w:color w:val="000000" w:themeColor="text1"/>
          <w:sz w:val="28"/>
          <w:szCs w:val="28"/>
        </w:rPr>
        <w:t>web</w:t>
      </w:r>
      <w:proofErr w:type="spellEnd"/>
      <w:r>
        <w:rPr>
          <w:rFonts w:ascii="Times New Roman" w:eastAsiaTheme="minorHAnsi" w:hAnsi="Times New Roman"/>
          <w:color w:val="000000" w:themeColor="text1"/>
          <w:sz w:val="28"/>
          <w:szCs w:val="28"/>
        </w:rPr>
        <w:t>-технологиях с другими информационными системами.</w:t>
      </w:r>
    </w:p>
    <w:p>
      <w:pPr>
        <w:pStyle w:val="ConsPlusTitle"/>
        <w:spacing w:before="120" w:after="120"/>
        <w:ind w:firstLine="709"/>
        <w:jc w:val="both"/>
        <w:rPr>
          <w:rFonts w:ascii="Times New Roman" w:eastAsiaTheme="minorHAnsi" w:hAnsi="Times New Roman" w:cs="Times New Roman"/>
          <w:color w:val="000000" w:themeColor="text1"/>
          <w:sz w:val="28"/>
          <w:szCs w:val="28"/>
          <w:lang w:eastAsia="en-US"/>
        </w:rPr>
      </w:pPr>
      <w:r>
        <w:rPr>
          <w:rFonts w:ascii="Times New Roman" w:hAnsi="Times New Roman" w:cs="Times New Roman"/>
          <w:color w:val="000000" w:themeColor="text1"/>
          <w:sz w:val="28"/>
          <w:szCs w:val="28"/>
        </w:rPr>
        <w:t>5.4.7. Система комплексного информационно-аналитического обеспечения деятельности органов Федерального казначейства</w:t>
      </w:r>
    </w:p>
    <w:p>
      <w:pPr>
        <w:widowControl w:val="0"/>
        <w:tabs>
          <w:tab w:val="left" w:pos="1418"/>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завершено создание системы комплексного информационно-аналитического обеспечения деятельности органов Федерального казначейства (далее – СКИАО), предназначенной</w:t>
      </w:r>
      <w:r>
        <w:rPr>
          <w:rFonts w:ascii="Times New Roman" w:hAnsi="Times New Roman"/>
          <w:color w:val="000000" w:themeColor="text1"/>
          <w:sz w:val="28"/>
          <w:szCs w:val="28"/>
        </w:rPr>
        <w:br/>
        <w:t xml:space="preserve">для поддержки информационной и экспертно-аналитической деятельности сотрудников ЦАФК, ТОФК и ФКУ «ЦОКР», а также автоматизации отдельных направлений деятельности структурных подразделений ЦАФК, ТОФК и ФКУ «ЦОКР», в соответствии с приказом Федерального казначейства от 22 июня 2016 г. № 209 «О создании системы комплексного </w:t>
      </w:r>
      <w:r>
        <w:rPr>
          <w:rFonts w:ascii="Times New Roman" w:hAnsi="Times New Roman"/>
          <w:color w:val="000000" w:themeColor="text1"/>
          <w:sz w:val="28"/>
          <w:szCs w:val="28"/>
        </w:rPr>
        <w:lastRenderedPageBreak/>
        <w:t>информационно-аналитического обеспечения деятельности органов Федерального казначейства».</w:t>
      </w:r>
    </w:p>
    <w:p>
      <w:pPr>
        <w:pStyle w:val="ConsPlusNormal"/>
        <w:spacing w:line="360" w:lineRule="atLeast"/>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СКИАО включает в себя 8 подсистем (рисунок 42).</w:t>
      </w:r>
    </w:p>
    <w:p>
      <w:pPr>
        <w:pStyle w:val="ConsPlusNormal"/>
        <w:spacing w:before="120" w:after="120"/>
        <w:ind w:firstLine="709"/>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42</w:t>
      </w:r>
    </w:p>
    <w:p>
      <w:pPr>
        <w:pStyle w:val="aff0"/>
        <w:spacing w:before="120" w:after="120"/>
        <w:jc w:val="center"/>
        <w:rPr>
          <w:rFonts w:ascii="Times New Roman" w:eastAsia="Calibri" w:hAnsi="Times New Roman" w:cs="Times New Roman"/>
          <w:bCs w:val="0"/>
          <w:color w:val="000000" w:themeColor="text1"/>
          <w:sz w:val="28"/>
          <w:szCs w:val="28"/>
        </w:rPr>
      </w:pPr>
      <w:r>
        <w:rPr>
          <w:rFonts w:ascii="Times New Roman" w:eastAsia="Calibri" w:hAnsi="Times New Roman" w:cs="Times New Roman"/>
          <w:bCs w:val="0"/>
          <w:color w:val="000000" w:themeColor="text1"/>
          <w:sz w:val="28"/>
          <w:szCs w:val="28"/>
        </w:rPr>
        <w:t xml:space="preserve">Состав подсистем </w:t>
      </w:r>
      <w:r>
        <w:rPr>
          <w:rFonts w:ascii="Times New Roman" w:hAnsi="Times New Roman" w:cs="Times New Roman"/>
          <w:color w:val="000000" w:themeColor="text1"/>
          <w:sz w:val="28"/>
          <w:szCs w:val="28"/>
        </w:rPr>
        <w:t xml:space="preserve">системы комплексного информационно-аналитического </w:t>
      </w:r>
      <w:r>
        <w:rPr>
          <w:rFonts w:ascii="Times New Roman" w:eastAsia="Calibri" w:hAnsi="Times New Roman" w:cs="Times New Roman"/>
          <w:bCs w:val="0"/>
          <w:color w:val="000000" w:themeColor="text1"/>
          <w:sz w:val="28"/>
          <w:szCs w:val="28"/>
        </w:rPr>
        <w:t>обеспечения деятельности органов Федерального казначейства</w:t>
      </w:r>
    </w:p>
    <w:p>
      <w:pPr>
        <w:widowControl w:val="0"/>
        <w:tabs>
          <w:tab w:val="left" w:pos="1418"/>
        </w:tabs>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160397" cy="2957886"/>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jpg"/>
                    <pic:cNvPicPr/>
                  </pic:nvPicPr>
                  <pic:blipFill>
                    <a:blip r:embed="rId209">
                      <a:extLst>
                        <a:ext uri="{28A0092B-C50C-407E-A947-70E740481C1C}">
                          <a14:useLocalDpi xmlns:a14="http://schemas.microsoft.com/office/drawing/2010/main" val="0"/>
                        </a:ext>
                      </a:extLst>
                    </a:blip>
                    <a:stretch>
                      <a:fillRect/>
                    </a:stretch>
                  </pic:blipFill>
                  <pic:spPr>
                    <a:xfrm>
                      <a:off x="0" y="0"/>
                      <a:ext cx="5160397" cy="2957886"/>
                    </a:xfrm>
                    <a:prstGeom prst="rect">
                      <a:avLst/>
                    </a:prstGeom>
                  </pic:spPr>
                </pic:pic>
              </a:graphicData>
            </a:graphic>
          </wp:inline>
        </w:drawing>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подсистеме сбора произвольных данных с </w:t>
      </w:r>
      <w:proofErr w:type="spellStart"/>
      <w:r>
        <w:rPr>
          <w:rFonts w:ascii="Times New Roman" w:eastAsiaTheme="minorHAnsi" w:hAnsi="Times New Roman"/>
          <w:color w:val="000000" w:themeColor="text1"/>
          <w:sz w:val="28"/>
          <w:szCs w:val="28"/>
        </w:rPr>
        <w:t>преднастроенными</w:t>
      </w:r>
      <w:proofErr w:type="spellEnd"/>
      <w:r>
        <w:rPr>
          <w:rFonts w:ascii="Times New Roman" w:eastAsiaTheme="minorHAnsi" w:hAnsi="Times New Roman"/>
          <w:color w:val="000000" w:themeColor="text1"/>
          <w:sz w:val="28"/>
          <w:szCs w:val="28"/>
        </w:rPr>
        <w:br/>
        <w:t>в ней отчетами обеспечивается возможность создания форм сбора произвольных данных с заданным набором форматно-логического контроля на этапе ввода. Подсистема сбора произвольных данных позволяет осуществлять мониторинг сбора и консолидацию управленческой информации, необходимой в ЦАФК.</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информационно-аналитической подсистеме (далее – ИАП) осуществляется анализ данных, загруженных в централизованное хранилище из различных источников, в том числе из подсистемы сбора произвольных данных, с помощью различных инструментов, позволяющих осуществить конструирование, формирование, редактирование, хранение аналитических материалов, содержащих таблицы, диаграммы</w:t>
      </w:r>
      <w:r>
        <w:rPr>
          <w:rFonts w:ascii="Times New Roman" w:eastAsia="Times New Roman" w:hAnsi="Times New Roman"/>
          <w:color w:val="000000" w:themeColor="text1"/>
          <w:sz w:val="28"/>
          <w:szCs w:val="28"/>
          <w:lang w:eastAsia="ru-RU"/>
        </w:rPr>
        <w:br/>
        <w:t>на основании первичных данных, а так же с использованием расчетных</w:t>
      </w:r>
      <w:r>
        <w:rPr>
          <w:rFonts w:ascii="Times New Roman" w:eastAsia="Times New Roman" w:hAnsi="Times New Roman"/>
          <w:color w:val="000000" w:themeColor="text1"/>
          <w:sz w:val="28"/>
          <w:szCs w:val="28"/>
          <w:lang w:eastAsia="ru-RU"/>
        </w:rPr>
        <w:br/>
        <w:t>и статистических показателей.</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2016 году обеспечен:</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мониторинг, сбор и консолидация сводных отчетов по следующим приказам 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от 16 июня 2016 г. № 198 «Об организации проведения инвентаризации дебиторской задолженности по расходам федерального </w:t>
      </w:r>
      <w:r>
        <w:rPr>
          <w:rFonts w:ascii="Times New Roman" w:eastAsia="Times New Roman" w:hAnsi="Times New Roman"/>
          <w:color w:val="000000" w:themeColor="text1"/>
          <w:sz w:val="28"/>
          <w:szCs w:val="28"/>
          <w:lang w:eastAsia="ru-RU"/>
        </w:rPr>
        <w:lastRenderedPageBreak/>
        <w:t>бюджета, осуществляемой центральным аппаратом Федерального казначейства, территориальными органами Федерального казначейства</w:t>
      </w:r>
      <w:r>
        <w:rPr>
          <w:rFonts w:ascii="Times New Roman" w:eastAsia="Times New Roman" w:hAnsi="Times New Roman"/>
          <w:color w:val="000000" w:themeColor="text1"/>
          <w:sz w:val="28"/>
          <w:szCs w:val="28"/>
          <w:lang w:eastAsia="ru-RU"/>
        </w:rPr>
        <w:br/>
        <w:t>и Федеральным казенным учреждением «Центр по обеспечению деятельности Казначейства России» в 2016 году»;</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от 12 декабря 2013 г. № 291 «Об утверждении формы и Порядка заполнения Паспорта здания (помещения, сооружения), земельного участка территориального органа 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от 22 декабря 2011 г. № 616 «О предоставлении информации</w:t>
      </w:r>
      <w:r>
        <w:rPr>
          <w:rFonts w:ascii="Times New Roman" w:eastAsia="Times New Roman" w:hAnsi="Times New Roman"/>
          <w:color w:val="000000" w:themeColor="text1"/>
          <w:sz w:val="28"/>
          <w:szCs w:val="28"/>
          <w:lang w:eastAsia="ru-RU"/>
        </w:rPr>
        <w:br/>
        <w:t>о результатах осуществления органами Федерального казначейства кассового обслуживания исполнения бюджетов субъектов Российской Федерации (местных бюджетов), а также о количестве лицевых счетов, открытых автономным и бюджетным учреждениями бюджетов субъектов Российской Федерации (местных бюджетов) в органах 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от 19 мая 2011 г. № 189 «О мониторинге деятельности управлений Федерального казначейства по субъектам Российской Федерации</w:t>
      </w:r>
      <w:r>
        <w:rPr>
          <w:rFonts w:ascii="Times New Roman" w:eastAsia="Times New Roman" w:hAnsi="Times New Roman"/>
          <w:color w:val="000000" w:themeColor="text1"/>
          <w:sz w:val="28"/>
          <w:szCs w:val="28"/>
          <w:lang w:eastAsia="ru-RU"/>
        </w:rPr>
        <w:br/>
        <w:t>по приостановлению операций по счетам в валюте Российской Федерации, открытым УБП и бюджетным учреждениям в учреждениях Центрального банка Российской Федерации и кредитных организациях в нарушение бюджетного законодательства Российской Федерации»;</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сбор информации по 11 произвольным формам (161 показатель).</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подсистеме </w:t>
      </w:r>
      <w:r>
        <w:rPr>
          <w:rFonts w:ascii="Times New Roman" w:eastAsia="Times New Roman" w:hAnsi="Times New Roman"/>
          <w:color w:val="000000" w:themeColor="text1"/>
          <w:sz w:val="28"/>
          <w:szCs w:val="28"/>
          <w:lang w:eastAsia="ru-RU"/>
        </w:rPr>
        <w:t xml:space="preserve">«Сбор и обработка данных по оценке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Федеральном казначействе» </w:t>
      </w:r>
      <w:r>
        <w:rPr>
          <w:rFonts w:ascii="Times New Roman" w:eastAsiaTheme="minorHAnsi" w:hAnsi="Times New Roman"/>
          <w:color w:val="000000" w:themeColor="text1"/>
          <w:sz w:val="28"/>
          <w:szCs w:val="28"/>
        </w:rPr>
        <w:t>обеспечивается автоматизация сбора и обработки данных самооценки результативности деятельности федеральных государственных гражданских служащих.</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подсистеме «Оценка результативности деятельности территориальных органов Федерального казначейства, отделов управлений центрального аппарата Федерального казначейства, руководителей территориальных органов Федерального казначейства» обеспечивается автоматизированное ведение и расчет показателей оценки результативности деятельности отделов управлений ЦАФК, ТОФК и руководителей ТОФК.</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Обе вышеуказанные подсистемы реализованы в рамках требований следующих </w:t>
      </w:r>
      <w:r>
        <w:rPr>
          <w:rFonts w:ascii="Times New Roman" w:eastAsia="Times New Roman" w:hAnsi="Times New Roman"/>
          <w:bCs/>
          <w:color w:val="000000" w:themeColor="text1"/>
          <w:sz w:val="28"/>
          <w:szCs w:val="28"/>
          <w:lang w:eastAsia="ru-RU"/>
        </w:rPr>
        <w:t>приказо</w:t>
      </w:r>
      <w:r>
        <w:rPr>
          <w:rFonts w:ascii="Times New Roman" w:eastAsia="Times New Roman" w:hAnsi="Times New Roman"/>
          <w:color w:val="000000" w:themeColor="text1"/>
          <w:sz w:val="28"/>
          <w:szCs w:val="28"/>
          <w:lang w:eastAsia="ru-RU"/>
        </w:rPr>
        <w:t xml:space="preserve">в </w:t>
      </w:r>
      <w:r>
        <w:rPr>
          <w:rFonts w:ascii="Times New Roman" w:eastAsia="Times New Roman" w:hAnsi="Times New Roman"/>
          <w:bCs/>
          <w:color w:val="000000" w:themeColor="text1"/>
          <w:sz w:val="28"/>
          <w:szCs w:val="28"/>
          <w:lang w:eastAsia="ru-RU"/>
        </w:rPr>
        <w:t>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30 декабря 2014 г.</w:t>
      </w:r>
      <w:r>
        <w:rPr>
          <w:rFonts w:ascii="Times New Roman" w:eastAsia="Times New Roman" w:hAnsi="Times New Roman"/>
          <w:b/>
          <w:bCs/>
          <w:color w:val="000000" w:themeColor="text1"/>
          <w:sz w:val="28"/>
          <w:szCs w:val="28"/>
          <w:lang w:eastAsia="ru-RU"/>
        </w:rPr>
        <w:t xml:space="preserve"> </w:t>
      </w:r>
      <w:r>
        <w:rPr>
          <w:rFonts w:ascii="Times New Roman" w:eastAsia="Times New Roman" w:hAnsi="Times New Roman"/>
          <w:bCs/>
          <w:color w:val="000000" w:themeColor="text1"/>
          <w:sz w:val="28"/>
          <w:szCs w:val="28"/>
          <w:lang w:eastAsia="ru-RU"/>
        </w:rPr>
        <w:t>№ 336 «Об утверждении показателей оценки результативности деятельности Межрегионального операционного управления 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30 декабря 2014 г. № 338 «Об утверждении показателей оценки результативности деятельности управлений Федерального казначейства</w:t>
      </w:r>
      <w:r>
        <w:rPr>
          <w:rFonts w:ascii="Times New Roman" w:eastAsia="Times New Roman" w:hAnsi="Times New Roman"/>
          <w:bCs/>
          <w:color w:val="000000" w:themeColor="text1"/>
          <w:sz w:val="28"/>
          <w:szCs w:val="28"/>
          <w:lang w:eastAsia="ru-RU"/>
        </w:rPr>
        <w:br/>
      </w:r>
      <w:r>
        <w:rPr>
          <w:rFonts w:ascii="Times New Roman" w:eastAsia="Times New Roman" w:hAnsi="Times New Roman"/>
          <w:bCs/>
          <w:color w:val="000000" w:themeColor="text1"/>
          <w:sz w:val="28"/>
          <w:szCs w:val="28"/>
          <w:lang w:eastAsia="ru-RU"/>
        </w:rPr>
        <w:lastRenderedPageBreak/>
        <w:t>по субъектам Российской Федерации»;</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28 мая 2015 г. № 114 «Об исполнении в Федеральном казначействе Указа Президента Российской Федерации от 21 сентября 2009 г. № 1065 «О проверке достоверности и полноты сведений, представляемых гражданами, претендующими на замещение должностей федеральной государственной службы, и федеральными государственными служащими, и соблюдения федеральными государственными служащими требований к служебному поведению»;</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sz w:val="28"/>
          <w:szCs w:val="28"/>
          <w:lang w:eastAsia="ru-RU"/>
        </w:rPr>
        <w:t>– от 23 марта 2010 г. № 63 «Об утверждении Порядка определения</w:t>
      </w:r>
      <w:r>
        <w:rPr>
          <w:rFonts w:ascii="Times New Roman" w:eastAsia="Times New Roman" w:hAnsi="Times New Roman"/>
          <w:bCs/>
          <w:color w:val="000000" w:themeColor="text1"/>
          <w:sz w:val="28"/>
          <w:szCs w:val="28"/>
          <w:lang w:eastAsia="ru-RU"/>
        </w:rPr>
        <w:br/>
        <w:t>и оценки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центральном аппарате Федерального казначейства»</w:t>
      </w:r>
      <w:r>
        <w:rPr>
          <w:rFonts w:ascii="Times New Roman" w:eastAsia="Times New Roman" w:hAnsi="Times New Roman"/>
          <w:color w:val="000000" w:themeColor="text1"/>
          <w:sz w:val="28"/>
          <w:szCs w:val="28"/>
          <w:lang w:eastAsia="ru-RU"/>
        </w:rPr>
        <w:t xml:space="preserve"> в части обеспечения сбора и мониторинга оценки и самооценки результативности деятельности.</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Автоматизация данных процессов осуществляется </w:t>
      </w:r>
      <w:r>
        <w:rPr>
          <w:rFonts w:ascii="Times New Roman" w:eastAsia="Times New Roman" w:hAnsi="Times New Roman"/>
          <w:bCs/>
          <w:color w:val="000000" w:themeColor="text1"/>
          <w:sz w:val="28"/>
          <w:szCs w:val="28"/>
          <w:lang w:eastAsia="ru-RU"/>
        </w:rPr>
        <w:t>во исполнение мероприятия 11.3 </w:t>
      </w:r>
      <w:r>
        <w:rPr>
          <w:rFonts w:ascii="Times New Roman" w:eastAsia="Times New Roman" w:hAnsi="Times New Roman"/>
          <w:color w:val="000000" w:themeColor="text1"/>
          <w:sz w:val="28"/>
          <w:szCs w:val="28"/>
          <w:lang w:eastAsia="ru-RU"/>
        </w:rPr>
        <w:t xml:space="preserve">«Развитие системы оценки эффективности деятельности органов Федерального казначейства» </w:t>
      </w:r>
      <w:r>
        <w:rPr>
          <w:rFonts w:ascii="Times New Roman" w:eastAsia="Times New Roman" w:hAnsi="Times New Roman"/>
          <w:bCs/>
          <w:color w:val="000000" w:themeColor="text1"/>
          <w:sz w:val="28"/>
          <w:szCs w:val="28"/>
          <w:lang w:eastAsia="ru-RU"/>
        </w:rPr>
        <w:t>по реализации Стратегической карты на 2016 год.</w:t>
      </w:r>
    </w:p>
    <w:p>
      <w:pPr>
        <w:spacing w:after="0" w:line="360" w:lineRule="atLeast"/>
        <w:ind w:firstLine="709"/>
        <w:jc w:val="both"/>
        <w:rPr>
          <w:rFonts w:ascii="Times New Roman" w:eastAsiaTheme="minorHAnsi" w:hAnsi="Times New Roman"/>
          <w:i/>
          <w:color w:val="000000" w:themeColor="text1"/>
          <w:sz w:val="24"/>
          <w:szCs w:val="24"/>
        </w:rPr>
      </w:pPr>
      <w:r>
        <w:rPr>
          <w:rFonts w:ascii="Times New Roman" w:eastAsiaTheme="minorHAnsi" w:hAnsi="Times New Roman"/>
          <w:color w:val="000000" w:themeColor="text1"/>
          <w:sz w:val="28"/>
          <w:szCs w:val="28"/>
        </w:rPr>
        <w:t xml:space="preserve">В течение 2016 года организовано проведение автономных испытаний подсистемы </w:t>
      </w:r>
      <w:r>
        <w:rPr>
          <w:rFonts w:ascii="Times New Roman" w:eastAsia="Times New Roman" w:hAnsi="Times New Roman"/>
          <w:color w:val="000000" w:themeColor="text1"/>
          <w:sz w:val="28"/>
          <w:szCs w:val="28"/>
          <w:lang w:eastAsia="ru-RU"/>
        </w:rPr>
        <w:t xml:space="preserve">«Сбор и обработка данных по оценке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Федеральном казначействе» </w:t>
      </w:r>
      <w:r>
        <w:rPr>
          <w:rFonts w:ascii="Times New Roman" w:eastAsiaTheme="minorHAnsi" w:hAnsi="Times New Roman"/>
          <w:color w:val="000000" w:themeColor="text1"/>
          <w:sz w:val="28"/>
          <w:szCs w:val="28"/>
        </w:rPr>
        <w:t xml:space="preserve">и подсистемы «Оценка результативности деятельности территориальных органов Федерального казначейства, отделов управлений центрального аппарата Федерального казначейства, руководителей территориальных органов Федерального казначейства». В период автономных испытаний к </w:t>
      </w:r>
      <w:r>
        <w:rPr>
          <w:rFonts w:ascii="Times New Roman" w:eastAsia="Times New Roman" w:hAnsi="Times New Roman"/>
          <w:color w:val="000000" w:themeColor="text1"/>
          <w:sz w:val="28"/>
          <w:szCs w:val="28"/>
          <w:lang w:eastAsia="ru-RU"/>
        </w:rPr>
        <w:t>ИАП</w:t>
      </w:r>
      <w:r>
        <w:rPr>
          <w:rFonts w:ascii="Times New Roman" w:eastAsiaTheme="minorHAnsi" w:hAnsi="Times New Roman"/>
          <w:color w:val="000000" w:themeColor="text1"/>
          <w:sz w:val="28"/>
          <w:szCs w:val="28"/>
        </w:rPr>
        <w:t xml:space="preserve"> подключено </w:t>
      </w:r>
      <w:r>
        <w:rPr>
          <w:rFonts w:ascii="Times New Roman" w:eastAsiaTheme="minorHAnsi" w:hAnsi="Times New Roman"/>
          <w:color w:val="000000" w:themeColor="text1"/>
          <w:sz w:val="28"/>
          <w:szCs w:val="28"/>
        </w:rPr>
        <w:br/>
        <w:t>21 управление ЦАФК, более 700</w:t>
      </w:r>
      <w:r>
        <w:rPr>
          <w:rFonts w:ascii="Times New Roman" w:eastAsiaTheme="minorHAnsi" w:hAnsi="Times New Roman"/>
          <w:bCs/>
          <w:color w:val="000000" w:themeColor="text1"/>
          <w:sz w:val="28"/>
          <w:szCs w:val="28"/>
        </w:rPr>
        <w:t xml:space="preserve"> </w:t>
      </w:r>
      <w:r>
        <w:rPr>
          <w:rFonts w:ascii="Times New Roman" w:eastAsiaTheme="minorHAnsi" w:hAnsi="Times New Roman"/>
          <w:color w:val="000000" w:themeColor="text1"/>
          <w:sz w:val="28"/>
          <w:szCs w:val="28"/>
        </w:rPr>
        <w:t>сотрудников управлений ЦАФК.</w:t>
      </w:r>
    </w:p>
    <w:p>
      <w:pPr>
        <w:spacing w:after="0" w:line="360" w:lineRule="atLeast"/>
        <w:ind w:firstLine="709"/>
        <w:jc w:val="both"/>
        <w:rPr>
          <w:rFonts w:ascii="Times New Roman" w:eastAsiaTheme="minorHAnsi" w:hAnsi="Times New Roman"/>
          <w:bCs/>
          <w:color w:val="000000" w:themeColor="text1"/>
          <w:sz w:val="28"/>
          <w:szCs w:val="28"/>
        </w:rPr>
      </w:pPr>
      <w:r>
        <w:rPr>
          <w:rFonts w:ascii="Times New Roman" w:eastAsiaTheme="minorHAnsi" w:hAnsi="Times New Roman"/>
          <w:color w:val="000000" w:themeColor="text1"/>
          <w:sz w:val="28"/>
          <w:szCs w:val="28"/>
        </w:rPr>
        <w:t xml:space="preserve">Подсистема «Учет правовой работы и судебных дел» обеспечивает автоматизацию процессов ведения правовой и судебной работы </w:t>
      </w:r>
      <w:r>
        <w:rPr>
          <w:rFonts w:ascii="Times New Roman" w:eastAsiaTheme="minorHAnsi" w:hAnsi="Times New Roman"/>
          <w:color w:val="000000" w:themeColor="text1"/>
          <w:sz w:val="28"/>
          <w:szCs w:val="28"/>
        </w:rPr>
        <w:br/>
        <w:t xml:space="preserve">в Федеральном казначействе, его территориальных органах и ФКУ «ЦОКР» в соответствии со следующими </w:t>
      </w:r>
      <w:r>
        <w:rPr>
          <w:rFonts w:ascii="Times New Roman" w:eastAsiaTheme="minorHAnsi" w:hAnsi="Times New Roman"/>
          <w:bCs/>
          <w:color w:val="000000" w:themeColor="text1"/>
          <w:sz w:val="28"/>
          <w:szCs w:val="28"/>
        </w:rPr>
        <w:t>приказами Федерального казначейства:</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3 декабря 2013 г. № 277 «О порядке организации ведения работы по представлению в судебных органах интересов Федерального казначейства, территориальных органов Федерального казначейства</w:t>
      </w:r>
      <w:r>
        <w:rPr>
          <w:rFonts w:ascii="Times New Roman" w:eastAsia="Times New Roman" w:hAnsi="Times New Roman"/>
          <w:bCs/>
          <w:color w:val="000000" w:themeColor="text1"/>
          <w:sz w:val="28"/>
          <w:szCs w:val="28"/>
          <w:lang w:eastAsia="ru-RU"/>
        </w:rPr>
        <w:br/>
        <w:t>и Федерального казенного учреждения «Центр по обеспечению деятельности Казначейства России»;</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11 августа 2014 г. № 168 «Об утверждении форм отчетности</w:t>
      </w:r>
      <w:r>
        <w:rPr>
          <w:rFonts w:ascii="Times New Roman" w:eastAsia="Times New Roman" w:hAnsi="Times New Roman"/>
          <w:bCs/>
          <w:color w:val="000000" w:themeColor="text1"/>
          <w:sz w:val="28"/>
          <w:szCs w:val="28"/>
          <w:lang w:eastAsia="ru-RU"/>
        </w:rPr>
        <w:br/>
        <w:t xml:space="preserve">о деятельности юридического отдела территориального органа Федерального казначейства и юридического отдела федерального казенного </w:t>
      </w:r>
      <w:r>
        <w:rPr>
          <w:rFonts w:ascii="Times New Roman" w:eastAsia="Times New Roman" w:hAnsi="Times New Roman"/>
          <w:bCs/>
          <w:color w:val="000000" w:themeColor="text1"/>
          <w:sz w:val="28"/>
          <w:szCs w:val="28"/>
          <w:lang w:eastAsia="ru-RU"/>
        </w:rPr>
        <w:lastRenderedPageBreak/>
        <w:t>учреждения «Центр по обеспечению деятельности Казначейства России»;</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xml:space="preserve">– от 25 августа 2006 г. № 9н «О порядке организации и ведения работ по представлению в судебных органах интересов Министерства финансов Российской Федерации и интересов Правительства Российской Федерации </w:t>
      </w:r>
      <w:r>
        <w:rPr>
          <w:rFonts w:ascii="Times New Roman" w:eastAsia="Times New Roman" w:hAnsi="Times New Roman"/>
          <w:bCs/>
          <w:color w:val="000000" w:themeColor="text1"/>
          <w:sz w:val="28"/>
          <w:szCs w:val="28"/>
          <w:lang w:eastAsia="ru-RU"/>
        </w:rPr>
        <w:br/>
        <w:t>в случаях, когда их представление поручение Министерству финансов Российской Федерации»;</w:t>
      </w:r>
    </w:p>
    <w:p>
      <w:pPr>
        <w:widowControl w:val="0"/>
        <w:autoSpaceDE w:val="0"/>
        <w:autoSpaceDN w:val="0"/>
        <w:spacing w:after="0" w:line="360" w:lineRule="atLeast"/>
        <w:ind w:firstLine="709"/>
        <w:jc w:val="both"/>
        <w:rPr>
          <w:rFonts w:ascii="Times New Roman" w:eastAsia="Times New Roman" w:hAnsi="Times New Roman"/>
          <w:bCs/>
          <w:color w:val="000000" w:themeColor="text1"/>
          <w:sz w:val="28"/>
          <w:szCs w:val="28"/>
          <w:lang w:eastAsia="ru-RU"/>
        </w:rPr>
      </w:pPr>
      <w:r>
        <w:rPr>
          <w:rFonts w:ascii="Times New Roman" w:eastAsia="Times New Roman" w:hAnsi="Times New Roman"/>
          <w:bCs/>
          <w:color w:val="000000" w:themeColor="text1"/>
          <w:sz w:val="28"/>
          <w:szCs w:val="28"/>
          <w:lang w:eastAsia="ru-RU"/>
        </w:rPr>
        <w:t>– от 17 декабря 2013 г. № 297 «О порядке проведения правовой экспертизы документов, поступающих в юридический отдел территориального органа Федерального казначейства».</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bCs/>
          <w:color w:val="000000" w:themeColor="text1"/>
          <w:sz w:val="28"/>
          <w:szCs w:val="28"/>
        </w:rPr>
        <w:t>В рамках автоматизации задач осуществлен перенос функционала</w:t>
      </w:r>
      <w:r>
        <w:rPr>
          <w:rFonts w:ascii="Times New Roman" w:eastAsiaTheme="minorHAnsi" w:hAnsi="Times New Roman"/>
          <w:bCs/>
          <w:color w:val="000000" w:themeColor="text1"/>
          <w:sz w:val="28"/>
          <w:szCs w:val="28"/>
        </w:rPr>
        <w:br/>
      </w:r>
      <w:r>
        <w:rPr>
          <w:rFonts w:ascii="Times New Roman" w:eastAsiaTheme="minorHAnsi" w:hAnsi="Times New Roman"/>
          <w:color w:val="000000" w:themeColor="text1"/>
          <w:sz w:val="28"/>
          <w:szCs w:val="28"/>
        </w:rPr>
        <w:t>из ППО «Аналитический учет и ведение судебной работы» в подсистему «Учет правовой работы и судебных дел» с обеспечением централизованного хранения данных.</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Проведена миграция исторических данных </w:t>
      </w:r>
      <w:r>
        <w:rPr>
          <w:rFonts w:ascii="Times New Roman" w:eastAsiaTheme="minorHAnsi" w:hAnsi="Times New Roman"/>
          <w:bCs/>
          <w:color w:val="000000" w:themeColor="text1"/>
          <w:sz w:val="28"/>
          <w:szCs w:val="28"/>
        </w:rPr>
        <w:t>с 2013 года</w:t>
      </w:r>
      <w:r>
        <w:rPr>
          <w:rFonts w:ascii="Times New Roman" w:eastAsiaTheme="minorHAnsi" w:hAnsi="Times New Roman"/>
          <w:color w:val="000000" w:themeColor="text1"/>
          <w:sz w:val="28"/>
          <w:szCs w:val="28"/>
        </w:rPr>
        <w:t xml:space="preserve"> в подсистему «Учет правовой работы и судебных дел» СКИАО,</w:t>
      </w:r>
      <w:r>
        <w:rPr>
          <w:rFonts w:ascii="Times New Roman" w:eastAsiaTheme="minorHAnsi" w:hAnsi="Times New Roman"/>
          <w:bCs/>
          <w:color w:val="000000" w:themeColor="text1"/>
          <w:sz w:val="28"/>
          <w:szCs w:val="28"/>
        </w:rPr>
        <w:t xml:space="preserve"> в</w:t>
      </w:r>
      <w:r>
        <w:rPr>
          <w:rFonts w:ascii="Times New Roman" w:eastAsiaTheme="minorHAnsi" w:hAnsi="Times New Roman"/>
          <w:color w:val="000000" w:themeColor="text1"/>
          <w:sz w:val="28"/>
          <w:szCs w:val="28"/>
        </w:rPr>
        <w:t xml:space="preserve"> ходе которой консолидирована следующая информация:</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 судебных органах </w:t>
      </w:r>
      <w:r>
        <w:rPr>
          <w:rFonts w:ascii="Times New Roman" w:eastAsia="Times New Roman" w:hAnsi="Times New Roman"/>
          <w:bCs/>
          <w:color w:val="000000" w:themeColor="text1"/>
          <w:sz w:val="28"/>
          <w:szCs w:val="28"/>
          <w:lang w:eastAsia="ru-RU"/>
        </w:rPr>
        <w:t xml:space="preserve">– 9 356 </w:t>
      </w:r>
      <w:r>
        <w:rPr>
          <w:rFonts w:ascii="Times New Roman" w:eastAsia="Times New Roman" w:hAnsi="Times New Roman"/>
          <w:color w:val="000000" w:themeColor="text1"/>
          <w:sz w:val="28"/>
          <w:szCs w:val="28"/>
          <w:lang w:eastAsia="ru-RU"/>
        </w:rPr>
        <w:t>данных;</w:t>
      </w:r>
    </w:p>
    <w:p>
      <w:pPr>
        <w:widowControl w:val="0"/>
        <w:autoSpaceDE w:val="0"/>
        <w:autoSpaceDN w:val="0"/>
        <w:spacing w:after="0" w:line="360" w:lineRule="atLeast"/>
        <w:ind w:firstLine="709"/>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 судебных делах </w:t>
      </w:r>
      <w:r>
        <w:rPr>
          <w:rFonts w:ascii="Times New Roman" w:eastAsia="Times New Roman" w:hAnsi="Times New Roman"/>
          <w:bCs/>
          <w:color w:val="000000" w:themeColor="text1"/>
          <w:sz w:val="28"/>
          <w:szCs w:val="28"/>
          <w:lang w:eastAsia="ru-RU"/>
        </w:rPr>
        <w:t xml:space="preserve">– 95 385 </w:t>
      </w:r>
      <w:r>
        <w:rPr>
          <w:rFonts w:ascii="Times New Roman" w:eastAsia="Times New Roman" w:hAnsi="Times New Roman"/>
          <w:color w:val="000000" w:themeColor="text1"/>
          <w:sz w:val="28"/>
          <w:szCs w:val="28"/>
          <w:lang w:eastAsia="ru-RU"/>
        </w:rPr>
        <w:t>данных</w:t>
      </w:r>
      <w:r>
        <w:rPr>
          <w:rFonts w:ascii="Times New Roman" w:eastAsia="Times New Roman" w:hAnsi="Times New Roman"/>
          <w:bCs/>
          <w:color w:val="000000" w:themeColor="text1"/>
          <w:sz w:val="28"/>
          <w:szCs w:val="28"/>
          <w:lang w:eastAsia="ru-RU"/>
        </w:rPr>
        <w:t>;</w:t>
      </w:r>
    </w:p>
    <w:p>
      <w:pPr>
        <w:widowControl w:val="0"/>
        <w:autoSpaceDE w:val="0"/>
        <w:autoSpaceDN w:val="0"/>
        <w:spacing w:after="0" w:line="360" w:lineRule="atLeast"/>
        <w:ind w:firstLine="709"/>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 физических и юридических лицах</w:t>
      </w:r>
      <w:r>
        <w:rPr>
          <w:rFonts w:ascii="Times New Roman" w:eastAsia="Times New Roman" w:hAnsi="Times New Roman"/>
          <w:bCs/>
          <w:color w:val="000000" w:themeColor="text1"/>
          <w:sz w:val="28"/>
          <w:szCs w:val="28"/>
          <w:lang w:eastAsia="ru-RU"/>
        </w:rPr>
        <w:t xml:space="preserve"> – 236 091 </w:t>
      </w:r>
      <w:r>
        <w:rPr>
          <w:rFonts w:ascii="Times New Roman" w:eastAsia="Times New Roman" w:hAnsi="Times New Roman"/>
          <w:color w:val="000000" w:themeColor="text1"/>
          <w:sz w:val="28"/>
          <w:szCs w:val="28"/>
          <w:lang w:eastAsia="ru-RU"/>
        </w:rPr>
        <w:t>данных</w:t>
      </w:r>
      <w:r>
        <w:rPr>
          <w:rFonts w:ascii="Times New Roman" w:eastAsia="Times New Roman" w:hAnsi="Times New Roman"/>
          <w:bCs/>
          <w:color w:val="000000" w:themeColor="text1"/>
          <w:sz w:val="28"/>
          <w:szCs w:val="28"/>
          <w:lang w:eastAsia="ru-RU"/>
        </w:rPr>
        <w:t>.</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подсистеме «Мониторинг операционного дня» </w:t>
      </w:r>
      <w:r>
        <w:rPr>
          <w:rFonts w:ascii="Times New Roman" w:eastAsiaTheme="minorHAnsi" w:hAnsi="Times New Roman"/>
          <w:color w:val="000000" w:themeColor="text1"/>
          <w:sz w:val="28"/>
          <w:szCs w:val="28"/>
        </w:rPr>
        <w:t xml:space="preserve">СКИАО </w:t>
      </w:r>
      <w:r>
        <w:rPr>
          <w:rFonts w:ascii="Times New Roman" w:eastAsia="Times New Roman" w:hAnsi="Times New Roman"/>
          <w:color w:val="000000" w:themeColor="text1"/>
          <w:sz w:val="28"/>
          <w:szCs w:val="28"/>
          <w:lang w:eastAsia="ru-RU"/>
        </w:rPr>
        <w:t>обеспечивается формирование и анализ аналитических показателей, характеризующих состояние обработки документов в течение операционного дня в ТОФК.</w:t>
      </w:r>
    </w:p>
    <w:p>
      <w:pPr>
        <w:spacing w:after="0" w:line="360" w:lineRule="atLeast"/>
        <w:ind w:right="-109" w:firstLine="709"/>
        <w:jc w:val="both"/>
        <w:rPr>
          <w:rFonts w:ascii="Times New Roman" w:eastAsiaTheme="minorHAnsi" w:hAnsi="Times New Roman"/>
          <w:bCs/>
          <w:color w:val="000000" w:themeColor="text1"/>
          <w:sz w:val="28"/>
          <w:szCs w:val="28"/>
        </w:rPr>
      </w:pPr>
      <w:r>
        <w:rPr>
          <w:rFonts w:ascii="Times New Roman" w:eastAsiaTheme="minorHAnsi" w:hAnsi="Times New Roman"/>
          <w:bCs/>
          <w:color w:val="000000" w:themeColor="text1"/>
          <w:sz w:val="28"/>
          <w:szCs w:val="28"/>
        </w:rPr>
        <w:t xml:space="preserve">Подсистема реализована в соответствии с Решением </w:t>
      </w:r>
      <w:r>
        <w:rPr>
          <w:rFonts w:ascii="Times New Roman" w:eastAsiaTheme="minorHAnsi" w:hAnsi="Times New Roman"/>
          <w:color w:val="000000" w:themeColor="text1"/>
          <w:sz w:val="28"/>
          <w:szCs w:val="28"/>
        </w:rPr>
        <w:t>Коллегии Федерального казначейства</w:t>
      </w:r>
      <w:r>
        <w:rPr>
          <w:rFonts w:ascii="Times New Roman" w:eastAsiaTheme="minorHAnsi" w:hAnsi="Times New Roman"/>
          <w:bCs/>
          <w:color w:val="000000" w:themeColor="text1"/>
          <w:sz w:val="28"/>
          <w:szCs w:val="28"/>
        </w:rPr>
        <w:t xml:space="preserve"> от 3 октября 2014 г. № 30/4 и приказом Федерального казначейства от 25 декабря 2015 г. № 368 «Об утверждении стандарта осуществления последующего оперативного внутреннего автоматизированного контроля в территориальных органах Федерального казначейства» (в редакции от 11 ноября 2016 г. № 419).</w:t>
      </w:r>
    </w:p>
    <w:p>
      <w:pPr>
        <w:spacing w:after="0" w:line="360" w:lineRule="atLeast"/>
        <w:ind w:right="-109"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июле 2016 года проведено тиражирование технологии мониторинга операционного дня (далее – МОД) в 11 ТОФК.</w:t>
      </w:r>
    </w:p>
    <w:p>
      <w:pPr>
        <w:widowControl w:val="0"/>
        <w:autoSpaceDE w:val="0"/>
        <w:autoSpaceDN w:val="0"/>
        <w:spacing w:after="0" w:line="360" w:lineRule="atLeast"/>
        <w:ind w:right="-109"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Обеспечен ежедневный контроль предоставления отчетов МОД</w:t>
      </w:r>
      <w:r>
        <w:rPr>
          <w:rFonts w:ascii="Times New Roman" w:eastAsia="Times New Roman" w:hAnsi="Times New Roman"/>
          <w:color w:val="000000" w:themeColor="text1"/>
          <w:sz w:val="28"/>
          <w:szCs w:val="28"/>
          <w:lang w:eastAsia="ru-RU"/>
        </w:rPr>
        <w:br/>
        <w:t>из АСФК в СКИАО с целью наполнения витрин нарушений в МОД СКИАО.</w:t>
      </w:r>
    </w:p>
    <w:p>
      <w:pPr>
        <w:spacing w:after="0" w:line="360" w:lineRule="atLeast"/>
        <w:ind w:right="-109"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К началу 2017 года подготовлены условия к массовому применению</w:t>
      </w:r>
      <w:r>
        <w:rPr>
          <w:rFonts w:ascii="Times New Roman" w:eastAsiaTheme="minorHAnsi" w:hAnsi="Times New Roman"/>
          <w:color w:val="000000" w:themeColor="text1"/>
          <w:sz w:val="28"/>
          <w:szCs w:val="28"/>
        </w:rPr>
        <w:br/>
        <w:t xml:space="preserve">во всех ТОФК технологии мониторинга операционного дня </w:t>
      </w:r>
      <w:r>
        <w:rPr>
          <w:rFonts w:ascii="Times New Roman" w:eastAsiaTheme="minorHAnsi" w:hAnsi="Times New Roman"/>
          <w:color w:val="000000" w:themeColor="text1"/>
          <w:sz w:val="28"/>
          <w:szCs w:val="28"/>
        </w:rPr>
        <w:br/>
        <w:t>по 6 направлениям деятельности ТОФК.</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подсистеме «Расчет планируемой нагрузки на сотрудников территориальных органов Федерального казначейства» производится расчет планируемой загруженности сотрудников ТОФК на основании количественных показателей, хранящихся в ИАП.</w:t>
      </w:r>
    </w:p>
    <w:p>
      <w:pPr>
        <w:widowControl w:val="0"/>
        <w:autoSpaceDE w:val="0"/>
        <w:autoSpaceDN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Подсистема «Расчет удаленности территориальных органов Федерального казначейства» является инструментом оптимизации распределенной структуры Федерального казначейства.</w:t>
      </w:r>
    </w:p>
    <w:p>
      <w:pPr>
        <w:pStyle w:val="ConsPlusNormal"/>
        <w:spacing w:line="360" w:lineRule="atLeast"/>
        <w:ind w:firstLine="709"/>
        <w:jc w:val="both"/>
        <w:rPr>
          <w:rFonts w:ascii="Times New Roman" w:hAnsi="Times New Roman" w:cs="Times New Roman"/>
          <w:color w:val="000000" w:themeColor="text1"/>
          <w:sz w:val="28"/>
          <w:szCs w:val="28"/>
        </w:rPr>
      </w:pPr>
      <w:r>
        <w:rPr>
          <w:rFonts w:ascii="Times New Roman" w:eastAsiaTheme="minorHAnsi" w:hAnsi="Times New Roman" w:cs="Times New Roman"/>
          <w:color w:val="000000" w:themeColor="text1"/>
          <w:sz w:val="28"/>
          <w:szCs w:val="28"/>
          <w:lang w:eastAsia="en-US"/>
        </w:rPr>
        <w:t xml:space="preserve">Подсистема «Расчет планируемой нагрузки на сотрудников территориальных органов Федерального казначейства» и подсистема «Расчет удаленности территориальных органов Федерального казначейства» позволяют провести анализ предоставляемых данных </w:t>
      </w:r>
      <w:r>
        <w:rPr>
          <w:rFonts w:ascii="Times New Roman" w:eastAsiaTheme="minorHAnsi" w:hAnsi="Times New Roman" w:cs="Times New Roman"/>
          <w:color w:val="000000" w:themeColor="text1"/>
          <w:sz w:val="28"/>
          <w:szCs w:val="28"/>
          <w:lang w:eastAsia="en-US"/>
        </w:rPr>
        <w:br/>
        <w:t xml:space="preserve">о деятельности и размещении сотрудников ТОФК на основании данных Паспорта территориальных органов Федерального казначейства (далее – Паспорт ТОФК) и Паспорта зданий с целью подготовки управленческих решений в рамках оптимизационных и реорганизационных процессов в ТОФК в разрезе отделов ТОФК. Графическое отображение объектов ТОФК находящихся на расстоянии менее 10 километров представлено </w:t>
      </w:r>
      <w:r>
        <w:rPr>
          <w:rFonts w:ascii="Times New Roman" w:eastAsiaTheme="minorHAnsi" w:hAnsi="Times New Roman" w:cs="Times New Roman"/>
          <w:color w:val="000000" w:themeColor="text1"/>
          <w:sz w:val="28"/>
          <w:szCs w:val="28"/>
          <w:lang w:eastAsia="en-US"/>
        </w:rPr>
        <w:br/>
        <w:t>на рисунке 43.</w:t>
      </w:r>
    </w:p>
    <w:p>
      <w:pPr>
        <w:pStyle w:val="ConsPlusNormal"/>
        <w:tabs>
          <w:tab w:val="left" w:pos="6762"/>
          <w:tab w:val="right" w:pos="9213"/>
        </w:tabs>
        <w:spacing w:after="120"/>
        <w:ind w:firstLine="709"/>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43</w:t>
      </w:r>
    </w:p>
    <w:p>
      <w:pPr>
        <w:spacing w:before="120" w:after="120" w:line="240" w:lineRule="auto"/>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Расчет удаленности с отражением близости двух объектов</w:t>
      </w:r>
    </w:p>
    <w:p>
      <w:pPr>
        <w:spacing w:after="0" w:line="360" w:lineRule="atLeast"/>
        <w:jc w:val="center"/>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inline distT="0" distB="0" distL="0" distR="0">
            <wp:extent cx="5850672" cy="35065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850255" cy="3506275"/>
                    </a:xfrm>
                    <a:prstGeom prst="rect">
                      <a:avLst/>
                    </a:prstGeom>
                  </pic:spPr>
                </pic:pic>
              </a:graphicData>
            </a:graphic>
          </wp:inline>
        </w:drawing>
      </w:r>
    </w:p>
    <w:p>
      <w:pPr>
        <w:spacing w:after="0" w:line="360" w:lineRule="atLeast"/>
        <w:ind w:right="-109"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подсистеме «Расчет удаленности территориальных органов Федерального казначейства» на основании источника данных «информация </w:t>
      </w:r>
      <w:r>
        <w:rPr>
          <w:rFonts w:ascii="Times New Roman" w:eastAsiaTheme="minorHAnsi" w:hAnsi="Times New Roman"/>
          <w:color w:val="000000" w:themeColor="text1"/>
          <w:sz w:val="28"/>
          <w:szCs w:val="28"/>
        </w:rPr>
        <w:br/>
        <w:t>о фактическом размещении сотрудников территориальных органов Федерального казначейства по адресам объектов территориальных органов Федерального казначейства» протестирован функционал на трех ТОФК</w:t>
      </w:r>
      <w:r>
        <w:rPr>
          <w:rFonts w:ascii="Times New Roman" w:eastAsiaTheme="minorHAnsi" w:hAnsi="Times New Roman"/>
          <w:color w:val="000000" w:themeColor="text1"/>
          <w:sz w:val="28"/>
          <w:szCs w:val="28"/>
        </w:rPr>
        <w:br/>
        <w:t>по сбору данных указанного источника информации.</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При расчете суммарной нагрузки на сотрудников ТОФК учитывается </w:t>
      </w:r>
      <w:r>
        <w:rPr>
          <w:rFonts w:ascii="Times New Roman" w:eastAsiaTheme="minorHAnsi" w:hAnsi="Times New Roman"/>
          <w:bCs/>
          <w:color w:val="000000" w:themeColor="text1"/>
          <w:sz w:val="28"/>
          <w:szCs w:val="28"/>
        </w:rPr>
        <w:t>более 470</w:t>
      </w:r>
      <w:r>
        <w:rPr>
          <w:rFonts w:ascii="Times New Roman" w:eastAsiaTheme="minorHAnsi" w:hAnsi="Times New Roman"/>
          <w:b/>
          <w:bCs/>
          <w:color w:val="000000" w:themeColor="text1"/>
          <w:sz w:val="28"/>
          <w:szCs w:val="28"/>
        </w:rPr>
        <w:t xml:space="preserve"> </w:t>
      </w:r>
      <w:r>
        <w:rPr>
          <w:rFonts w:ascii="Times New Roman" w:eastAsiaTheme="minorHAnsi" w:hAnsi="Times New Roman"/>
          <w:color w:val="000000" w:themeColor="text1"/>
          <w:sz w:val="28"/>
          <w:szCs w:val="28"/>
        </w:rPr>
        <w:t>показателей Паспорта ТОФК.</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lastRenderedPageBreak/>
        <w:t xml:space="preserve">На интерактивную карту выводятся </w:t>
      </w:r>
      <w:r>
        <w:rPr>
          <w:rFonts w:ascii="Times New Roman" w:eastAsiaTheme="minorHAnsi" w:hAnsi="Times New Roman"/>
          <w:bCs/>
          <w:color w:val="000000" w:themeColor="text1"/>
          <w:sz w:val="28"/>
          <w:szCs w:val="28"/>
        </w:rPr>
        <w:t>более 4 100</w:t>
      </w:r>
      <w:r>
        <w:rPr>
          <w:rFonts w:ascii="Times New Roman" w:eastAsiaTheme="minorHAnsi" w:hAnsi="Times New Roman"/>
          <w:b/>
          <w:bCs/>
          <w:color w:val="000000" w:themeColor="text1"/>
          <w:sz w:val="28"/>
          <w:szCs w:val="28"/>
        </w:rPr>
        <w:t xml:space="preserve"> </w:t>
      </w:r>
      <w:r>
        <w:rPr>
          <w:rFonts w:ascii="Times New Roman" w:eastAsiaTheme="minorHAnsi" w:hAnsi="Times New Roman"/>
          <w:color w:val="000000" w:themeColor="text1"/>
          <w:sz w:val="28"/>
          <w:szCs w:val="28"/>
        </w:rPr>
        <w:t xml:space="preserve">объектов, принадлежащих </w:t>
      </w:r>
      <w:r>
        <w:rPr>
          <w:rFonts w:ascii="Times New Roman" w:eastAsiaTheme="minorHAnsi" w:hAnsi="Times New Roman"/>
          <w:bCs/>
          <w:color w:val="000000" w:themeColor="text1"/>
          <w:sz w:val="28"/>
          <w:szCs w:val="28"/>
        </w:rPr>
        <w:t>2 170</w:t>
      </w:r>
      <w:r>
        <w:rPr>
          <w:rFonts w:ascii="Times New Roman" w:eastAsiaTheme="minorHAnsi" w:hAnsi="Times New Roman"/>
          <w:color w:val="000000" w:themeColor="text1"/>
          <w:sz w:val="28"/>
          <w:szCs w:val="28"/>
        </w:rPr>
        <w:t xml:space="preserve"> отделам ТОФК на основании Паспорта зданий.</w:t>
      </w:r>
    </w:p>
    <w:p>
      <w:pPr>
        <w:widowControl w:val="0"/>
        <w:tabs>
          <w:tab w:val="left" w:pos="1418"/>
        </w:tabs>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Приказом Федерального казначейства от 12 декабря 2016 г. № 454 </w:t>
      </w:r>
      <w:r>
        <w:rPr>
          <w:rFonts w:ascii="Times New Roman" w:eastAsiaTheme="minorHAnsi" w:hAnsi="Times New Roman"/>
          <w:color w:val="000000" w:themeColor="text1"/>
          <w:sz w:val="28"/>
          <w:szCs w:val="28"/>
        </w:rPr>
        <w:br/>
        <w:t>«О вводе в эксплуатацию системы комплексного информационно-аналитического обеспечения деятельности органов Федерального казначейства», а также на основании Акта приемки в эксплуатацию информационной системы комплексного информационно-аналитического обеспечения деятельности органов Федерального казначейства от 5 декабря 2016 года с 15 декабря 2016 года СКИАО введена в эксплуатацию.</w:t>
      </w:r>
    </w:p>
    <w:p>
      <w:pPr>
        <w:widowControl w:val="0"/>
        <w:tabs>
          <w:tab w:val="left" w:pos="1418"/>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5.4.8. Информационная система Федерального казначейства «Управление ликвидностью единого счета федерального бюджета»</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2016 году в информационной системе Федерального казначейства «Управление ликвидностью единого счета федерального бюджета» (далее – ЛЕКС) в целях совершенствования способов осуществления процессов </w:t>
      </w:r>
      <w:r>
        <w:rPr>
          <w:rFonts w:ascii="Times New Roman" w:eastAsiaTheme="minorHAnsi" w:hAnsi="Times New Roman"/>
          <w:color w:val="000000" w:themeColor="text1"/>
          <w:sz w:val="28"/>
          <w:szCs w:val="28"/>
        </w:rPr>
        <w:br/>
        <w:t xml:space="preserve">и методов сбора, обработки, предоставления информации, необходимой </w:t>
      </w:r>
      <w:r>
        <w:rPr>
          <w:rFonts w:ascii="Times New Roman" w:eastAsiaTheme="minorHAnsi" w:hAnsi="Times New Roman"/>
          <w:color w:val="000000" w:themeColor="text1"/>
          <w:sz w:val="28"/>
          <w:szCs w:val="28"/>
        </w:rPr>
        <w:br/>
        <w:t xml:space="preserve">для обеспечения реализации полномочий Федерального казначейства </w:t>
      </w:r>
      <w:r>
        <w:rPr>
          <w:rFonts w:ascii="Times New Roman" w:eastAsiaTheme="minorHAnsi" w:hAnsi="Times New Roman"/>
          <w:color w:val="000000" w:themeColor="text1"/>
          <w:sz w:val="28"/>
          <w:szCs w:val="28"/>
        </w:rPr>
        <w:br/>
        <w:t>в части управления остатками средств на ЕСФБ был доработан функционал компонентов-комплексов задач ЛЕКС в соответствии с требованиями следующих НПА Федерального казначейства:</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приказа Федерального казначейства от 29 декабря 2015 г. № 383 </w:t>
      </w:r>
      <w:r>
        <w:rPr>
          <w:rFonts w:ascii="Times New Roman" w:eastAsiaTheme="minorHAnsi" w:hAnsi="Times New Roman"/>
          <w:color w:val="000000" w:themeColor="text1"/>
          <w:sz w:val="28"/>
          <w:szCs w:val="28"/>
        </w:rPr>
        <w:br/>
        <w:t>«Об утверждении Порядка прогнозирования кассовых выплат по расходам федерального бюджета по главе 100 «Федеральное казначейство»</w:t>
      </w:r>
      <w:r>
        <w:rPr>
          <w:rFonts w:ascii="Times New Roman" w:eastAsiaTheme="minorHAnsi" w:hAnsi="Times New Roman"/>
          <w:color w:val="000000" w:themeColor="text1"/>
          <w:sz w:val="28"/>
          <w:szCs w:val="28"/>
        </w:rPr>
        <w:br/>
        <w:t xml:space="preserve">на текущий (очередной) финансовый год, Порядка прогнозирования кассовых поступлений по доходам федерального бюджета по главе 100 «Федеральное казначейство» и Порядка прогнозирования кассовых выплат по источникам финансирования дефицита федерального бюджета </w:t>
      </w:r>
      <w:r>
        <w:rPr>
          <w:rFonts w:ascii="Times New Roman" w:eastAsiaTheme="minorHAnsi" w:hAnsi="Times New Roman"/>
          <w:color w:val="000000" w:themeColor="text1"/>
          <w:sz w:val="28"/>
          <w:szCs w:val="28"/>
        </w:rPr>
        <w:br/>
        <w:t>по главе 100 «Федеральное казначейство» на текущий (очередной) финансовый год»;</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приказа Федерального казначейства от 13 июля 2016 г. № 259</w:t>
      </w:r>
      <w:r>
        <w:rPr>
          <w:rFonts w:ascii="Times New Roman" w:eastAsiaTheme="minorHAnsi" w:hAnsi="Times New Roman"/>
          <w:color w:val="000000" w:themeColor="text1"/>
          <w:sz w:val="28"/>
          <w:szCs w:val="28"/>
        </w:rPr>
        <w:br/>
        <w:t>«О внесении изменений в Порядок организации работы территориального органа Федерального казначейства при предоставлении бюджетного кредита на пополнение остатков средств на счетах бюджетов субъектов Российской Федерации (местных бюджетов), утвержденный приказом Федерального казначейства от 9 декабря 2013 г. № 285»;</w:t>
      </w:r>
    </w:p>
    <w:p>
      <w:pPr>
        <w:widowControl w:val="0"/>
        <w:tabs>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приказа Федерального казначейства от 11 октября 2016 г. № 370 </w:t>
      </w:r>
      <w:r>
        <w:rPr>
          <w:rFonts w:ascii="Times New Roman" w:eastAsiaTheme="minorHAnsi" w:hAnsi="Times New Roman"/>
          <w:color w:val="000000" w:themeColor="text1"/>
          <w:sz w:val="28"/>
          <w:szCs w:val="28"/>
        </w:rPr>
        <w:br/>
        <w:t>«Об утверждении Порядка работы структурных подразделений центрального аппарата Федерального казначейства при осуществлении операций покупки (продажи) ценных бумаг по договорам репо».</w:t>
      </w:r>
    </w:p>
    <w:p>
      <w:pPr>
        <w:widowControl w:val="0"/>
        <w:tabs>
          <w:tab w:val="left" w:pos="1418"/>
        </w:tabs>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xml:space="preserve">В 2016 году в ЛЕКС создан функционал централизованного хранения </w:t>
      </w:r>
      <w:r>
        <w:rPr>
          <w:rFonts w:ascii="Times New Roman" w:eastAsiaTheme="minorHAnsi" w:hAnsi="Times New Roman"/>
          <w:color w:val="000000" w:themeColor="text1"/>
          <w:sz w:val="28"/>
          <w:szCs w:val="28"/>
        </w:rPr>
        <w:lastRenderedPageBreak/>
        <w:t>и электронного согласования документов, используемых в Федеральном казначейством в процессе предоставления средств федерального бюджета по договорам репо.</w:t>
      </w:r>
    </w:p>
    <w:p>
      <w:pPr>
        <w:pStyle w:val="21"/>
        <w:tabs>
          <w:tab w:val="left" w:pos="0"/>
          <w:tab w:val="left" w:pos="993"/>
          <w:tab w:val="left" w:pos="1276"/>
        </w:tabs>
        <w:spacing w:before="120" w:line="240" w:lineRule="auto"/>
        <w:ind w:firstLine="709"/>
        <w:jc w:val="both"/>
        <w:rPr>
          <w:b/>
          <w:color w:val="000000" w:themeColor="text1"/>
          <w:sz w:val="28"/>
          <w:szCs w:val="28"/>
        </w:rPr>
      </w:pPr>
      <w:r>
        <w:rPr>
          <w:b/>
          <w:color w:val="000000" w:themeColor="text1"/>
          <w:sz w:val="28"/>
          <w:szCs w:val="28"/>
        </w:rPr>
        <w:t>5.4.9. Обеспечение безопасности информации в Федеральном казначействе</w:t>
      </w:r>
    </w:p>
    <w:p>
      <w:pPr>
        <w:tabs>
          <w:tab w:val="left" w:pos="0"/>
          <w:tab w:val="left" w:pos="993"/>
          <w:tab w:val="left" w:pos="1276"/>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целях совершенствования безопасности информации в Федеральном казначействе на плановой основе осуществлены сбор, систематизация и анализ данных о состоянии защиты информации в ТОФК. По результатам работы Федерального казначейства за 2015 год в части обеспечения защиты информации подготовлены и представлены 2 февраля 2016 года руководителю Федерального казначейства Итоги работы Управления режима секретности и безопасности информации за 2015 год.</w:t>
      </w:r>
    </w:p>
    <w:p>
      <w:pPr>
        <w:tabs>
          <w:tab w:val="left" w:pos="0"/>
          <w:tab w:val="left" w:pos="993"/>
          <w:tab w:val="left" w:pos="1276"/>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части осуществления мероприятий по обеспечению безопасности информации в Федеральном казначействе заключены и исполнены требования государственных контрактов.</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Так, в рамках Государственного контракта от 24 октября 2014 г. № УРСиБИ-27/2014 на оказание услуг по технической поддержке аппаратно-программных комплексов закрытого контура Федерального казначейства и системы информационной безопасности Федерального казначейства в 2016 году обеспечены:</w:t>
      </w:r>
    </w:p>
    <w:p>
      <w:pPr>
        <w:spacing w:after="0" w:line="360" w:lineRule="atLeast"/>
        <w:ind w:firstLine="709"/>
        <w:jc w:val="both"/>
        <w:rPr>
          <w:rFonts w:ascii="Times New Roman" w:eastAsia="Times New Roman" w:hAnsi="Times New Roman"/>
          <w:i/>
          <w:color w:val="000000" w:themeColor="text1"/>
          <w:sz w:val="24"/>
          <w:szCs w:val="24"/>
        </w:rPr>
      </w:pPr>
      <w:r>
        <w:rPr>
          <w:rFonts w:ascii="Times New Roman" w:eastAsia="Times New Roman" w:hAnsi="Times New Roman"/>
          <w:color w:val="000000" w:themeColor="text1"/>
          <w:sz w:val="28"/>
          <w:szCs w:val="28"/>
        </w:rPr>
        <w:t>− устойчивое функционирование аппаратных средств и программного обеспечения в закрытых контурах (объектах информатизации органов Федерального казначейства, предназначенных для обработки сведений, составляющих государственную тайну);</w:t>
      </w:r>
    </w:p>
    <w:p>
      <w:pPr>
        <w:spacing w:after="0" w:line="360" w:lineRule="atLeast"/>
        <w:ind w:firstLine="709"/>
        <w:jc w:val="both"/>
        <w:rPr>
          <w:rFonts w:ascii="Times New Roman" w:eastAsia="Times New Roman" w:hAnsi="Times New Roman"/>
          <w:i/>
          <w:color w:val="000000" w:themeColor="text1"/>
          <w:sz w:val="24"/>
          <w:szCs w:val="24"/>
        </w:rPr>
      </w:pPr>
      <w:r>
        <w:rPr>
          <w:rFonts w:ascii="Times New Roman" w:eastAsia="Times New Roman" w:hAnsi="Times New Roman"/>
          <w:color w:val="000000" w:themeColor="text1"/>
          <w:sz w:val="28"/>
          <w:szCs w:val="28"/>
        </w:rPr>
        <w:t>− своевременное регламентное техническое обслуживание аппаратных средств;</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сопровождение средств защиты информации на объектах информатизации органов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Обеспечено сопровождение выполнения указанного государственного контракта в части эксплуатации аппаратно-программных комплексов шифрования «Континент» версии 3.М.</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целях развития инфраструктуры Федерального казначейства обеспечено выполнение требований Государственного контракта </w:t>
      </w:r>
      <w:r>
        <w:rPr>
          <w:rFonts w:ascii="Times New Roman" w:eastAsia="Times New Roman" w:hAnsi="Times New Roman"/>
          <w:color w:val="000000" w:themeColor="text1"/>
          <w:sz w:val="28"/>
          <w:szCs w:val="28"/>
        </w:rPr>
        <w:br/>
        <w:t xml:space="preserve">от 17 июня 2016 г. № УРСиБИ-25/2016 на поставку, включая установку </w:t>
      </w:r>
      <w:r>
        <w:rPr>
          <w:rFonts w:ascii="Times New Roman" w:eastAsia="Times New Roman" w:hAnsi="Times New Roman"/>
          <w:color w:val="000000" w:themeColor="text1"/>
          <w:sz w:val="28"/>
          <w:szCs w:val="28"/>
        </w:rPr>
        <w:br/>
        <w:t>и настройку, средств защиты информации.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Федеральное казначейство обеспечено специальной документальной связью, что позволило осуществлять оперативный обмен информацией, составляющей государственную тайну по техническим каналам связи, между ЦАФК и ТОФК.</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 xml:space="preserve">В целях обеспечения гарантированного доведения до адресатов (ТОФК) оперативной информации, составляющей государственную тайну, </w:t>
      </w:r>
      <w:r>
        <w:rPr>
          <w:rFonts w:ascii="Times New Roman" w:eastAsia="Times New Roman" w:hAnsi="Times New Roman"/>
          <w:color w:val="000000" w:themeColor="text1"/>
          <w:sz w:val="28"/>
          <w:szCs w:val="28"/>
        </w:rPr>
        <w:br/>
        <w:t xml:space="preserve">в марте 2016 года в Федеральном казначействе введена в действие резервная сеть специальной документальной связи. Таким образом, </w:t>
      </w:r>
      <w:r>
        <w:rPr>
          <w:rFonts w:ascii="Times New Roman" w:eastAsia="Times New Roman" w:hAnsi="Times New Roman"/>
          <w:color w:val="000000" w:themeColor="text1"/>
          <w:sz w:val="28"/>
          <w:szCs w:val="28"/>
        </w:rPr>
        <w:br/>
        <w:t>с 10 марта 2016 года в указанной сети осуществляется обмен информацией, содержащей сведения, составляющие государственную тайну.</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соответствии с распоряжением руководства Федерального казначейства от 7 ноября 2016 г. № 318с в рамках разработки и применения единого порядка ведения делопроизводства в органах специальной документальной связи Федерального казначейства в ТОФК введены </w:t>
      </w:r>
      <w:r>
        <w:rPr>
          <w:rFonts w:ascii="Times New Roman" w:eastAsia="Times New Roman" w:hAnsi="Times New Roman"/>
          <w:color w:val="000000" w:themeColor="text1"/>
          <w:sz w:val="28"/>
          <w:szCs w:val="28"/>
        </w:rPr>
        <w:br/>
        <w:t>в действие Указания по ведению делопроизводства в органах специальной документальной связи.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Федеральном казначействе обеспечено своевременное </w:t>
      </w:r>
      <w:r>
        <w:rPr>
          <w:rFonts w:ascii="Times New Roman" w:eastAsia="Times New Roman" w:hAnsi="Times New Roman"/>
          <w:color w:val="000000" w:themeColor="text1"/>
          <w:sz w:val="28"/>
          <w:szCs w:val="28"/>
        </w:rPr>
        <w:br/>
        <w:t>и качественное ведение секретного делопроизводства.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соответствии с Дорожной картой по принятию имущества, документов и функций упраздняемой Федеральной службы финансово-бюджетного надзора, обеспечению непрерывности реализации полномочий по контролю и надзору в финансово-бюджетной сфере и внешнему контролю качества работы аудиторских организаций, утвержденной </w:t>
      </w:r>
      <w:r>
        <w:rPr>
          <w:rFonts w:ascii="Times New Roman" w:eastAsia="Times New Roman" w:hAnsi="Times New Roman"/>
          <w:color w:val="000000" w:themeColor="text1"/>
          <w:sz w:val="28"/>
          <w:szCs w:val="28"/>
        </w:rPr>
        <w:br/>
        <w:t>26 февраля 2016 года руководителем Федерального казначейства Р.Е. Артюхиным,</w:t>
      </w:r>
      <w:r>
        <w:rPr>
          <w:rFonts w:ascii="Times New Roman" w:eastAsia="Times New Roman" w:hAnsi="Times New Roman"/>
          <w:color w:val="000000" w:themeColor="text1"/>
          <w:sz w:val="32"/>
          <w:szCs w:val="32"/>
        </w:rPr>
        <w:t xml:space="preserve"> </w:t>
      </w:r>
      <w:r>
        <w:rPr>
          <w:rFonts w:ascii="Times New Roman" w:eastAsia="Times New Roman" w:hAnsi="Times New Roman"/>
          <w:color w:val="000000" w:themeColor="text1"/>
          <w:sz w:val="28"/>
          <w:szCs w:val="28"/>
        </w:rPr>
        <w:t>выполнены в полном объеме соответствующие мероприятия в части защиты информации.</w:t>
      </w:r>
    </w:p>
    <w:p>
      <w:pPr>
        <w:spacing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Вместе с тем в рамках выполнения Указа Президента № 41 выполнены мероприятия по обеспечению режима секретности при передаче Федеральному казначейству носителей сведений, составляющих государственную тайну, упраздняемой Федеральной службы финансово-бюджетного надзора:</w:t>
      </w:r>
    </w:p>
    <w:p>
      <w:pPr>
        <w:spacing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разработана и 16 мая 2016 года утверждена руководителем Федерального казначейства Р.А. Артюхиным Номенклатура должностей работников Федерального казначейства, подлежащих оформлению</w:t>
      </w:r>
      <w:r>
        <w:rPr>
          <w:rFonts w:ascii="Times New Roman" w:eastAsia="Times New Roman" w:hAnsi="Times New Roman"/>
          <w:color w:val="000000" w:themeColor="text1"/>
          <w:sz w:val="28"/>
          <w:szCs w:val="28"/>
        </w:rPr>
        <w:br/>
        <w:t>на допуск к государственной тайне, с учетом увеличения штатного расписания Федерального казначейства;</w:t>
      </w:r>
    </w:p>
    <w:p>
      <w:pPr>
        <w:spacing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организована работа по оформлению допусков вновь принятых сотрудников к сведениям, составляющим государственную тайну;</w:t>
      </w:r>
    </w:p>
    <w:p>
      <w:pPr>
        <w:spacing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проведен инструктаж со вновь принятыми сотрудниками Росфиннадзора из службы по работе со сведениями, составляющими государственную тайну;</w:t>
      </w:r>
    </w:p>
    <w:p>
      <w:pPr>
        <w:spacing w:line="360" w:lineRule="atLeast"/>
        <w:ind w:firstLine="709"/>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получено разрешение от ФСБ России на функционирование режимно-секретного подразделения Федерального казначейства по адресу г. Москва, Миусская площадь, дом 3, строение 1;</w:t>
      </w:r>
    </w:p>
    <w:p>
      <w:pPr>
        <w:spacing w:after="0" w:line="360" w:lineRule="atLeast"/>
        <w:ind w:firstLine="709"/>
        <w:contextualSpacing/>
        <w:jc w:val="both"/>
        <w:rPr>
          <w:rFonts w:ascii="Times New Roman" w:eastAsia="Times New Roman" w:hAnsi="Times New Roman"/>
          <w:i/>
          <w:color w:val="000000" w:themeColor="text1"/>
          <w:sz w:val="28"/>
          <w:szCs w:val="28"/>
          <w:lang w:eastAsia="ru-RU"/>
        </w:rPr>
      </w:pPr>
      <w:r>
        <w:rPr>
          <w:rFonts w:ascii="Times New Roman" w:eastAsia="Times New Roman" w:hAnsi="Times New Roman"/>
          <w:color w:val="000000" w:themeColor="text1"/>
          <w:sz w:val="28"/>
          <w:szCs w:val="28"/>
        </w:rPr>
        <w:lastRenderedPageBreak/>
        <w:t>– приняты от Росфиннадзора и поставлены на учет в Федеральном казначействе все носители сведений, составляющие государственную тайну.</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Проведены заседания Центральной экспертной комиссии Федерального казначейства по работе со сведениями, составляющими государственную тайну, по вопросу подготовки к уничтожению состоящих на учете в Федеральном казначейства документов, содержащих сведения, составляющих государственную тайну (акты заседаний от 28 сентября 2016 г. № 1 и 14 октября 2016 г. № 2, соответственно).</w:t>
      </w:r>
    </w:p>
    <w:p>
      <w:pPr>
        <w:spacing w:after="0" w:line="360" w:lineRule="atLeast"/>
        <w:ind w:firstLine="709"/>
        <w:jc w:val="both"/>
        <w:rPr>
          <w:rFonts w:ascii="Times New Roman" w:eastAsia="Times New Roman" w:hAnsi="Times New Roman"/>
          <w:iCs/>
          <w:color w:val="000000" w:themeColor="text1"/>
          <w:sz w:val="28"/>
          <w:szCs w:val="28"/>
        </w:rPr>
      </w:pPr>
      <w:r>
        <w:rPr>
          <w:rFonts w:ascii="Times New Roman" w:eastAsia="Times New Roman" w:hAnsi="Times New Roman"/>
          <w:color w:val="000000" w:themeColor="text1"/>
          <w:sz w:val="28"/>
          <w:szCs w:val="28"/>
        </w:rPr>
        <w:t xml:space="preserve">Утвержден приказ Федерального казначейства от 28 декабря 2016 г. № 5с «О </w:t>
      </w:r>
      <w:r>
        <w:rPr>
          <w:rFonts w:ascii="Times New Roman" w:eastAsia="Times New Roman" w:hAnsi="Times New Roman"/>
          <w:iCs/>
          <w:color w:val="000000" w:themeColor="text1"/>
          <w:sz w:val="28"/>
          <w:szCs w:val="28"/>
        </w:rPr>
        <w:t>проведении проверки наличия носителей сведений, составляющих государственную тайну, в Федеральном казначействе».</w:t>
      </w:r>
    </w:p>
    <w:p>
      <w:pPr>
        <w:spacing w:after="0" w:line="360" w:lineRule="atLeast"/>
        <w:ind w:firstLine="708"/>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Издан приказ Федерального казначейства от 8 декабря 2016 г. </w:t>
      </w:r>
      <w:r>
        <w:rPr>
          <w:rFonts w:ascii="Times New Roman" w:eastAsia="Times New Roman" w:hAnsi="Times New Roman"/>
          <w:color w:val="000000" w:themeColor="text1"/>
          <w:sz w:val="28"/>
          <w:szCs w:val="28"/>
        </w:rPr>
        <w:br/>
        <w:t>№</w:t>
      </w:r>
      <w:r>
        <w:rPr>
          <w:rFonts w:ascii="Times New Roman" w:eastAsia="Times New Roman" w:hAnsi="Times New Roman"/>
          <w:color w:val="000000" w:themeColor="text1"/>
          <w:sz w:val="28"/>
          <w:szCs w:val="28"/>
          <w:lang w:val="en-US"/>
        </w:rPr>
        <w:t> </w:t>
      </w:r>
      <w:r>
        <w:rPr>
          <w:rFonts w:ascii="Times New Roman" w:eastAsia="Times New Roman" w:hAnsi="Times New Roman"/>
          <w:color w:val="000000" w:themeColor="text1"/>
          <w:sz w:val="28"/>
          <w:szCs w:val="28"/>
        </w:rPr>
        <w:t>20-дсп «Об утверждении Регламента проведения отделами − Межрегиональными центрами защиты информации территориальных органов Федерального казначейства аттестации объектов информатизации органов Федерального казначейства и контроля состояния защиты информации в процессе их эксплуатации, а также признании утратившим силу приказа Федерального казначейства от 9 сентября 2013 г. № 8дсп «Об утверждении Регламента проведения отделами − Межрегиональными центрами защиты информации территориальных органов Федерального казначейства аттестации объектов информатизации органов Федерального казначейства контроля защиты информации в процессе их эксплуатации».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Издан приказ Федерального казначейства 28 декабря 2016 г. № 506 «Об утверждении перечня сведений ограниченного доступа, не содержащих сведений, составляющих государственную тайну, (конфиденциального характера) Федерального казначейства, Федерального казенного учреждения «Центр по обеспечению деятельности Казначейства России», </w:t>
      </w:r>
      <w:r>
        <w:rPr>
          <w:rFonts w:ascii="Times New Roman" w:eastAsia="Times New Roman" w:hAnsi="Times New Roman"/>
          <w:color w:val="000000" w:themeColor="text1"/>
          <w:sz w:val="28"/>
          <w:szCs w:val="28"/>
        </w:rPr>
        <w:br/>
        <w:t xml:space="preserve">а также признании утратившим силу приказа Федерального казначейства </w:t>
      </w:r>
      <w:r>
        <w:rPr>
          <w:rFonts w:ascii="Times New Roman" w:eastAsia="Times New Roman" w:hAnsi="Times New Roman"/>
          <w:color w:val="000000" w:themeColor="text1"/>
          <w:sz w:val="28"/>
          <w:szCs w:val="28"/>
        </w:rPr>
        <w:br/>
        <w:t>от 10 октября 2013 г. № 9-дсп «Об утверждении Перечня сведений конфиденциального характера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Издан приказ Федерального казначейства от 30 декабря 2016 г. № 522 «Об утверждении Концепции информационной безопасности Федерального казначейства, Федерального казенного учреждения «Центр по обеспечению деятельности Казначейства России», а также признании утратившим силу приказа Федерального казначейства от 3 декабря 2010 г. № 9-дсп </w:t>
      </w:r>
      <w:r>
        <w:rPr>
          <w:rFonts w:ascii="Times New Roman" w:eastAsia="Times New Roman" w:hAnsi="Times New Roman"/>
          <w:color w:val="000000" w:themeColor="text1"/>
          <w:sz w:val="28"/>
          <w:szCs w:val="28"/>
        </w:rPr>
        <w:br/>
        <w:t>«Об утверждении Концепции информационной безопасности информационной и телекоммуникационной инфраструктуры органов Федерального казначейства».</w:t>
      </w:r>
    </w:p>
    <w:p>
      <w:pPr>
        <w:spacing w:after="0" w:line="360" w:lineRule="atLeast"/>
        <w:ind w:firstLine="709"/>
        <w:jc w:val="both"/>
        <w:rPr>
          <w:rFonts w:ascii="Times New Roman" w:eastAsia="Times New Roman" w:hAnsi="Times New Roman"/>
          <w:color w:val="000000" w:themeColor="text1"/>
        </w:rPr>
      </w:pPr>
      <w:r>
        <w:rPr>
          <w:rFonts w:ascii="Times New Roman" w:eastAsia="Times New Roman" w:hAnsi="Times New Roman"/>
          <w:color w:val="000000" w:themeColor="text1"/>
          <w:sz w:val="28"/>
          <w:szCs w:val="28"/>
        </w:rPr>
        <w:t xml:space="preserve">Проведено рассмотрение и анализ актов, поступивших из ТОФК, </w:t>
      </w:r>
      <w:r>
        <w:rPr>
          <w:rFonts w:ascii="Times New Roman" w:eastAsia="Times New Roman" w:hAnsi="Times New Roman"/>
          <w:color w:val="000000" w:themeColor="text1"/>
          <w:sz w:val="28"/>
          <w:szCs w:val="28"/>
        </w:rPr>
        <w:br/>
        <w:t xml:space="preserve">по результатам проверок, проведенных органами ФСБ России, </w:t>
      </w:r>
      <w:r>
        <w:rPr>
          <w:rFonts w:ascii="Times New Roman" w:eastAsia="Times New Roman" w:hAnsi="Times New Roman"/>
          <w:color w:val="000000" w:themeColor="text1"/>
          <w:sz w:val="28"/>
          <w:szCs w:val="28"/>
        </w:rPr>
        <w:lastRenderedPageBreak/>
        <w:t xml:space="preserve">ФСТЭК России, </w:t>
      </w:r>
      <w:proofErr w:type="spellStart"/>
      <w:r>
        <w:rPr>
          <w:rFonts w:ascii="Times New Roman" w:eastAsia="Times New Roman" w:hAnsi="Times New Roman"/>
          <w:color w:val="000000" w:themeColor="text1"/>
          <w:sz w:val="28"/>
          <w:szCs w:val="28"/>
        </w:rPr>
        <w:t>Роскомнадзора</w:t>
      </w:r>
      <w:proofErr w:type="spellEnd"/>
      <w:r>
        <w:rPr>
          <w:rFonts w:ascii="Times New Roman" w:eastAsia="Times New Roman" w:hAnsi="Times New Roman"/>
          <w:color w:val="000000" w:themeColor="text1"/>
          <w:sz w:val="28"/>
          <w:szCs w:val="28"/>
        </w:rPr>
        <w:t xml:space="preserve">, комиссией Федерального казначейства. Обеспечен контроль за выполнением планов по устранению выявленных нарушений и недостатков. По результатам рассмотрения актов проверок составлен и направлен в ТОФК Обзор анализа результатов проверок состояния режима секретности и безопасности информации в Федеральном казначействе в целях недопущения аналогичных нарушений и недостатков </w:t>
      </w:r>
      <w:r>
        <w:rPr>
          <w:rFonts w:ascii="Times New Roman" w:eastAsia="Times New Roman" w:hAnsi="Times New Roman"/>
          <w:color w:val="000000" w:themeColor="text1"/>
          <w:sz w:val="28"/>
          <w:szCs w:val="28"/>
        </w:rPr>
        <w:br/>
        <w:t>в дальнейшем.</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Организована работа Постоянно действующей технической комиссии по защите информации ограниченного доступа. Результаты работы указанной комиссии оформлены соответствующими протоколами заседаний, актами классификации государственных информационных систем и актами классификации информационных систем персональных данных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Информация по классификации информационных систем Федерального казначейства по принадлежности их к ключевым системам информационной инфраструктуры Федерального казначейства </w:t>
      </w:r>
      <w:r>
        <w:rPr>
          <w:rFonts w:ascii="Times New Roman" w:eastAsia="Times New Roman" w:hAnsi="Times New Roman"/>
          <w:color w:val="000000" w:themeColor="text1"/>
          <w:sz w:val="28"/>
          <w:szCs w:val="28"/>
        </w:rPr>
        <w:br/>
        <w:t xml:space="preserve">по состоянию на 1 января 2016 года актуализирована в соответствии </w:t>
      </w:r>
      <w:r>
        <w:rPr>
          <w:rFonts w:ascii="Times New Roman" w:eastAsia="Times New Roman" w:hAnsi="Times New Roman"/>
          <w:color w:val="000000" w:themeColor="text1"/>
          <w:sz w:val="28"/>
          <w:szCs w:val="28"/>
        </w:rPr>
        <w:br/>
        <w:t>с требованиями руководящих документов и направлена в Федеральную службу по техническому и экспортному контролю.</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Проведена актуализация информации по классификации информационных систем Федерального казначейства как государственных информационных систем, информационных систем персональных данных, информационных систем общего пользования, ключевых систем информационной инфраструктуры в соответствии с требованиями руководящих документов ФСТЭК России: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протоколы заседаний Постоянно действующей технической комиссии по защите информации ограниченного доступа;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акты классификации государственных информационных систем, информационных систем персональных данных, информационных систем общего пользования и ключевых систем информационной инфраструктуры.</w:t>
      </w:r>
    </w:p>
    <w:p>
      <w:pPr>
        <w:tabs>
          <w:tab w:val="left" w:pos="142"/>
          <w:tab w:val="left" w:pos="284"/>
          <w:tab w:val="left" w:pos="851"/>
        </w:tabs>
        <w:spacing w:after="0" w:line="360" w:lineRule="atLeast"/>
        <w:ind w:firstLine="851"/>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С целью отнесения информационных систем Федерального казначейства к государственным информационным системам, информационным системам персональных данных, ключевым системам информационной инфраструктуры Российской Федерации,</w:t>
      </w:r>
      <w:r>
        <w:rPr>
          <w:rFonts w:ascii="Times New Roman" w:eastAsiaTheme="minorHAnsi" w:hAnsi="Times New Roman"/>
          <w:color w:val="000000" w:themeColor="text1"/>
          <w:sz w:val="28"/>
          <w:szCs w:val="28"/>
        </w:rPr>
        <w:br/>
        <w:t>а также информационным системам общего пользования обеспечено проведение заседания Постоянной действующей технической комиссии</w:t>
      </w:r>
      <w:r>
        <w:rPr>
          <w:rFonts w:ascii="Times New Roman" w:eastAsiaTheme="minorHAnsi" w:hAnsi="Times New Roman"/>
          <w:color w:val="000000" w:themeColor="text1"/>
          <w:sz w:val="28"/>
          <w:szCs w:val="28"/>
        </w:rPr>
        <w:br/>
        <w:t xml:space="preserve">по защите государственной тайны, в ходе которого рассмотрены исходные данные информационных систем Федерального казначейства. </w:t>
      </w:r>
      <w:r>
        <w:rPr>
          <w:rFonts w:ascii="Times New Roman" w:eastAsiaTheme="minorHAnsi" w:hAnsi="Times New Roman"/>
          <w:color w:val="000000" w:themeColor="text1"/>
          <w:sz w:val="28"/>
          <w:szCs w:val="28"/>
        </w:rPr>
        <w:br/>
        <w:t>По результатам работы указанной комиссии подготовлены и утверждены акты классификации вышеуказанных информационных систем.</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Утвержден приказ Федерального казначейства от 26 декабря 2016 г. № 22-дсп «Об утверждении Типового положения о постоянно действующей технической комиссии по защите государственной тайны территориального органа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рамках развития системы обеспечения безопасности информации Федерального казначейства (далее – СОБИ) реализованы следующие мероприятия.</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Утвержден приказ Федерального казначейства от 24 июня 2016 г. № 217 «О создании Системы обеспечения безопасности информации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рамках внедрения подсистемы «Анализ защищенности» СОБИ обеспечено внедрение подсистемы «Межсетевое экранирование» СОБИ: подготовлен и утвержден приказ Федерального казначейства от 28 декабря 2016 г. № 509 «О вводе в эксплуатацию подсистемы межсетевого экранирования Системы обеспечения безопасности информации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соответствии с приказом Федерального казначейства </w:t>
      </w:r>
      <w:r>
        <w:rPr>
          <w:rFonts w:ascii="Times New Roman" w:eastAsia="Times New Roman" w:hAnsi="Times New Roman"/>
          <w:color w:val="000000" w:themeColor="text1"/>
          <w:sz w:val="28"/>
          <w:szCs w:val="28"/>
        </w:rPr>
        <w:br/>
        <w:t>от 28 декабря 2016 г. № 510 «О вводе в эксплуатацию подсистемы обнаружения вторжений Системы обеспечения безопасности информации Федерального казначейства» обеспечено внедрение подсистемы «Обнаружение вторжений» СОБИ;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в рамках внедрения подсистемы «Антивирусная защита» СОБИ обеспечено внедрение подсистемы «Криптографическая защита информации» СОБИ: подготовлен и утвержден приказ Федерального казначейства от 28 декабря 2016 г. № 511 «О вводе в эксплуатацию подсистемы криптографической защиты информации Системы обеспечения безопасности информации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Проведены аттестационные мероприятия шести выделенных помещений ЦАФК по адресу г. Москва, ул. Ильинка, д. 7 на соответствие требованиям безопасности информации. По результатам аттестационных мероприятий, проведенных Отделом – Межрегиональный центром защиты информации УФК по Волгоградской области, подготовлены и выданы аттестаты соответствия по требованиям безопасности на объекты информатизации (выделенные помещения) ЦАФК.</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Осуществлено взаимодействие с ФОИВ, уполномоченным в области обеспечения безопасности (ФСБ России), и ФОИВ, уполномоченным </w:t>
      </w:r>
      <w:r>
        <w:rPr>
          <w:rFonts w:ascii="Times New Roman" w:eastAsia="Times New Roman" w:hAnsi="Times New Roman"/>
          <w:color w:val="000000" w:themeColor="text1"/>
          <w:sz w:val="28"/>
          <w:szCs w:val="28"/>
        </w:rPr>
        <w:br/>
        <w:t xml:space="preserve">в области обеспечения безопасности по вопросам, связанным </w:t>
      </w:r>
      <w:r>
        <w:rPr>
          <w:rFonts w:ascii="Times New Roman" w:eastAsia="Times New Roman" w:hAnsi="Times New Roman"/>
          <w:color w:val="000000" w:themeColor="text1"/>
          <w:sz w:val="28"/>
          <w:szCs w:val="28"/>
        </w:rPr>
        <w:br/>
        <w:t>с использованием электронной подписи (ФСТЭК России).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Получены разъяснения ФСТЭК России о порядке использования сертифицированных средств антивирусной защиты в государственных </w:t>
      </w:r>
      <w:r>
        <w:rPr>
          <w:rFonts w:ascii="Times New Roman" w:eastAsia="Times New Roman" w:hAnsi="Times New Roman"/>
          <w:color w:val="000000" w:themeColor="text1"/>
          <w:sz w:val="28"/>
          <w:szCs w:val="28"/>
        </w:rPr>
        <w:lastRenderedPageBreak/>
        <w:t xml:space="preserve">информационных системах до вступления в действие Требований о защите информации, не составляющей государственную тайну, содержащейся </w:t>
      </w:r>
      <w:r>
        <w:rPr>
          <w:rFonts w:ascii="Times New Roman" w:eastAsia="Times New Roman" w:hAnsi="Times New Roman"/>
          <w:color w:val="000000" w:themeColor="text1"/>
          <w:sz w:val="28"/>
          <w:szCs w:val="28"/>
        </w:rPr>
        <w:br/>
        <w:t>в государственных информационных системах, утвержденных приказом ФСТЭК России от 11 февраля 2013 г. № 17.</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Подготовлена и направлена в ФСБ России информация о возможности передачи средств криптографической защиты информации «</w:t>
      </w:r>
      <w:proofErr w:type="spellStart"/>
      <w:r>
        <w:rPr>
          <w:rFonts w:ascii="Times New Roman" w:eastAsia="Times New Roman" w:hAnsi="Times New Roman"/>
          <w:color w:val="000000" w:themeColor="text1"/>
          <w:sz w:val="28"/>
          <w:szCs w:val="28"/>
        </w:rPr>
        <w:t>КриптоПро</w:t>
      </w:r>
      <w:proofErr w:type="spellEnd"/>
      <w:r>
        <w:rPr>
          <w:rFonts w:ascii="Times New Roman" w:eastAsia="Times New Roman" w:hAnsi="Times New Roman"/>
          <w:color w:val="000000" w:themeColor="text1"/>
          <w:sz w:val="28"/>
          <w:szCs w:val="28"/>
        </w:rPr>
        <w:t> CSP» 3.6 клиентам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соответствии с запросом Федерального казначейства в ФСБ России о продлении срока действия сертификата соответствия СФ-124-2902 </w:t>
      </w:r>
      <w:r>
        <w:rPr>
          <w:rFonts w:ascii="Times New Roman" w:eastAsia="Times New Roman" w:hAnsi="Times New Roman"/>
          <w:color w:val="000000" w:themeColor="text1"/>
          <w:sz w:val="28"/>
          <w:szCs w:val="28"/>
        </w:rPr>
        <w:br/>
        <w:t>на средство криптографической защиты информации «Аппаратно-программный комплекс шифрования Континент» версии 3.5 получено положительное решение и продлен срок действия вышеуказанного сертификата соответствия до 31 декабря 2017 года.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От подразделения ФСБ России Федеральным казначейством получена ключевая информация для проведения плановой ее смены на средства криптографической защиты информации органов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Получены разъяснения Центра по лицензированию, сертификации</w:t>
      </w:r>
      <w:r>
        <w:rPr>
          <w:rFonts w:ascii="Times New Roman" w:eastAsia="Times New Roman" w:hAnsi="Times New Roman"/>
          <w:color w:val="000000" w:themeColor="text1"/>
          <w:sz w:val="28"/>
          <w:szCs w:val="28"/>
        </w:rPr>
        <w:br/>
        <w:t>и защите государственной тайны ФСБ России о порядке доставки средств криптографической защиты информации в ТОФК.</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Организованы работы по выполнению лицензионных требований при включении адресов зданий, принятых от Росфиннадзора, в лицензию ЦАФК на деятельность органа криптографической защиты информации, полученную в соответствии с постановлением Правительства Российской Федерации от 16 апреля 2012 г. № 313, в рамках которой в Центр по лицензированию, сертификации и защите государственной тайны ФСБ России направлен запрос Федерального казначейства</w:t>
      </w:r>
      <w:r>
        <w:rPr>
          <w:rFonts w:ascii="Times New Roman" w:eastAsia="Times New Roman" w:hAnsi="Times New Roman"/>
          <w:color w:val="000000" w:themeColor="text1"/>
          <w:sz w:val="28"/>
          <w:szCs w:val="28"/>
        </w:rPr>
        <w:br/>
        <w:t>на переоформление лицензии по адресам зданий Федерального казначейства г. Москва, Миусская пл., д. 3, стр. 4 и г. Москва, Б. </w:t>
      </w:r>
      <w:proofErr w:type="spellStart"/>
      <w:r>
        <w:rPr>
          <w:rFonts w:ascii="Times New Roman" w:eastAsia="Times New Roman" w:hAnsi="Times New Roman"/>
          <w:color w:val="000000" w:themeColor="text1"/>
          <w:sz w:val="28"/>
          <w:szCs w:val="28"/>
        </w:rPr>
        <w:t>Златоустинский</w:t>
      </w:r>
      <w:proofErr w:type="spellEnd"/>
      <w:r>
        <w:rPr>
          <w:rFonts w:ascii="Times New Roman" w:eastAsia="Times New Roman" w:hAnsi="Times New Roman"/>
          <w:color w:val="000000" w:themeColor="text1"/>
          <w:sz w:val="28"/>
          <w:szCs w:val="28"/>
        </w:rPr>
        <w:t xml:space="preserve"> пер., д. 6, стр. 1. В соответствии с приказом Центра по лицензированию, сертификации и защите государственной тайны ФСБ России от 30 сентября 2016 г. № 759 принято решение о предоставлении Федеральному казначейству соответствующей лицензии.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соответствии с Графиком проведения Всероссийских, межрегиональных совещаний территориальных органов Федерального казначейства в 2016 году на базе УФК по Волгоградской области в период</w:t>
      </w:r>
      <w:r>
        <w:rPr>
          <w:rFonts w:ascii="Times New Roman" w:eastAsia="Times New Roman" w:hAnsi="Times New Roman"/>
          <w:color w:val="000000" w:themeColor="text1"/>
          <w:sz w:val="28"/>
          <w:szCs w:val="28"/>
        </w:rPr>
        <w:br/>
        <w:t xml:space="preserve">с 19 по 22 сентября 2016 года проведено Всероссийское совещание на тему: «Совершенствование образовательной деятельности Отдела – Пилотный центр по защите информации в рамках задач, стоящих перед органами Федерального казначейства в области защиты информации». </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Решения по совершенствованию образовательной деятельности Отдела – Пилотный центр по защите информации по основным направлениям организации технической защиты информации ограниченного доступа, не составляющих государственную тайну в органах Федерального казначейства, о результатах проведения проверок состояния защиты информации в ТОФК оформлены протоколом Всероссийского совещания территориальных органов Федерального казначейства на тему: «Совершенствование образовательной деятельности Отдела – Пилотный центр по защите информации в рамках задач, стоящих перед органами Федерального казначейства в области защиты информации» от 5 октября 2016 г. № 1. Настоящий протокол направлен в ТОФК с целью исполнения решений указанного совещания.</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Во исполнение поручения Администрации Президента Российской Федерации от 14 марта 2016 г. № А21-1534 осуществлено рассмотрение проекта доктрины информационной безопасности Российской Федерации, а также возможности участия Федерального казначейства в совещании временной межведомственной рабочей группы. По итогам указанного рассмотрения в Аппарат Совета Безопасности Российской Федерации направлены предложения к указанному проекту доктрины, а также информация о кандидатуре для участия в совещании временной межведомственной рабочей группы.</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С целью совершенствования информационного взаимодействия</w:t>
      </w:r>
      <w:r>
        <w:rPr>
          <w:rFonts w:ascii="Times New Roman" w:eastAsia="Times New Roman" w:hAnsi="Times New Roman"/>
          <w:color w:val="000000" w:themeColor="text1"/>
          <w:sz w:val="28"/>
          <w:szCs w:val="28"/>
        </w:rPr>
        <w:br/>
        <w:t>в области информационной безопасности и защиты информации на базе площадки Министерства связи и массовых коммуникаций Российской Федерации (г. Санкт-Петербург) в период с 14 по16 сентября 2016 года принято участие в работе XIV Международной конференции на тему электронных доверенных услуг, электронной подписи, инфраструктуры открытых ключей, криптографической защиты информации «PKI-Форум Россия 2016».</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Выполнены мероприятия, определенные решениями Всероссийских совещаний территориальных органов Федерального казначейства за 2013−2015 годы.</w:t>
      </w:r>
    </w:p>
    <w:p>
      <w:pPr>
        <w:spacing w:after="120" w:line="240" w:lineRule="auto"/>
        <w:ind w:firstLine="709"/>
        <w:jc w:val="both"/>
        <w:rPr>
          <w:rFonts w:ascii="Times New Roman" w:hAnsi="Times New Roman"/>
          <w:b/>
          <w:color w:val="000000" w:themeColor="text1"/>
          <w:sz w:val="28"/>
          <w:szCs w:val="28"/>
        </w:rPr>
      </w:pPr>
      <w:r>
        <w:rPr>
          <w:rFonts w:ascii="Times New Roman" w:eastAsia="Times New Roman" w:hAnsi="Times New Roman"/>
          <w:color w:val="000000" w:themeColor="text1"/>
          <w:sz w:val="28"/>
          <w:szCs w:val="28"/>
        </w:rPr>
        <w:t xml:space="preserve">Проведено Всероссийское совещание органов специальной документальной связи Федерального казначейства по теме: «Развитие системы специальной документальной связи Федерального казначейства», по результатам которого подготовлено соответствующее решение, утвержденное начальником Управления режима секретности и безопасности информации Федерального казначейства 2 ноября 2016 года. Данное решение представлено для рассмотрения руководителю Федерального казначейства Р.Е. Артюхину. С целью выполнения мероприятий, изложенных в указанном решении, подготовлен и доведен </w:t>
      </w:r>
      <w:r>
        <w:rPr>
          <w:rFonts w:ascii="Times New Roman" w:eastAsia="Times New Roman" w:hAnsi="Times New Roman"/>
          <w:color w:val="000000" w:themeColor="text1"/>
          <w:sz w:val="28"/>
          <w:szCs w:val="28"/>
        </w:rPr>
        <w:lastRenderedPageBreak/>
        <w:t>руководителю Федерального казначейства Р.Е. Артюхину План выполнения решения Всероссийского совещания органов специальной документальной связи Федерального казначейства по теме: «Развитие системы специальной документальной связи Федерального казначейства» (утвержден начальником Управления режима секретности и безопасности информации Федерального казначейства 18 ноября 2016 года).</w:t>
      </w:r>
    </w:p>
    <w:p>
      <w:pPr>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5.4.10. Развитие Удостоверяющего центра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соответствии с обращением </w:t>
      </w:r>
      <w:proofErr w:type="spellStart"/>
      <w:r>
        <w:rPr>
          <w:rFonts w:ascii="Times New Roman" w:eastAsia="Times New Roman" w:hAnsi="Times New Roman"/>
          <w:color w:val="000000" w:themeColor="text1"/>
          <w:sz w:val="28"/>
          <w:szCs w:val="28"/>
        </w:rPr>
        <w:t>Минкомсвязи</w:t>
      </w:r>
      <w:proofErr w:type="spellEnd"/>
      <w:r>
        <w:rPr>
          <w:rFonts w:ascii="Times New Roman" w:eastAsia="Times New Roman" w:hAnsi="Times New Roman"/>
          <w:color w:val="000000" w:themeColor="text1"/>
          <w:sz w:val="28"/>
          <w:szCs w:val="28"/>
        </w:rPr>
        <w:t xml:space="preserve"> России </w:t>
      </w:r>
      <w:r>
        <w:rPr>
          <w:rFonts w:ascii="Times New Roman" w:eastAsia="Times New Roman" w:hAnsi="Times New Roman"/>
          <w:color w:val="000000" w:themeColor="text1"/>
          <w:sz w:val="28"/>
          <w:szCs w:val="28"/>
        </w:rPr>
        <w:br/>
        <w:t xml:space="preserve">от 20 мая 2016 года на Федеральном портале проектов нормативных правовых актов (ID проекта 01/02/05-16/00048991) осуществлено рассмотрение проекта приказа </w:t>
      </w:r>
      <w:proofErr w:type="spellStart"/>
      <w:r>
        <w:rPr>
          <w:rFonts w:ascii="Times New Roman" w:eastAsia="Times New Roman" w:hAnsi="Times New Roman"/>
          <w:color w:val="000000" w:themeColor="text1"/>
          <w:sz w:val="28"/>
          <w:szCs w:val="28"/>
        </w:rPr>
        <w:t>Минкомсвязи</w:t>
      </w:r>
      <w:proofErr w:type="spellEnd"/>
      <w:r>
        <w:rPr>
          <w:rFonts w:ascii="Times New Roman" w:eastAsia="Times New Roman" w:hAnsi="Times New Roman"/>
          <w:color w:val="000000" w:themeColor="text1"/>
          <w:sz w:val="28"/>
          <w:szCs w:val="28"/>
        </w:rPr>
        <w:t xml:space="preserve"> России «Об утверждении требований к порядку реализации функций аккредитованного удостоверяющего центра и исполнения его обязанностей». В рамках общественных обсуждений проекта указанного документа предложения Федерального казначейства направлены в адрес </w:t>
      </w:r>
      <w:proofErr w:type="spellStart"/>
      <w:r>
        <w:rPr>
          <w:rFonts w:ascii="Times New Roman" w:eastAsia="Times New Roman" w:hAnsi="Times New Roman"/>
          <w:color w:val="000000" w:themeColor="text1"/>
          <w:sz w:val="28"/>
          <w:szCs w:val="28"/>
        </w:rPr>
        <w:t>Минкомсвязи</w:t>
      </w:r>
      <w:proofErr w:type="spellEnd"/>
      <w:r>
        <w:rPr>
          <w:rFonts w:ascii="Times New Roman" w:eastAsia="Times New Roman" w:hAnsi="Times New Roman"/>
          <w:color w:val="000000" w:themeColor="text1"/>
          <w:sz w:val="28"/>
          <w:szCs w:val="28"/>
        </w:rPr>
        <w:t xml:space="preserve"> России.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Федеральным казначейством принято участие в совещаниях в составе специально сформированной для исполнения пункта 3 протокола совещания у Первого заместителя Председателя Правительства Российской Федерации И.И. Шувалова от 23 мая 2016 г. № ИШ-П13-29ПР экспертной группы </w:t>
      </w:r>
      <w:r>
        <w:rPr>
          <w:rFonts w:ascii="Times New Roman" w:eastAsia="Times New Roman" w:hAnsi="Times New Roman"/>
          <w:color w:val="000000" w:themeColor="text1"/>
          <w:sz w:val="28"/>
          <w:szCs w:val="28"/>
        </w:rPr>
        <w:br/>
        <w:t>по выработке единых подходов к применению электронной подписи в целях формирования единого пространства доверия при осуществлении государственных услуг.</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Издан и направлен в ТОФК приказ Федерального казначейства</w:t>
      </w:r>
      <w:r>
        <w:rPr>
          <w:rFonts w:ascii="Times New Roman" w:eastAsia="Times New Roman" w:hAnsi="Times New Roman"/>
          <w:color w:val="000000" w:themeColor="text1"/>
          <w:sz w:val="28"/>
          <w:szCs w:val="28"/>
        </w:rPr>
        <w:br/>
        <w:t>от 25 июля 2016 г. № 280 «О внесении изменений в приложение к приказу Федерального казначейства от 31 июля 2015 г. № 197 «Об утверждении Регламента Удостоверяющего центра Федерального казначейства», которым внесены изменения в редакцию Регламента Удостоверяющего центра Федерального казначейства, разработанную в 2015 году.</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Получен новый сертификат соответствия ФСБ России от 20 июня 2016 г. № СФ/128-2878 на программно-аппаратный комплекс «</w:t>
      </w:r>
      <w:proofErr w:type="spellStart"/>
      <w:r>
        <w:rPr>
          <w:rFonts w:ascii="Times New Roman" w:eastAsia="Times New Roman" w:hAnsi="Times New Roman"/>
          <w:color w:val="000000" w:themeColor="text1"/>
          <w:sz w:val="28"/>
          <w:szCs w:val="28"/>
        </w:rPr>
        <w:t>Юнисерт</w:t>
      </w:r>
      <w:proofErr w:type="spellEnd"/>
      <w:r>
        <w:rPr>
          <w:rFonts w:ascii="Times New Roman" w:eastAsia="Times New Roman" w:hAnsi="Times New Roman"/>
          <w:color w:val="000000" w:themeColor="text1"/>
          <w:sz w:val="28"/>
          <w:szCs w:val="28"/>
        </w:rPr>
        <w:t>-ГОСТ» версия 2.1» со сроком действия до 7 июня 2018 года.</w:t>
      </w:r>
    </w:p>
    <w:p>
      <w:pPr>
        <w:tabs>
          <w:tab w:val="left" w:pos="142"/>
          <w:tab w:val="left" w:pos="284"/>
          <w:tab w:val="left" w:pos="851"/>
        </w:tabs>
        <w:spacing w:after="0" w:line="360" w:lineRule="atLeast"/>
        <w:ind w:firstLine="851"/>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рамках взаимодействия Федерального казначейства</w:t>
      </w:r>
      <w:r>
        <w:rPr>
          <w:rFonts w:ascii="Times New Roman" w:eastAsiaTheme="minorHAnsi" w:hAnsi="Times New Roman"/>
          <w:color w:val="000000" w:themeColor="text1"/>
          <w:sz w:val="28"/>
          <w:szCs w:val="28"/>
        </w:rPr>
        <w:br/>
        <w:t xml:space="preserve">с </w:t>
      </w:r>
      <w:proofErr w:type="spellStart"/>
      <w:r>
        <w:rPr>
          <w:rFonts w:ascii="Times New Roman" w:eastAsiaTheme="minorHAnsi" w:hAnsi="Times New Roman"/>
          <w:color w:val="000000" w:themeColor="text1"/>
          <w:sz w:val="28"/>
          <w:szCs w:val="28"/>
        </w:rPr>
        <w:t>Минкомсвязи</w:t>
      </w:r>
      <w:proofErr w:type="spellEnd"/>
      <w:r>
        <w:rPr>
          <w:rFonts w:ascii="Times New Roman" w:eastAsiaTheme="minorHAnsi" w:hAnsi="Times New Roman"/>
          <w:color w:val="000000" w:themeColor="text1"/>
          <w:sz w:val="28"/>
          <w:szCs w:val="28"/>
        </w:rPr>
        <w:t xml:space="preserve"> России осуществлены следующие мероприятия в части использования электронной подписи:</w:t>
      </w:r>
    </w:p>
    <w:p>
      <w:pPr>
        <w:tabs>
          <w:tab w:val="left" w:pos="142"/>
          <w:tab w:val="left" w:pos="284"/>
          <w:tab w:val="left" w:pos="851"/>
        </w:tabs>
        <w:spacing w:after="0" w:line="360" w:lineRule="atLeast"/>
        <w:ind w:firstLine="851"/>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в соответствии с запросом </w:t>
      </w:r>
      <w:proofErr w:type="spellStart"/>
      <w:r>
        <w:rPr>
          <w:rFonts w:ascii="Times New Roman" w:eastAsiaTheme="minorHAnsi" w:hAnsi="Times New Roman"/>
          <w:color w:val="000000" w:themeColor="text1"/>
          <w:sz w:val="28"/>
          <w:szCs w:val="28"/>
        </w:rPr>
        <w:t>Минкомсвязи</w:t>
      </w:r>
      <w:proofErr w:type="spellEnd"/>
      <w:r>
        <w:rPr>
          <w:rFonts w:ascii="Times New Roman" w:eastAsiaTheme="minorHAnsi" w:hAnsi="Times New Roman"/>
          <w:color w:val="000000" w:themeColor="text1"/>
          <w:sz w:val="28"/>
          <w:szCs w:val="28"/>
        </w:rPr>
        <w:t xml:space="preserve"> России предоставлена информация об Удостоверяющем центре Федерального казначейства (далее – УЦ ФК);</w:t>
      </w:r>
    </w:p>
    <w:p>
      <w:pPr>
        <w:spacing w:after="0" w:line="360" w:lineRule="atLeast"/>
        <w:ind w:firstLine="851"/>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 xml:space="preserve">– подготовлены и направлены в </w:t>
      </w:r>
      <w:proofErr w:type="spellStart"/>
      <w:r>
        <w:rPr>
          <w:rFonts w:ascii="Times New Roman" w:eastAsia="Times New Roman" w:hAnsi="Times New Roman"/>
          <w:color w:val="000000" w:themeColor="text1"/>
          <w:sz w:val="28"/>
          <w:szCs w:val="28"/>
        </w:rPr>
        <w:t>Минкомсвязи</w:t>
      </w:r>
      <w:proofErr w:type="spellEnd"/>
      <w:r>
        <w:rPr>
          <w:rFonts w:ascii="Times New Roman" w:eastAsia="Times New Roman" w:hAnsi="Times New Roman"/>
          <w:color w:val="000000" w:themeColor="text1"/>
          <w:sz w:val="28"/>
          <w:szCs w:val="28"/>
        </w:rPr>
        <w:t xml:space="preserve"> России предложения Федерального казначейства по внесению изменений в законодательство Российской Федерации об электронной подписи.</w:t>
      </w:r>
    </w:p>
    <w:p>
      <w:pPr>
        <w:tabs>
          <w:tab w:val="left" w:pos="142"/>
          <w:tab w:val="left" w:pos="284"/>
          <w:tab w:val="left" w:pos="851"/>
        </w:tabs>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соответствии с приказом Федерального казначейства от 9 декабря 2015 г. № 341 «О создании информационной системы «Удостоверяющий центр Федерального казначейства» и требованиями Государственного контракта от 18 февраля 2016 г. № УРСиБИ-17/2016 на выполнение работ по созданию информационной системы «Удостоверяющий центр Федерального казначейства» в текущем году создана </w:t>
      </w:r>
      <w:r>
        <w:rPr>
          <w:rFonts w:ascii="Times New Roman" w:eastAsia="Times New Roman" w:hAnsi="Times New Roman"/>
          <w:color w:val="000000" w:themeColor="text1"/>
          <w:sz w:val="28"/>
          <w:szCs w:val="28"/>
        </w:rPr>
        <w:t xml:space="preserve">информационная система «Удостоверяющий центр Федерального </w:t>
      </w:r>
      <w:r>
        <w:rPr>
          <w:rFonts w:ascii="Times New Roman" w:eastAsiaTheme="minorHAnsi" w:hAnsi="Times New Roman"/>
          <w:color w:val="000000" w:themeColor="text1"/>
          <w:sz w:val="28"/>
          <w:szCs w:val="28"/>
        </w:rPr>
        <w:t>казначейства». Также обеспечено введение указанной системы в эксплуатацию.</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Подготовлен, согласован и издан приказ Федерального казначейства от 19 декабря 2016 г. № 476 «Об утверждении порядка организации работы Удостоверяющего центра Федерального казначейства».</w:t>
      </w:r>
    </w:p>
    <w:p>
      <w:pPr>
        <w:spacing w:after="0" w:line="360" w:lineRule="atLeast"/>
        <w:ind w:firstLine="709"/>
        <w:jc w:val="both"/>
        <w:rPr>
          <w:rFonts w:ascii="Times New Roman" w:eastAsia="Times New Roman" w:hAnsi="Times New Roman"/>
          <w:bCs/>
          <w:color w:val="000000" w:themeColor="text1"/>
          <w:sz w:val="28"/>
          <w:szCs w:val="28"/>
        </w:rPr>
      </w:pPr>
      <w:r>
        <w:rPr>
          <w:rFonts w:ascii="Times New Roman" w:eastAsia="Times New Roman" w:hAnsi="Times New Roman"/>
          <w:color w:val="000000" w:themeColor="text1"/>
          <w:sz w:val="28"/>
          <w:szCs w:val="28"/>
        </w:rPr>
        <w:t xml:space="preserve">УЦ ФК на постоянной основе обеспечивается выдача сертификатов ключей проверки электронных подписей. Так, количество выданных </w:t>
      </w:r>
      <w:r>
        <w:rPr>
          <w:rFonts w:ascii="Times New Roman" w:eastAsia="Times New Roman" w:hAnsi="Times New Roman"/>
          <w:color w:val="000000" w:themeColor="text1"/>
          <w:sz w:val="28"/>
          <w:szCs w:val="28"/>
        </w:rPr>
        <w:br/>
        <w:t xml:space="preserve">с начала 2016 года сертификатов составило 762 521, что на 31 944 сертификата больше по сравнению с аналогичным периодом 2015 года (730 577). Количество действующих сертификатов, находящихся </w:t>
      </w:r>
      <w:r>
        <w:rPr>
          <w:rFonts w:ascii="Times New Roman" w:eastAsia="Times New Roman" w:hAnsi="Times New Roman"/>
          <w:color w:val="000000" w:themeColor="text1"/>
          <w:sz w:val="28"/>
          <w:szCs w:val="28"/>
        </w:rPr>
        <w:br/>
        <w:t xml:space="preserve">на обслуживании в УЦФК по состоянию на 1 января 2017 года, составляет 873 641 сертификат, что на 204 840 сертификатов больше по сравнению </w:t>
      </w:r>
      <w:r>
        <w:rPr>
          <w:rFonts w:ascii="Times New Roman" w:eastAsia="Times New Roman" w:hAnsi="Times New Roman"/>
          <w:color w:val="000000" w:themeColor="text1"/>
          <w:sz w:val="28"/>
          <w:szCs w:val="28"/>
        </w:rPr>
        <w:br/>
        <w:t>с аналогичным периодом 2015 года (668 801)</w:t>
      </w:r>
      <w:r>
        <w:rPr>
          <w:rFonts w:ascii="Times New Roman" w:eastAsia="Times New Roman" w:hAnsi="Times New Roman"/>
          <w:bCs/>
          <w:color w:val="000000" w:themeColor="text1"/>
          <w:sz w:val="28"/>
          <w:szCs w:val="28"/>
        </w:rPr>
        <w:t>.</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Осуществлено бесперебойное обеспечение сертификатами ключей проверки электронных подписей операторов региональных центров регистрации УЦ ФК.</w:t>
      </w:r>
    </w:p>
    <w:p>
      <w:pPr>
        <w:tabs>
          <w:tab w:val="left" w:pos="142"/>
          <w:tab w:val="left" w:pos="284"/>
          <w:tab w:val="left" w:pos="851"/>
        </w:tabs>
        <w:spacing w:after="0" w:line="360" w:lineRule="atLeast"/>
        <w:ind w:firstLine="709"/>
        <w:contextualSpacing/>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В соответствии с требованиями пункта 5 статьи 7 Федерального закона от 21 июля 2014 г. № 209-ФЗ «О государственной информационной системе жилищно-коммунального хозяйства» обеспечена выдача сертификатов ключей проверки электронных подписей для регистрации </w:t>
      </w:r>
      <w:r>
        <w:rPr>
          <w:rFonts w:ascii="Times New Roman" w:eastAsiaTheme="minorHAnsi" w:hAnsi="Times New Roman"/>
          <w:color w:val="000000" w:themeColor="text1"/>
          <w:sz w:val="28"/>
          <w:szCs w:val="28"/>
        </w:rPr>
        <w:br/>
        <w:t>в системе органам государственной власти, государственным внебюджетным фондам и органам местного самоуправления.</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Во исполнение требований Федерального закона от 6 апреля 2011 г. № 63-ФЗ «Об электронной подписи» разработаны и своевременно доведены до ТОФК политики регистрации запросов на сертификат ключа проверки электронных подписей.</w:t>
      </w:r>
    </w:p>
    <w:p>
      <w:pPr>
        <w:spacing w:before="120" w:after="120" w:line="240" w:lineRule="auto"/>
        <w:ind w:firstLine="709"/>
        <w:jc w:val="both"/>
        <w:rPr>
          <w:rFonts w:ascii="Times New Roman" w:hAnsi="Times New Roman"/>
          <w:b/>
          <w:color w:val="000000" w:themeColor="text1"/>
          <w:sz w:val="28"/>
          <w:szCs w:val="28"/>
        </w:rPr>
      </w:pPr>
      <w:r>
        <w:rPr>
          <w:rFonts w:ascii="Times New Roman" w:eastAsia="Times New Roman" w:hAnsi="Times New Roman"/>
          <w:color w:val="000000" w:themeColor="text1"/>
          <w:sz w:val="28"/>
          <w:szCs w:val="28"/>
        </w:rPr>
        <w:t xml:space="preserve">Организованы работы по осуществлению бесперебойной выдачи электронных подписей и подключению к необходимому ППО сотрудников во вновь созданных структурных подразделениях ЦАФК и УФК с учетом необходимости наличия в зданиях, принятых от Росфиннадзора, сотрудников соответствующих отделов режима секретности и безопасности </w:t>
      </w:r>
      <w:r>
        <w:rPr>
          <w:rFonts w:ascii="Times New Roman" w:eastAsia="Times New Roman" w:hAnsi="Times New Roman"/>
          <w:color w:val="000000" w:themeColor="text1"/>
          <w:sz w:val="28"/>
          <w:szCs w:val="28"/>
        </w:rPr>
        <w:lastRenderedPageBreak/>
        <w:t>информации, на которых возложены обязанности по реализации функции УЦ ФК.</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 Совершенствование деятельности Федерального казначейства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5.5.1. Финансовое обеспечение деятельности Федерального казначейства</w:t>
      </w:r>
    </w:p>
    <w:p>
      <w:pPr>
        <w:spacing w:after="0" w:line="360" w:lineRule="atLeast"/>
        <w:ind w:firstLine="709"/>
        <w:contextualSpacing/>
        <w:jc w:val="both"/>
        <w:rPr>
          <w:rFonts w:ascii="Times New Roman" w:eastAsia="Times New Roman" w:hAnsi="Times New Roman"/>
          <w:color w:val="000000" w:themeColor="text1"/>
          <w:spacing w:val="-7"/>
          <w:sz w:val="28"/>
          <w:szCs w:val="28"/>
          <w:lang w:eastAsia="ru-RU"/>
        </w:rPr>
      </w:pPr>
      <w:r>
        <w:rPr>
          <w:rFonts w:ascii="Times New Roman" w:eastAsia="Times New Roman" w:hAnsi="Times New Roman"/>
          <w:color w:val="000000" w:themeColor="text1"/>
          <w:sz w:val="28"/>
          <w:szCs w:val="28"/>
          <w:lang w:eastAsia="ru-RU"/>
        </w:rPr>
        <w:t>Федеральному казначейству в 2016 году сводной бюджетной росписью федерального бюджета были предусмотрены бюджетные ассигнования в сумме 41 924,0 млн рублей</w:t>
      </w:r>
      <w:r>
        <w:rPr>
          <w:rFonts w:ascii="Times New Roman" w:eastAsia="Times New Roman" w:hAnsi="Times New Roman"/>
          <w:color w:val="000000" w:themeColor="text1"/>
          <w:spacing w:val="-7"/>
          <w:sz w:val="28"/>
          <w:szCs w:val="28"/>
          <w:lang w:eastAsia="ru-RU"/>
        </w:rPr>
        <w:t>.</w:t>
      </w:r>
    </w:p>
    <w:p>
      <w:pPr>
        <w:spacing w:after="0" w:line="360" w:lineRule="atLeast"/>
        <w:ind w:firstLine="709"/>
        <w:contextualSpacing/>
        <w:jc w:val="both"/>
        <w:rPr>
          <w:rFonts w:ascii="Times New Roman" w:eastAsia="Times New Roman" w:hAnsi="Times New Roman"/>
          <w:color w:val="000000" w:themeColor="text1"/>
          <w:spacing w:val="-7"/>
          <w:sz w:val="28"/>
          <w:szCs w:val="28"/>
          <w:lang w:eastAsia="ru-RU"/>
        </w:rPr>
      </w:pPr>
      <w:r>
        <w:rPr>
          <w:rFonts w:ascii="Times New Roman" w:eastAsia="Times New Roman" w:hAnsi="Times New Roman"/>
          <w:color w:val="000000" w:themeColor="text1"/>
          <w:spacing w:val="-7"/>
          <w:sz w:val="28"/>
          <w:szCs w:val="28"/>
          <w:lang w:eastAsia="ru-RU"/>
        </w:rPr>
        <w:t>Согласно Госпрограмме в 2016 году по главе 100 «Федеральное казначейство» были предусмотрены бюджетные ассигнования в размере 40 149,9 млн рублей и направлены на:</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расходы на выплаты по оплате труда работников ЦАФК в размере 1 414,6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расходы на выплаты по оплате труда работников ТОФК в размере 21 764,5 млн рублей;</w:t>
      </w:r>
    </w:p>
    <w:p>
      <w:pPr>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иные выплаты работникам ЦАФК и ТОФК, в том числе </w:t>
      </w:r>
      <w:r>
        <w:rPr>
          <w:rFonts w:ascii="Times New Roman" w:eastAsia="Times New Roman" w:hAnsi="Times New Roman"/>
          <w:color w:val="000000" w:themeColor="text1"/>
          <w:sz w:val="28"/>
          <w:szCs w:val="28"/>
          <w:lang w:eastAsia="ru-RU"/>
        </w:rPr>
        <w:br/>
        <w:t>на командировочные расходы и компенсационные выплаты при увольнении в размере 165,1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закупку товаров, работ, услуг в сфере информационно-коммуникационных технологий в размере 1 673,2 млн рублей </w:t>
      </w:r>
      <w:r>
        <w:rPr>
          <w:rFonts w:ascii="Times New Roman" w:eastAsia="Times New Roman" w:hAnsi="Times New Roman"/>
          <w:color w:val="000000" w:themeColor="text1"/>
          <w:sz w:val="28"/>
          <w:szCs w:val="28"/>
          <w:lang w:eastAsia="ru-RU"/>
        </w:rPr>
        <w:br/>
        <w:t>(из них на создание и развитие ГИИС «Электронный бюджет» – 884,4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закупку товаров, работ, услуг в целях капитального ремонта государственного (муниципального) имущества в размере 1 358,0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прочую закупку товаров, работ и услуг для обеспечения государственных (муниципальных) нужд в размере 2 178,2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компенсационные выплаты уволенным служащим (работникам) </w:t>
      </w:r>
      <w:r>
        <w:rPr>
          <w:rFonts w:ascii="Times New Roman" w:eastAsia="Times New Roman" w:hAnsi="Times New Roman"/>
          <w:color w:val="000000" w:themeColor="text1"/>
          <w:sz w:val="28"/>
          <w:szCs w:val="28"/>
          <w:lang w:eastAsia="ru-RU"/>
        </w:rPr>
        <w:br/>
        <w:t>в размере 5,8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уплату налогов, сборов и иных платежей в размере 592,0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исполнение судебных актов в размере 1,7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компенсацию расходов на оплату стоимости проезда и провоза багажа к месту использования отпуска и обратно работникам ТОФК, расположенных в районах Крайнего Севера и приравненных к ним местностях, было предусмотрено 80,6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компенсацию расходов на оплату стоимости проезда и провоза багажа при переезде лиц (работников), а также членов их семей при </w:t>
      </w:r>
      <w:r>
        <w:rPr>
          <w:rFonts w:ascii="Times New Roman" w:eastAsia="Times New Roman" w:hAnsi="Times New Roman"/>
          <w:color w:val="000000" w:themeColor="text1"/>
          <w:sz w:val="28"/>
          <w:szCs w:val="28"/>
          <w:lang w:eastAsia="ru-RU"/>
        </w:rPr>
        <w:lastRenderedPageBreak/>
        <w:t>заключении (расторжении) трудовых договоров с организациями, финансируемыми из федерального бюджета, расположенными в районах Крайнего Севера и приравненных к ним местностях, было предусмотрено 2,5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ежемесячные компенсационные выплаты матерям (или другим родственникам, фактически осуществляющим уход за ребенком), состоящим в трудовых отношениях на условиях найма с организациями, и женщинам-военнослужащим, находящимся в отпуске по уходу за ребенком, было предусмотрено 2,1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обеспечение деятельности (оказание услуг) ФКУ «ЦОКР» было предусмотрено 1 891,0 млн рублей, в том числе на выплаты по оплате труда – 1 114,8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профессиональную подготовку, переподготовку и повышение квалификации работников ЦАФК и ТОФК было направлено 20,6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pacing w:val="-7"/>
          <w:sz w:val="28"/>
          <w:szCs w:val="28"/>
          <w:lang w:eastAsia="ru-RU"/>
        </w:rPr>
        <w:t>По ф</w:t>
      </w:r>
      <w:r>
        <w:rPr>
          <w:rFonts w:ascii="Times New Roman" w:eastAsia="Times New Roman" w:hAnsi="Times New Roman"/>
          <w:color w:val="000000" w:themeColor="text1"/>
          <w:sz w:val="28"/>
          <w:szCs w:val="28"/>
          <w:lang w:eastAsia="ru-RU"/>
        </w:rPr>
        <w:t xml:space="preserve">едеральной целевой программе «Жилище» на 2015–2020 годы </w:t>
      </w:r>
      <w:r>
        <w:rPr>
          <w:rFonts w:ascii="Times New Roman" w:eastAsia="Times New Roman" w:hAnsi="Times New Roman"/>
          <w:color w:val="000000" w:themeColor="text1"/>
          <w:spacing w:val="-7"/>
          <w:sz w:val="28"/>
          <w:szCs w:val="28"/>
          <w:lang w:eastAsia="ru-RU"/>
        </w:rPr>
        <w:t>бюджетные ассигнования в 2016 году были направлены на</w:t>
      </w:r>
      <w:r>
        <w:rPr>
          <w:rFonts w:ascii="Times New Roman" w:eastAsia="Times New Roman" w:hAnsi="Times New Roman"/>
          <w:color w:val="000000" w:themeColor="text1"/>
          <w:sz w:val="28"/>
          <w:szCs w:val="28"/>
          <w:lang w:eastAsia="ru-RU"/>
        </w:rPr>
        <w:t xml:space="preserve"> обеспечение жильем федеральных государственных гражданских служащих в размере 27,6 млн рублей.</w:t>
      </w:r>
    </w:p>
    <w:p>
      <w:pPr>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непрограммному направлению расходов по главе 100 «Федеральное казначейство» в 2016 году бюджетные ассигнования были предусмотрены на содержание специальных</w:t>
      </w:r>
      <w:r>
        <w:rPr>
          <w:rFonts w:ascii="Times New Roman" w:eastAsia="Times New Roman" w:hAnsi="Times New Roman"/>
          <w:i/>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объектов в размере 9,0 млн рублей. </w:t>
      </w:r>
    </w:p>
    <w:p>
      <w:pPr>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Также в сводной бюджетной росписи федерального бюджета на 2016 год по главе 100 «Федеральное казначейство» предусмотрены бюджетные ассигнования, принятые от упраздненной в соответствии с Указом Президента № 41 Федеральной службы финансово-бюджетного надзора в части показателей кассовых выплат в размере 1 737,5 млн рублей.</w:t>
      </w:r>
    </w:p>
    <w:p>
      <w:pPr>
        <w:pStyle w:val="a7"/>
        <w:spacing w:line="360" w:lineRule="atLeast"/>
        <w:ind w:firstLine="709"/>
        <w:rPr>
          <w:rFonts w:cs="Times New Roman"/>
          <w:color w:val="000000" w:themeColor="text1"/>
          <w:szCs w:val="28"/>
        </w:rPr>
      </w:pPr>
      <w:r>
        <w:rPr>
          <w:rFonts w:cs="Times New Roman"/>
          <w:color w:val="000000" w:themeColor="text1"/>
          <w:szCs w:val="28"/>
        </w:rPr>
        <w:t xml:space="preserve">Кроме того, сводной бюджетной росписью федерального бюджета на 2016 год с учетом изменений Федеральному казначейству предусмотрены бюджетные ассигнования на осуществление операций по компенсационным выплатам по вкладам (взносам) в организациях государственного страхования (ОАО «Российская государственная страховая компания» и обществах системы Росгосстраха) на сумму 500,0 млн рублей. При этом кассовое исполнение за 2016 год составило 480,7 млн рублей или 96,1 % </w:t>
      </w:r>
      <w:r>
        <w:rPr>
          <w:rFonts w:cs="Times New Roman"/>
          <w:color w:val="000000" w:themeColor="text1"/>
          <w:szCs w:val="28"/>
        </w:rPr>
        <w:br/>
        <w:t>от предусмотренных сводной бюджетной росписью бюджетных ассигнований.</w:t>
      </w:r>
    </w:p>
    <w:p>
      <w:pPr>
        <w:pStyle w:val="a7"/>
        <w:pageBreakBefore/>
        <w:spacing w:before="120" w:after="120" w:line="360" w:lineRule="atLeast"/>
        <w:ind w:firstLine="709"/>
        <w:rPr>
          <w:rFonts w:cs="Times New Roman"/>
          <w:b/>
          <w:color w:val="000000" w:themeColor="text1"/>
          <w:szCs w:val="28"/>
        </w:rPr>
      </w:pPr>
      <w:r>
        <w:rPr>
          <w:rFonts w:cs="Times New Roman"/>
          <w:b/>
          <w:color w:val="000000" w:themeColor="text1"/>
          <w:szCs w:val="28"/>
        </w:rPr>
        <w:lastRenderedPageBreak/>
        <w:t>5.5.2. Профилактика коррупционных и иных правонарушений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обеспечения соблюдения государственными гражданскими служащими ЦАФК, руководителями и заместителями руководителей ТОФК, работниками ФКУ «ЦОКР» установленных ограничений и запретов, требований о предотвращении или урегулировании конфликта интересов, исполнения ими своих обязанностей, а также с целью осуществления профилактики коррупционных и иных правонарушений в Федеральном казначействе 28 февраля 2014 года образован Отдел по профилактике коррупционных и иных правонарушений.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2016 году проведены следующие мероприятия:</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1. Обеспечены соблюдение государственными служащими ЦАФК, руководителями и заместителями руководителей ТОФК, работниками ФКУ «ЦОКР» установленных ограничений и запретов, требований о предотвращении или урегулировании конфликта интересов, исполнения ими своих обязанностей, профилактика коррупционных и иных правонарушений в Федеральном казначействе:</w:t>
      </w:r>
    </w:p>
    <w:p>
      <w:pPr>
        <w:autoSpaceDE w:val="0"/>
        <w:autoSpaceDN w:val="0"/>
        <w:adjustRightInd w:val="0"/>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Осуществлен сбор сведений о доходах, расходах, об имуществе и обязательствах имущественного характера, представленных государственными гражданскими служащими ЦАФК, заместителями руководителей ТОФК, работниками ФКУ «ЦОКР». Принято и обработано 1862 справок от 848 государственных гражданских служащих и работников, из них:</w:t>
      </w:r>
    </w:p>
    <w:p>
      <w:pPr>
        <w:autoSpaceDE w:val="0"/>
        <w:autoSpaceDN w:val="0"/>
        <w:adjustRightInd w:val="0"/>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1 022 справки от 473 государственных гражданских служащих ЦАФК;</w:t>
      </w:r>
    </w:p>
    <w:p>
      <w:pPr>
        <w:autoSpaceDE w:val="0"/>
        <w:autoSpaceDN w:val="0"/>
        <w:adjustRightInd w:val="0"/>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650 справок от 292 государственных гражданских служащих ТОФК;</w:t>
      </w:r>
    </w:p>
    <w:p>
      <w:pPr>
        <w:autoSpaceDE w:val="0"/>
        <w:autoSpaceDN w:val="0"/>
        <w:adjustRightInd w:val="0"/>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190 справок от 83 работников ФКУ «ЦОКР».</w:t>
      </w:r>
    </w:p>
    <w:p>
      <w:pPr>
        <w:tabs>
          <w:tab w:val="left" w:pos="993"/>
          <w:tab w:val="left" w:pos="1134"/>
        </w:tabs>
        <w:spacing w:after="0" w:line="360" w:lineRule="atLeast"/>
        <w:ind w:firstLine="709"/>
        <w:contextualSpacing/>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На основании мониторинга в отношении 16 государственных гражданских служащих ЦАФК проведены проверки достоверности</w:t>
      </w:r>
      <w:r>
        <w:rPr>
          <w:rFonts w:ascii="Times New Roman" w:eastAsia="Times New Roman" w:hAnsi="Times New Roman"/>
          <w:color w:val="000000" w:themeColor="text1"/>
          <w:sz w:val="28"/>
          <w:szCs w:val="28"/>
          <w:lang w:eastAsia="ru-RU"/>
        </w:rPr>
        <w:br/>
        <w:t>и полноты сведений о доходах, об имуществе и обязательствах имущественного характера,</w:t>
      </w:r>
      <w:r>
        <w:rPr>
          <w:rFonts w:ascii="Times New Roman" w:hAnsi="Times New Roman"/>
          <w:color w:val="000000" w:themeColor="text1"/>
          <w:sz w:val="28"/>
          <w:szCs w:val="28"/>
        </w:rPr>
        <w:t xml:space="preserve"> соблюдения требований, установленных в целях противодействия коррупции, а также осуществлен контроль за расходами.</w:t>
      </w:r>
    </w:p>
    <w:p>
      <w:pPr>
        <w:tabs>
          <w:tab w:val="left" w:pos="1134"/>
          <w:tab w:val="left" w:pos="184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Выполнен мониторинг достоверности и полноты сведений</w:t>
      </w:r>
      <w:r>
        <w:rPr>
          <w:rFonts w:ascii="Times New Roman" w:hAnsi="Times New Roman"/>
          <w:color w:val="000000" w:themeColor="text1"/>
          <w:sz w:val="28"/>
          <w:szCs w:val="28"/>
        </w:rPr>
        <w:br/>
        <w:t>о доходах, об имуществе и обязательствах имущественного характера, представленных заместителями руководителей ТОФК.</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Осуществлен прием сведений о доходах, об имуществе</w:t>
      </w:r>
      <w:r>
        <w:rPr>
          <w:rFonts w:ascii="Times New Roman" w:hAnsi="Times New Roman"/>
          <w:color w:val="000000" w:themeColor="text1"/>
          <w:sz w:val="28"/>
          <w:szCs w:val="28"/>
        </w:rPr>
        <w:br/>
        <w:t>и обязательствах имущественного характера, представляемых гражданами, претендующими на замещение должностей в Федеральном казначействе</w:t>
      </w:r>
      <w:r>
        <w:rPr>
          <w:rFonts w:ascii="Times New Roman" w:hAnsi="Times New Roman"/>
          <w:color w:val="000000" w:themeColor="text1"/>
          <w:sz w:val="28"/>
          <w:szCs w:val="28"/>
        </w:rPr>
        <w:br/>
        <w:t>и ФКУ «ЦОКР». Принято и обработано 1 263 справки от 519 граждан.</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Обеспечена реализация гражданскими служащими обязанности</w:t>
      </w:r>
      <w:r>
        <w:rPr>
          <w:rFonts w:ascii="Times New Roman" w:hAnsi="Times New Roman"/>
          <w:color w:val="000000" w:themeColor="text1"/>
          <w:sz w:val="28"/>
          <w:szCs w:val="28"/>
        </w:rPr>
        <w:br/>
        <w:t>об уведомлении представителя нанимателя об иной оплачиваемой работе: принято 41 уведомление;</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Рассмотрено 21 уведомление о замещении гражданским служащим должности в коммерческой организации на условиях трудового договора.</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2. Обеспечено проведение 3 заседаний Комиссии по соблюдению требований к служебному поведению и урегулированию конфликта интересов.</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3. Согласно разработанному и утвержденному Плану противодействия коррупции Федерального казначейства на 2016–2017 годы, мероприятия, обозначенные в указанном плане, выполнены в срок.</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4. Проведен мониторинг:</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реализации мер по противодействию коррупции с представлением</w:t>
      </w:r>
      <w:r>
        <w:rPr>
          <w:rFonts w:ascii="Times New Roman" w:hAnsi="Times New Roman"/>
          <w:color w:val="000000" w:themeColor="text1"/>
          <w:sz w:val="28"/>
          <w:szCs w:val="28"/>
        </w:rPr>
        <w:br/>
        <w:t>в Минтруд России отчета за три квартала, а также годового отчета;</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выполнения мероприятий, предусмотренных ведомственным Планом противодействия коррупции за 2016–2017 годы, с представлением в Минтруд России отчета за три квартала, а также годового отчета;</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организации контроля за выполнением мероприятий, предусмотренных Планом противодействия коррупции Федерального казначейства на 2014–2015 годы с представлением годового отчета</w:t>
      </w:r>
      <w:r>
        <w:rPr>
          <w:rFonts w:ascii="Times New Roman" w:hAnsi="Times New Roman"/>
          <w:color w:val="000000" w:themeColor="text1"/>
          <w:sz w:val="28"/>
          <w:szCs w:val="28"/>
        </w:rPr>
        <w:br/>
        <w:t>в Минэкономразвития России;</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практики исполнения запрета получать подарки с представлением</w:t>
      </w:r>
      <w:r>
        <w:rPr>
          <w:rFonts w:ascii="Times New Roman" w:hAnsi="Times New Roman"/>
          <w:color w:val="000000" w:themeColor="text1"/>
          <w:sz w:val="28"/>
          <w:szCs w:val="28"/>
        </w:rPr>
        <w:br/>
        <w:t xml:space="preserve">в Минтруд России отчета за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полугодие 2016 года и годовых отчетов за 2015 и 2014 годы;</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показателей оценки эффективности деятельности подразделений</w:t>
      </w:r>
      <w:r>
        <w:rPr>
          <w:rFonts w:ascii="Times New Roman" w:hAnsi="Times New Roman"/>
          <w:color w:val="000000" w:themeColor="text1"/>
          <w:sz w:val="28"/>
          <w:szCs w:val="28"/>
        </w:rPr>
        <w:br/>
        <w:t>по профилактике коррупционных и иных правонарушений</w:t>
      </w:r>
      <w:r>
        <w:rPr>
          <w:rFonts w:ascii="Times New Roman" w:hAnsi="Times New Roman"/>
          <w:color w:val="000000" w:themeColor="text1"/>
          <w:sz w:val="28"/>
          <w:szCs w:val="28"/>
        </w:rPr>
        <w:br/>
        <w:t>с представлением в Минтруд России годового отчета за 2015 год;</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мероприятий по предотвращению и урегулированию конфликта интересов за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 2016 года в Администрацию Президента Российской Федерации (запросов о предоставлении информации за </w:t>
      </w:r>
      <w:r>
        <w:rPr>
          <w:rFonts w:ascii="Times New Roman" w:hAnsi="Times New Roman"/>
          <w:color w:val="000000" w:themeColor="text1"/>
          <w:sz w:val="28"/>
          <w:szCs w:val="28"/>
          <w:lang w:val="en-US"/>
        </w:rPr>
        <w:t>II</w:t>
      </w:r>
      <w:r>
        <w:rPr>
          <w:rFonts w:ascii="Times New Roman" w:hAnsi="Times New Roman"/>
          <w:color w:val="000000" w:themeColor="text1"/>
          <w:sz w:val="28"/>
          <w:szCs w:val="28"/>
        </w:rPr>
        <w:t xml:space="preserve">, </w:t>
      </w:r>
      <w:r>
        <w:rPr>
          <w:rFonts w:ascii="Times New Roman" w:hAnsi="Times New Roman"/>
          <w:color w:val="000000" w:themeColor="text1"/>
          <w:sz w:val="28"/>
          <w:szCs w:val="28"/>
          <w:lang w:val="en-US"/>
        </w:rPr>
        <w:t>III</w:t>
      </w:r>
      <w:r>
        <w:rPr>
          <w:rFonts w:ascii="Times New Roman" w:hAnsi="Times New Roman"/>
          <w:color w:val="000000" w:themeColor="text1"/>
          <w:sz w:val="28"/>
          <w:szCs w:val="28"/>
        </w:rPr>
        <w:t xml:space="preserve"> и </w:t>
      </w:r>
      <w:r>
        <w:rPr>
          <w:rFonts w:ascii="Times New Roman" w:hAnsi="Times New Roman"/>
          <w:color w:val="000000" w:themeColor="text1"/>
          <w:sz w:val="28"/>
          <w:szCs w:val="28"/>
          <w:lang w:val="en-US"/>
        </w:rPr>
        <w:t>IV</w:t>
      </w:r>
      <w:r>
        <w:rPr>
          <w:rFonts w:ascii="Times New Roman" w:hAnsi="Times New Roman"/>
          <w:color w:val="000000" w:themeColor="text1"/>
          <w:sz w:val="28"/>
          <w:szCs w:val="28"/>
        </w:rPr>
        <w:t xml:space="preserve"> кварталы не поступало);</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в Минтруд России направлена информация о типовых ситуациях предотвращения и урегулирования конфликта интересов в отношении лиц, замещающих должности, по которым установлена обязанность принимать меры по предотвращению и урегулированию конфликта интересов;</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в Минтруд России и Минюст России направлена информация</w:t>
      </w:r>
      <w:r>
        <w:rPr>
          <w:rFonts w:ascii="Times New Roman" w:hAnsi="Times New Roman"/>
          <w:color w:val="000000" w:themeColor="text1"/>
          <w:sz w:val="28"/>
          <w:szCs w:val="28"/>
        </w:rPr>
        <w:br/>
        <w:t>об исполнении отдельных пунктов Программы по антикоррупционному просвещению на 2014–2016 годы, утвержденной распоряжением Правительства Российской Федерации от 14 мая 2014 г. № 816-р;</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в Минтруд России направлена информация о реализации отдельных пунктов Национального плана противодействия коррупции на 2016–2017 годы, утвержденного Указом Президента Российской Федерации</w:t>
      </w:r>
      <w:r>
        <w:rPr>
          <w:rFonts w:ascii="Times New Roman" w:hAnsi="Times New Roman"/>
          <w:color w:val="000000" w:themeColor="text1"/>
          <w:sz w:val="28"/>
          <w:szCs w:val="28"/>
        </w:rPr>
        <w:br/>
        <w:t>от 1 апреля 2016 г. № 147, а также информация в адрес Аппарата Правительства Российской Федерации о результатах исполнения поручений, содержащихся в Национальном плане противодействия коррупции на 2016–2017 годы, утвержденном Указом Президента Российской Федерации от 1 апреля 2016 г. № 147;</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исполнения ТОФК требований к наполнению подразделов </w:t>
      </w:r>
      <w:r>
        <w:rPr>
          <w:rFonts w:ascii="Times New Roman" w:hAnsi="Times New Roman"/>
          <w:color w:val="000000" w:themeColor="text1"/>
          <w:sz w:val="28"/>
          <w:szCs w:val="28"/>
        </w:rPr>
        <w:br/>
        <w:t xml:space="preserve">о противодействии коррупции на официальных сайтах ТОФК </w:t>
      </w:r>
      <w:r>
        <w:rPr>
          <w:rFonts w:ascii="Times New Roman" w:hAnsi="Times New Roman"/>
          <w:color w:val="000000" w:themeColor="text1"/>
          <w:sz w:val="28"/>
          <w:szCs w:val="28"/>
        </w:rPr>
        <w:br/>
      </w:r>
      <w:r>
        <w:rPr>
          <w:rFonts w:ascii="Times New Roman" w:eastAsia="Times New Roman" w:hAnsi="Times New Roman"/>
          <w:color w:val="000000" w:themeColor="text1"/>
          <w:sz w:val="28"/>
          <w:szCs w:val="28"/>
          <w:lang w:eastAsia="ru-RU"/>
        </w:rPr>
        <w:t>в информационно-телекоммуникационной сети «Интернет».</w:t>
      </w:r>
    </w:p>
    <w:p>
      <w:pPr>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Обеспечено приведение правовых актов и НПА Федерального казначейства о противодействии коррупции в соответствие </w:t>
      </w:r>
      <w:r>
        <w:rPr>
          <w:rFonts w:ascii="Times New Roman" w:hAnsi="Times New Roman"/>
          <w:color w:val="000000" w:themeColor="text1"/>
          <w:sz w:val="28"/>
          <w:szCs w:val="28"/>
        </w:rPr>
        <w:br/>
        <w:t>с антикоррупционным законодательством Российской Федерации:</w:t>
      </w:r>
    </w:p>
    <w:p>
      <w:pPr>
        <w:tabs>
          <w:tab w:val="left" w:pos="993"/>
        </w:tabs>
        <w:spacing w:after="0" w:line="360" w:lineRule="atLeast"/>
        <w:ind w:firstLine="709"/>
        <w:contextualSpacing/>
        <w:jc w:val="both"/>
        <w:rPr>
          <w:rFonts w:ascii="Times New Roman" w:hAnsi="Times New Roman"/>
          <w:bCs/>
          <w:color w:val="000000" w:themeColor="text1"/>
          <w:sz w:val="28"/>
          <w:szCs w:val="28"/>
        </w:rPr>
      </w:pPr>
      <w:r>
        <w:rPr>
          <w:rFonts w:ascii="Times New Roman" w:hAnsi="Times New Roman"/>
          <w:color w:val="000000" w:themeColor="text1"/>
          <w:sz w:val="28"/>
          <w:szCs w:val="28"/>
        </w:rPr>
        <w:t xml:space="preserve">– приказ Федерального казначейства </w:t>
      </w:r>
      <w:r>
        <w:rPr>
          <w:rFonts w:ascii="Times New Roman" w:hAnsi="Times New Roman"/>
          <w:bCs/>
          <w:color w:val="000000" w:themeColor="text1"/>
          <w:sz w:val="28"/>
          <w:szCs w:val="28"/>
        </w:rPr>
        <w:t xml:space="preserve">от 13 мая 2016 г. № 145 </w:t>
      </w:r>
      <w:r>
        <w:rPr>
          <w:rFonts w:ascii="Times New Roman" w:hAnsi="Times New Roman"/>
          <w:bCs/>
          <w:color w:val="000000" w:themeColor="text1"/>
          <w:sz w:val="28"/>
          <w:szCs w:val="28"/>
        </w:rPr>
        <w:br/>
        <w:t>«Об утверждении Плана противодействия коррупции Федерального казначейства на 2016</w:t>
      </w:r>
      <w:r>
        <w:rPr>
          <w:rFonts w:ascii="Times New Roman" w:hAnsi="Times New Roman"/>
          <w:color w:val="000000" w:themeColor="text1"/>
          <w:sz w:val="28"/>
          <w:szCs w:val="28"/>
        </w:rPr>
        <w:t>–</w:t>
      </w:r>
      <w:r>
        <w:rPr>
          <w:rFonts w:ascii="Times New Roman" w:hAnsi="Times New Roman"/>
          <w:bCs/>
          <w:color w:val="000000" w:themeColor="text1"/>
          <w:sz w:val="28"/>
          <w:szCs w:val="28"/>
        </w:rPr>
        <w:t>2017 годы»;</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11 января 2016 г. № 1н </w:t>
      </w:r>
      <w:r>
        <w:rPr>
          <w:rFonts w:ascii="Times New Roman" w:hAnsi="Times New Roman"/>
          <w:color w:val="000000" w:themeColor="text1"/>
          <w:sz w:val="28"/>
          <w:szCs w:val="28"/>
        </w:rPr>
        <w:br/>
        <w:t xml:space="preserve">«О внесении изменений в приказ Федерального казначейства от 8 апреля 2015 г. № 9н «О порядке поступления в Федеральное казначейство обращений и заявлений, являющихся основаниями для проведения заседаний комиссий Федерального казначейства по соблюдению требований к служебному поведению федеральных государственных гражданских служащих, работников федерального казенного учреждения «Центр по обеспечению деятельности Казначейства России» </w:t>
      </w:r>
      <w:r>
        <w:rPr>
          <w:rFonts w:ascii="Times New Roman" w:hAnsi="Times New Roman"/>
          <w:color w:val="000000" w:themeColor="text1"/>
          <w:sz w:val="28"/>
          <w:szCs w:val="28"/>
        </w:rPr>
        <w:br/>
        <w:t>и урегулированию конфликта интересов»;</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5 сентября 2016 г. № 13н </w:t>
      </w:r>
      <w:r>
        <w:rPr>
          <w:rFonts w:ascii="Times New Roman" w:hAnsi="Times New Roman"/>
          <w:color w:val="000000" w:themeColor="text1"/>
          <w:sz w:val="28"/>
          <w:szCs w:val="28"/>
        </w:rPr>
        <w:br/>
        <w:t xml:space="preserve">«Об утверждении Перечня должностей в федеральном казенном учреждении «Центр по обеспечению деятельности Казначейства России», при назначении на которые граждане и при замещении которых работники обязаны представить сведения о своих доходах, об имуществе </w:t>
      </w:r>
      <w:r>
        <w:rPr>
          <w:rFonts w:ascii="Times New Roman" w:hAnsi="Times New Roman"/>
          <w:color w:val="000000" w:themeColor="text1"/>
          <w:sz w:val="28"/>
          <w:szCs w:val="28"/>
        </w:rPr>
        <w:br/>
        <w:t xml:space="preserve">и обязательствах имущественного характера, а также сведения о доходах, </w:t>
      </w:r>
      <w:r>
        <w:rPr>
          <w:rFonts w:ascii="Times New Roman" w:hAnsi="Times New Roman"/>
          <w:color w:val="000000" w:themeColor="text1"/>
          <w:sz w:val="28"/>
          <w:szCs w:val="28"/>
        </w:rPr>
        <w:br/>
        <w:t>об имуществе и обязательствах имущественного характера своих супруги (супруга) и несовершеннолетних детей»;</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30 сентября 2016 г. № 19н </w:t>
      </w:r>
      <w:r>
        <w:rPr>
          <w:rFonts w:ascii="Times New Roman" w:hAnsi="Times New Roman"/>
          <w:color w:val="000000" w:themeColor="text1"/>
          <w:sz w:val="28"/>
          <w:szCs w:val="28"/>
        </w:rPr>
        <w:br/>
        <w:t xml:space="preserve">«О внесении изменений в Порядок формирования и деятельности Комиссии территориального органа Федерального казначейства по соблюдению требований к служебному поведению федеральных государственных гражданских служащих и урегулированию конфликта интересов, </w:t>
      </w:r>
      <w:r>
        <w:rPr>
          <w:rFonts w:ascii="Times New Roman" w:hAnsi="Times New Roman"/>
          <w:color w:val="000000" w:themeColor="text1"/>
          <w:sz w:val="28"/>
          <w:szCs w:val="28"/>
        </w:rPr>
        <w:lastRenderedPageBreak/>
        <w:t xml:space="preserve">утвержденный приказом Федерального казначейства от 19 февраля 2015 г. </w:t>
      </w:r>
      <w:r>
        <w:rPr>
          <w:rFonts w:ascii="Times New Roman" w:hAnsi="Times New Roman"/>
          <w:color w:val="000000" w:themeColor="text1"/>
          <w:sz w:val="28"/>
          <w:szCs w:val="28"/>
        </w:rPr>
        <w:br/>
        <w:t>№ 4н»;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7 ноября 2016 г. № 23н </w:t>
      </w:r>
      <w:r>
        <w:rPr>
          <w:rFonts w:ascii="Times New Roman" w:hAnsi="Times New Roman"/>
          <w:color w:val="000000" w:themeColor="text1"/>
          <w:sz w:val="28"/>
          <w:szCs w:val="28"/>
        </w:rPr>
        <w:br/>
        <w:t xml:space="preserve">«О внесении изменений в Положение о Комиссии по соблюдению требований к служебному поведению федеральных государственных гражданских служащих центрального аппарата Федерального казначейства, руководителей и заместителей руководителей территориальных органов Федерального казначейства, работников Федерального казенного учреждения «Центр по обеспечению деятельности Казначейства России» </w:t>
      </w:r>
      <w:r>
        <w:rPr>
          <w:rFonts w:ascii="Times New Roman" w:hAnsi="Times New Roman"/>
          <w:color w:val="000000" w:themeColor="text1"/>
          <w:sz w:val="28"/>
          <w:szCs w:val="28"/>
        </w:rPr>
        <w:br/>
        <w:t>и урегулированию конфликта интересов, утвержденное приказом Федерального казначейства от 6 марта 2015 г. № 6н»;</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14 ноября 2016 г. № 25н </w:t>
      </w:r>
      <w:r>
        <w:rPr>
          <w:rFonts w:ascii="Times New Roman" w:hAnsi="Times New Roman"/>
          <w:color w:val="000000" w:themeColor="text1"/>
          <w:sz w:val="28"/>
          <w:szCs w:val="28"/>
        </w:rPr>
        <w:br/>
        <w:t xml:space="preserve">«Об утверждении Положения о проверке достоверности и полноты сведений, представляемых гражданами, претендующими на замещение отдельных должностей, и работниками, замещающими отдельные должности на основании трудового договора в федеральном казенном учреждении «Центр по обеспечению деятельности Казначейства России», </w:t>
      </w:r>
      <w:r>
        <w:rPr>
          <w:rFonts w:ascii="Times New Roman" w:hAnsi="Times New Roman"/>
          <w:color w:val="000000" w:themeColor="text1"/>
          <w:sz w:val="28"/>
          <w:szCs w:val="28"/>
        </w:rPr>
        <w:br/>
        <w:t>а также соблюдения работниками требований к служебному поведению»;</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14 ноября 2016 г. № 26н </w:t>
      </w:r>
      <w:r>
        <w:rPr>
          <w:rFonts w:ascii="Times New Roman" w:hAnsi="Times New Roman"/>
          <w:color w:val="000000" w:themeColor="text1"/>
          <w:sz w:val="28"/>
          <w:szCs w:val="28"/>
        </w:rPr>
        <w:br/>
        <w:t xml:space="preserve">«Об утверждении Порядка представления сведений о доходах, расходах, </w:t>
      </w:r>
      <w:r>
        <w:rPr>
          <w:rFonts w:ascii="Times New Roman" w:hAnsi="Times New Roman"/>
          <w:color w:val="000000" w:themeColor="text1"/>
          <w:sz w:val="28"/>
          <w:szCs w:val="28"/>
        </w:rPr>
        <w:br/>
        <w:t>об имуществе и обязательствах имущественного характера в Федеральном казначействе»;</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14 декабря 2016 г. № 31н </w:t>
      </w:r>
      <w:r>
        <w:rPr>
          <w:rFonts w:ascii="Times New Roman" w:hAnsi="Times New Roman"/>
          <w:color w:val="000000" w:themeColor="text1"/>
          <w:sz w:val="28"/>
          <w:szCs w:val="28"/>
        </w:rPr>
        <w:br/>
        <w:t xml:space="preserve">«Об утверждении Перечня должностей федеральной государственной гражданской службы в Федеральном казначействе, при замещении которых федеральные государственные гражданские служащие обязаны представлять сведения о своих доходах, об имуществе и обязательствах имущественного характера, а также сведения о доходах, об имуществе </w:t>
      </w:r>
      <w:r>
        <w:rPr>
          <w:rFonts w:ascii="Times New Roman" w:hAnsi="Times New Roman"/>
          <w:color w:val="000000" w:themeColor="text1"/>
          <w:sz w:val="28"/>
          <w:szCs w:val="28"/>
        </w:rPr>
        <w:br/>
        <w:t xml:space="preserve">и обязательствах имущественного характера своих супруги (супруга) </w:t>
      </w:r>
      <w:r>
        <w:rPr>
          <w:rFonts w:ascii="Times New Roman" w:hAnsi="Times New Roman"/>
          <w:color w:val="000000" w:themeColor="text1"/>
          <w:sz w:val="28"/>
          <w:szCs w:val="28"/>
        </w:rPr>
        <w:br/>
        <w:t>и несовершеннолетних детей»;</w:t>
      </w:r>
    </w:p>
    <w:p>
      <w:pPr>
        <w:tabs>
          <w:tab w:val="left" w:pos="993"/>
        </w:tabs>
        <w:spacing w:after="0" w:line="360" w:lineRule="atLeast"/>
        <w:ind w:firstLine="709"/>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приказ Федерального казначейства от 19 декабря 2016 г. № 32н </w:t>
      </w:r>
      <w:r>
        <w:rPr>
          <w:rFonts w:ascii="Times New Roman" w:hAnsi="Times New Roman"/>
          <w:color w:val="000000" w:themeColor="text1"/>
          <w:sz w:val="28"/>
          <w:szCs w:val="28"/>
        </w:rPr>
        <w:br/>
        <w:t xml:space="preserve">«Об утверждении перечней должностей, замещение которых влечет </w:t>
      </w:r>
      <w:r>
        <w:rPr>
          <w:rFonts w:ascii="Times New Roman" w:hAnsi="Times New Roman"/>
          <w:color w:val="000000" w:themeColor="text1"/>
          <w:sz w:val="28"/>
          <w:szCs w:val="28"/>
        </w:rPr>
        <w:br/>
        <w:t xml:space="preserve">за собой размещение сведений о доходах, расходах, об имуществе </w:t>
      </w:r>
      <w:r>
        <w:rPr>
          <w:rFonts w:ascii="Times New Roman" w:hAnsi="Times New Roman"/>
          <w:color w:val="000000" w:themeColor="text1"/>
          <w:sz w:val="28"/>
          <w:szCs w:val="28"/>
        </w:rPr>
        <w:br/>
        <w:t xml:space="preserve">и обязательствах имущественного характера федеральных государственных гражданских служащих центрального аппарата Федерального казначейства, территориальных органов Федерального казначейства и работников федерального казенного учреждения «Центр по обеспечению деятельности Казначейства России», а также сведений о доходах, расходах, об имуществе и обязательствах имущественного характера их супруг (супругов)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и несовершеннолетних детей в информационно-телекоммуникационной сети «Интернет».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6. Приняты меры по профилактике коррупционных и иных правонарушений: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направлено в ТОФК и ФКУ «ЦОКР» 12 писем информационного характера о применении норм антикоррупционного законодательства, писем-обзоров результатов проведенного мониторинга в рамках компетенции Отдела по профилактике коррупционных и иных правонарушений;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организована работа по соблюдению гражданскими служащими после их ухода с гражданской службы ограничений, связанных </w:t>
      </w:r>
      <w:r>
        <w:rPr>
          <w:rFonts w:ascii="Times New Roman" w:hAnsi="Times New Roman"/>
          <w:color w:val="000000" w:themeColor="text1"/>
          <w:sz w:val="28"/>
          <w:szCs w:val="28"/>
        </w:rPr>
        <w:br/>
        <w:t>с трудоустройством в коммерческую или некоммерческую организацию (при увольнении сотрудники получают памятку о порядке соблюдения указанных ограничений);</w:t>
      </w:r>
    </w:p>
    <w:p>
      <w:pPr>
        <w:spacing w:after="0" w:line="360" w:lineRule="atLeast"/>
        <w:ind w:firstLine="709"/>
        <w:jc w:val="both"/>
        <w:rPr>
          <w:rFonts w:ascii="Times New Roman" w:hAnsi="Times New Roman"/>
          <w:b/>
          <w:color w:val="000000" w:themeColor="text1"/>
          <w:sz w:val="28"/>
          <w:szCs w:val="28"/>
          <w:u w:val="single"/>
        </w:rPr>
      </w:pPr>
      <w:r>
        <w:rPr>
          <w:rFonts w:ascii="Times New Roman" w:hAnsi="Times New Roman"/>
          <w:color w:val="000000" w:themeColor="text1"/>
          <w:sz w:val="28"/>
          <w:szCs w:val="28"/>
        </w:rPr>
        <w:t xml:space="preserve">– организована работа по наполнению подраздела о противодействии коррупции </w:t>
      </w:r>
      <w:r>
        <w:rPr>
          <w:rFonts w:ascii="Times New Roman" w:eastAsia="Times New Roman" w:hAnsi="Times New Roman"/>
          <w:color w:val="000000" w:themeColor="text1"/>
          <w:sz w:val="28"/>
          <w:szCs w:val="28"/>
          <w:lang w:eastAsia="ru-RU"/>
        </w:rPr>
        <w:t xml:space="preserve">Официального сайта </w:t>
      </w:r>
      <w:hyperlink r:id="rId211" w:history="1">
        <w:r>
          <w:rPr>
            <w:rFonts w:ascii="Times New Roman" w:eastAsia="Times New Roman" w:hAnsi="Times New Roman"/>
            <w:color w:val="000000" w:themeColor="text1"/>
            <w:sz w:val="28"/>
            <w:szCs w:val="28"/>
            <w:lang w:eastAsia="ru-RU"/>
          </w:rPr>
          <w:t>www.roskazna.ru</w:t>
        </w:r>
      </w:hyperlink>
      <w:r>
        <w:rPr>
          <w:rFonts w:ascii="Times New Roman" w:hAnsi="Times New Roman"/>
          <w:color w:val="000000" w:themeColor="text1"/>
          <w:sz w:val="28"/>
          <w:szCs w:val="28"/>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рассмотрены и даны разъяснения гражданам по 25 обращениям;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проведены 8 занятий по антикоррупционному просвещению </w:t>
      </w:r>
      <w:r>
        <w:rPr>
          <w:rFonts w:ascii="Times New Roman" w:hAnsi="Times New Roman"/>
          <w:color w:val="000000" w:themeColor="text1"/>
          <w:sz w:val="28"/>
          <w:szCs w:val="28"/>
        </w:rPr>
        <w:br/>
        <w:t>с государственными гражданскими служащими ЦАФК и работниками ФКУ «ЦОКР»;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обновлены информационные стенды по противодействию коррупции;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осуществлено консультирование должностных лиц кадровых служб ТОФК, ответственных за работу по профилактике коррупционных правонарушений, а также государственных служащих ЦАФК и работников ФКУ «ЦОКР».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7. Рассмотрены обращения граждан, в том числе сообщений о фактах коррупционных и иных правонарушений, полученных посредством «телефона доверия» Федерального казначейства. Принято 10 сообщений.</w:t>
      </w:r>
    </w:p>
    <w:p>
      <w:pPr>
        <w:keepNext/>
        <w:spacing w:before="120" w:after="12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lastRenderedPageBreak/>
        <w:t>Диаграмма 68</w:t>
      </w:r>
    </w:p>
    <w:p>
      <w:pPr>
        <w:tabs>
          <w:tab w:val="left" w:pos="840"/>
        </w:tabs>
        <w:spacing w:after="0" w:line="240" w:lineRule="auto"/>
        <w:jc w:val="both"/>
        <w:rPr>
          <w:rFonts w:ascii="Times New Roman" w:hAnsi="Times New Roman"/>
          <w:b/>
          <w:color w:val="000000" w:themeColor="text1"/>
          <w:sz w:val="28"/>
          <w:szCs w:val="28"/>
        </w:rPr>
      </w:pPr>
      <w:r>
        <w:rPr>
          <w:rFonts w:ascii="Times New Roman" w:hAnsi="Times New Roman"/>
          <w:b/>
          <w:noProof/>
          <w:color w:val="000000" w:themeColor="text1"/>
          <w:sz w:val="28"/>
          <w:szCs w:val="28"/>
          <w:lang w:eastAsia="ru-RU"/>
        </w:rPr>
        <w:drawing>
          <wp:inline distT="0" distB="0" distL="0" distR="0">
            <wp:extent cx="5860111" cy="3339548"/>
            <wp:effectExtent l="0" t="0" r="26670" b="13335"/>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5.5.3 Оптимизация организационно-штатной структуры территориальных органов Федерального казначейства</w:t>
      </w:r>
    </w:p>
    <w:p>
      <w:pPr>
        <w:tabs>
          <w:tab w:val="left" w:pos="840"/>
        </w:tabs>
        <w:spacing w:after="0" w:line="360" w:lineRule="atLeast"/>
        <w:ind w:firstLine="83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В рамках реализации Указа Президента № 41 и передачи Федеральному казначейству функций упраздняемой Федеральной</w:t>
      </w:r>
      <w:r>
        <w:rPr>
          <w:rFonts w:ascii="Times New Roman" w:hAnsi="Times New Roman"/>
          <w:b/>
          <w:color w:val="000000" w:themeColor="text1"/>
          <w:sz w:val="28"/>
          <w:szCs w:val="28"/>
        </w:rPr>
        <w:t xml:space="preserve"> </w:t>
      </w:r>
      <w:r>
        <w:rPr>
          <w:rFonts w:ascii="Times New Roman" w:eastAsia="Times New Roman" w:hAnsi="Times New Roman"/>
          <w:color w:val="000000" w:themeColor="text1"/>
          <w:sz w:val="28"/>
          <w:szCs w:val="28"/>
          <w:lang w:eastAsia="ru-RU"/>
        </w:rPr>
        <w:t>службы финансово-бюджетного надзора по контролю и надзору в финансово-бюджетной сфере, по внешнему контролю качества работы аудиторских организаций, определенных Федеральным законом от 30 декабря 2008 г. № 307-ФЗ «Об аудиторской деятельности», были изданы:</w:t>
      </w:r>
    </w:p>
    <w:p>
      <w:pPr>
        <w:tabs>
          <w:tab w:val="left" w:pos="840"/>
        </w:tabs>
        <w:spacing w:after="0" w:line="360" w:lineRule="atLeast"/>
        <w:ind w:firstLine="8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приказы Федерального казначейства от 18 апреля 2016 г. № 94 </w:t>
      </w:r>
      <w:r>
        <w:rPr>
          <w:rFonts w:ascii="Times New Roman" w:eastAsia="Times New Roman" w:hAnsi="Times New Roman"/>
          <w:color w:val="000000" w:themeColor="text1"/>
          <w:sz w:val="28"/>
          <w:szCs w:val="28"/>
          <w:lang w:eastAsia="ru-RU"/>
        </w:rPr>
        <w:br/>
        <w:t>«Об организационно-штатной структуре управлений Федерального казначейства по субъектам Российской Федерации» и от 17 июня 2016 г. № 202 «Об отдельных структурных подразделениях в Управлении Федерального казначейства по г. Москве»;</w:t>
      </w:r>
    </w:p>
    <w:p>
      <w:pPr>
        <w:tabs>
          <w:tab w:val="left" w:pos="840"/>
        </w:tabs>
        <w:spacing w:after="0" w:line="360" w:lineRule="atLeast"/>
        <w:ind w:firstLine="8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приказы Федерального казначейства от 20 декабря 2016 г. № 482, № 483, № 484 о внесении изменений в положения об управлениях Федерального казначейства по субъектам Российской Федерации.</w:t>
      </w:r>
    </w:p>
    <w:p>
      <w:pPr>
        <w:tabs>
          <w:tab w:val="left" w:pos="840"/>
        </w:tabs>
        <w:spacing w:after="0" w:line="360" w:lineRule="atLeast"/>
        <w:ind w:firstLine="83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реализации Программы Федерального казначейства </w:t>
      </w:r>
      <w:r>
        <w:rPr>
          <w:rFonts w:ascii="Times New Roman" w:eastAsia="Times New Roman" w:hAnsi="Times New Roman"/>
          <w:color w:val="000000" w:themeColor="text1"/>
          <w:sz w:val="28"/>
          <w:szCs w:val="28"/>
          <w:lang w:eastAsia="ru-RU"/>
        </w:rPr>
        <w:br/>
        <w:t>по повышению эффективности бюджетных расходов до 2018 года, утвержденной приказом Федерального казначейства от 17 сентября 2015</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 xml:space="preserve">г. № 11-ДСП, в 2016 году проводилась реорганизация отделов, созданных </w:t>
      </w:r>
      <w:r>
        <w:rPr>
          <w:rFonts w:ascii="Times New Roman" w:eastAsia="Times New Roman" w:hAnsi="Times New Roman"/>
          <w:color w:val="000000" w:themeColor="text1"/>
          <w:sz w:val="28"/>
          <w:szCs w:val="28"/>
          <w:lang w:eastAsia="ru-RU"/>
        </w:rPr>
        <w:br/>
        <w:t xml:space="preserve">для осуществления функций управлений Федерального казначейства </w:t>
      </w:r>
      <w:r>
        <w:rPr>
          <w:rFonts w:ascii="Times New Roman" w:eastAsia="Times New Roman" w:hAnsi="Times New Roman"/>
          <w:color w:val="000000" w:themeColor="text1"/>
          <w:sz w:val="28"/>
          <w:szCs w:val="28"/>
          <w:lang w:eastAsia="ru-RU"/>
        </w:rPr>
        <w:br/>
        <w:t xml:space="preserve">по субъектам Российской Федерации на соответствующей территории (далее – территориальные отделы), путем их присоединения к управлениям </w:t>
      </w:r>
      <w:r>
        <w:rPr>
          <w:rFonts w:ascii="Times New Roman" w:eastAsia="Times New Roman" w:hAnsi="Times New Roman"/>
          <w:color w:val="000000" w:themeColor="text1"/>
          <w:sz w:val="28"/>
          <w:szCs w:val="28"/>
          <w:lang w:eastAsia="ru-RU"/>
        </w:rPr>
        <w:lastRenderedPageBreak/>
        <w:t xml:space="preserve">Федерального казначейства по субъектам Российской Федерации </w:t>
      </w:r>
      <w:r>
        <w:rPr>
          <w:rFonts w:ascii="Times New Roman" w:eastAsia="Times New Roman" w:hAnsi="Times New Roman"/>
          <w:color w:val="000000" w:themeColor="text1"/>
          <w:sz w:val="28"/>
          <w:szCs w:val="28"/>
          <w:lang w:eastAsia="ru-RU"/>
        </w:rPr>
        <w:br/>
        <w:t>и (или) объединения и создания территориальных отделов межрайонного уровня.</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Сокращение и оптимизация размещения территориальных отделов ТОФК основываются на следующих принципах:</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сбалансированной нагрузки, приходящейся на одного сотрудника;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экономической и операционной эффективности;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исключения расположения территориальных отделов вблизи управлений Федерального казначейства по субъектам Российской Федерации и (или) от другого территориального отдела.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январь–декабрь 2016 года количество территориальных отделов сократилось на 222 единицы (10,7 %) с 2 073 до 1 851.</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При этом высвобождаемая численность территориальных отделов используется для исполнения функций по кассовому обслуживанию исполнения федерального, областного, местных бюджетов и бюджетов государственных внебюджетных фондов соответственно в отделах расходов, отделах кассового обслуживания исполнения бюджетов, операционных отделах и отделах ведения федеральных реестров ТОФК </w:t>
      </w:r>
      <w:r>
        <w:rPr>
          <w:rFonts w:ascii="Times New Roman" w:eastAsia="Times New Roman" w:hAnsi="Times New Roman"/>
          <w:color w:val="000000" w:themeColor="text1"/>
          <w:sz w:val="28"/>
          <w:szCs w:val="28"/>
          <w:lang w:eastAsia="ru-RU"/>
        </w:rPr>
        <w:br/>
        <w:t xml:space="preserve">в связи с увеличением нагрузки в данных отделах при передаче </w:t>
      </w:r>
      <w:r>
        <w:rPr>
          <w:rFonts w:ascii="Times New Roman" w:eastAsia="Times New Roman" w:hAnsi="Times New Roman"/>
          <w:color w:val="000000" w:themeColor="text1"/>
          <w:sz w:val="28"/>
          <w:szCs w:val="28"/>
          <w:lang w:eastAsia="ru-RU"/>
        </w:rPr>
        <w:br/>
        <w:t>на обслуживание клиентов территориальных отделов.</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Проведение указанных организационно-штатных мероприятий позволяет создать условия для высвобождения имущества, находящегося </w:t>
      </w:r>
      <w:r>
        <w:rPr>
          <w:rFonts w:ascii="Times New Roman" w:eastAsia="Times New Roman" w:hAnsi="Times New Roman"/>
          <w:color w:val="000000" w:themeColor="text1"/>
          <w:sz w:val="28"/>
          <w:szCs w:val="28"/>
          <w:lang w:eastAsia="ru-RU"/>
        </w:rPr>
        <w:br/>
        <w:t>в оперативном управлении, и, соответственно, снижения затрат на его содержание, выровнять операционную нагрузку между структурными подразделениями ТОФК, а также повысить качество выполняемых функций в связи с централизацией обслуживания федеральных, областных, муниципальных учреждений и учреждений ГВФ РФ.</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5.5.4 Международное сотрудничество</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Федеральным казначейством была проведена масштабная работа в рамках укрепления позиций Федерального казначейства </w:t>
      </w:r>
      <w:r>
        <w:rPr>
          <w:rFonts w:ascii="Times New Roman" w:eastAsia="Times New Roman" w:hAnsi="Times New Roman"/>
          <w:color w:val="000000" w:themeColor="text1"/>
          <w:sz w:val="28"/>
          <w:szCs w:val="28"/>
          <w:lang w:eastAsia="ru-RU"/>
        </w:rPr>
        <w:br/>
        <w:t>на международной арене, расширения географии международного сотрудничества и активного взаимодействия с партнерами Федерального казначейства.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Мероприятия по обмену опытом работы в сфере управления государственными финансами и применения современных казначейских технологий и организации зарубежных стажировок работников ЦАФК </w:t>
      </w:r>
      <w:r>
        <w:rPr>
          <w:rFonts w:ascii="Times New Roman" w:eastAsia="Times New Roman" w:hAnsi="Times New Roman"/>
          <w:color w:val="000000" w:themeColor="text1"/>
          <w:sz w:val="28"/>
          <w:szCs w:val="28"/>
          <w:lang w:eastAsia="ru-RU"/>
        </w:rPr>
        <w:br/>
        <w:t>и ТОФК проводились в соответствии со Сводным планом международного сотрудничества по Федеральному казначейству на 2016 год и двусторонних Соглашений о техническом сотрудничестве с зарубежными партнерами.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В общей сложности в течение 2016 года Федеральным казначейством обеспечена подготовка и проведение 31 международного мероприятия </w:t>
      </w:r>
      <w:r>
        <w:rPr>
          <w:rFonts w:ascii="Times New Roman" w:eastAsia="Times New Roman" w:hAnsi="Times New Roman"/>
          <w:color w:val="000000" w:themeColor="text1"/>
          <w:sz w:val="28"/>
          <w:szCs w:val="28"/>
          <w:lang w:eastAsia="ru-RU"/>
        </w:rPr>
        <w:br/>
        <w:t>с участием сотрудников ЦАФК и ТОФК, из них 10 проведены</w:t>
      </w:r>
      <w:r>
        <w:rPr>
          <w:rFonts w:ascii="Times New Roman" w:eastAsia="Times New Roman" w:hAnsi="Times New Roman"/>
          <w:color w:val="000000" w:themeColor="text1"/>
          <w:sz w:val="28"/>
          <w:szCs w:val="28"/>
          <w:lang w:eastAsia="ru-RU"/>
        </w:rPr>
        <w:br/>
        <w:t>на территории Российской Федерации.</w:t>
      </w:r>
    </w:p>
    <w:p>
      <w:pPr>
        <w:tabs>
          <w:tab w:val="left" w:pos="840"/>
        </w:tabs>
        <w:spacing w:line="360" w:lineRule="atLeast"/>
        <w:jc w:val="center"/>
        <w:rPr>
          <w:rFonts w:ascii="Times New Roman" w:hAnsi="Times New Roman"/>
          <w:i/>
          <w:color w:val="000000" w:themeColor="text1"/>
          <w:sz w:val="28"/>
          <w:szCs w:val="28"/>
        </w:rPr>
      </w:pPr>
      <w:r>
        <w:rPr>
          <w:rFonts w:ascii="Times New Roman" w:hAnsi="Times New Roman"/>
          <w:noProof/>
          <w:color w:val="000000" w:themeColor="text1"/>
          <w:lang w:eastAsia="ru-RU"/>
        </w:rPr>
        <w:drawing>
          <wp:inline distT="0" distB="0" distL="0" distR="0">
            <wp:extent cx="3220085" cy="4531995"/>
            <wp:effectExtent l="0" t="0" r="0" b="1905"/>
            <wp:docPr id="71" name="Рисунок 71" descr="C:\Users\1551\AppData\Local\Microsoft\Windows\Temporary Internet Files\Content.Outlook\OC851PXT\серб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551\AppData\Local\Microsoft\Windows\Temporary Internet Files\Content.Outlook\OC851PXT\сербия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20085" cy="4531995"/>
                    </a:xfrm>
                    <a:prstGeom prst="rect">
                      <a:avLst/>
                    </a:prstGeom>
                    <a:noFill/>
                    <a:ln>
                      <a:noFill/>
                    </a:ln>
                  </pic:spPr>
                </pic:pic>
              </a:graphicData>
            </a:graphic>
          </wp:inline>
        </w:drawing>
      </w:r>
    </w:p>
    <w:p>
      <w:pPr>
        <w:spacing w:after="0" w:line="240" w:lineRule="auto"/>
        <w:ind w:firstLine="709"/>
        <w:jc w:val="both"/>
        <w:rPr>
          <w:rFonts w:ascii="Times New Roman" w:hAnsi="Times New Roman"/>
          <w:i/>
          <w:color w:val="000000" w:themeColor="text1"/>
          <w:sz w:val="24"/>
          <w:szCs w:val="24"/>
        </w:rPr>
      </w:pPr>
      <w:r>
        <w:rPr>
          <w:rFonts w:ascii="Times New Roman" w:hAnsi="Times New Roman"/>
          <w:i/>
          <w:color w:val="000000" w:themeColor="text1"/>
          <w:sz w:val="24"/>
          <w:szCs w:val="24"/>
        </w:rPr>
        <w:t xml:space="preserve">Встреча руководителя Федерального казначейства Р.Е. Артюхина с директором Казначейского департамента Министерства финансов Республики Сербия Светланой </w:t>
      </w:r>
      <w:proofErr w:type="spellStart"/>
      <w:r>
        <w:rPr>
          <w:rFonts w:ascii="Times New Roman" w:hAnsi="Times New Roman"/>
          <w:i/>
          <w:color w:val="000000" w:themeColor="text1"/>
          <w:sz w:val="24"/>
          <w:szCs w:val="24"/>
        </w:rPr>
        <w:t>Любичич</w:t>
      </w:r>
      <w:proofErr w:type="spellEnd"/>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Организация и уровень проведения всех вышеперечисленных мероприятий получили высокую оценку со стороны зарубежных партнеров, руководства Минфина России и МИД России, были получены благодарственные письма от зарубежных коллег.</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Федеральным казначейством в течение 2016 года продолжено активное сотрудничество с АТЭС, </w:t>
      </w:r>
      <w:r>
        <w:rPr>
          <w:rFonts w:ascii="Times New Roman" w:eastAsia="Times New Roman" w:hAnsi="Times New Roman"/>
          <w:color w:val="000000" w:themeColor="text1"/>
          <w:sz w:val="28"/>
          <w:szCs w:val="28"/>
          <w:lang w:val="en-US" w:eastAsia="ru-RU"/>
        </w:rPr>
        <w:t>PEMPAL</w:t>
      </w:r>
      <w:r>
        <w:rPr>
          <w:rFonts w:ascii="Times New Roman" w:eastAsia="Times New Roman" w:hAnsi="Times New Roman"/>
          <w:color w:val="000000" w:themeColor="text1"/>
          <w:sz w:val="28"/>
          <w:szCs w:val="28"/>
          <w:lang w:eastAsia="ru-RU"/>
        </w:rPr>
        <w:t xml:space="preserve"> и </w:t>
      </w:r>
      <w:r>
        <w:rPr>
          <w:rFonts w:ascii="Times New Roman" w:eastAsia="Times New Roman" w:hAnsi="Times New Roman"/>
          <w:color w:val="000000" w:themeColor="text1"/>
          <w:sz w:val="28"/>
          <w:szCs w:val="28"/>
          <w:lang w:val="en-US" w:eastAsia="ru-RU"/>
        </w:rPr>
        <w:t>PEMNA</w:t>
      </w:r>
      <w:r>
        <w:rPr>
          <w:rFonts w:ascii="Times New Roman" w:eastAsia="Times New Roman" w:hAnsi="Times New Roman"/>
          <w:color w:val="000000" w:themeColor="text1"/>
          <w:sz w:val="28"/>
          <w:szCs w:val="28"/>
          <w:lang w:eastAsia="ru-RU"/>
        </w:rPr>
        <w:t xml:space="preserve">, Международным валютным фондом и Всемирным банком. Представители Федерального казначейства являются постоянными экспертами, членами исполнительных комитетов и лидерских групп, принимают участие в большинстве проводимых указанными международными организациями мероприятий, </w:t>
      </w:r>
      <w:r>
        <w:rPr>
          <w:rFonts w:ascii="Times New Roman" w:eastAsia="Times New Roman" w:hAnsi="Times New Roman"/>
          <w:color w:val="000000" w:themeColor="text1"/>
          <w:sz w:val="28"/>
          <w:szCs w:val="28"/>
          <w:lang w:eastAsia="ru-RU"/>
        </w:rPr>
        <w:br/>
        <w:t>в том числе в формате аудио- и видеоконференций.</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Следует отметить успешное взаимодействие Федерального казначейства с МИД России. В рамках исполнения Указа Президента </w:t>
      </w:r>
      <w:r>
        <w:rPr>
          <w:rFonts w:ascii="Times New Roman" w:eastAsia="Times New Roman" w:hAnsi="Times New Roman"/>
          <w:color w:val="000000" w:themeColor="text1"/>
          <w:sz w:val="28"/>
          <w:szCs w:val="28"/>
          <w:lang w:eastAsia="ru-RU"/>
        </w:rPr>
        <w:lastRenderedPageBreak/>
        <w:t xml:space="preserve">Российской Федерации от 8 ноября 2011 г. № 1478 «О координирующей роли Министерства иностранных дел Российской Федерации в проведении единой внешнеполитической линии Российской Федерации» все выезды представителей Федерального казначейства, а также заключение двусторонних Меморандумов заблаговременно согласовываются </w:t>
      </w:r>
      <w:r>
        <w:rPr>
          <w:rFonts w:ascii="Times New Roman" w:eastAsia="Times New Roman" w:hAnsi="Times New Roman"/>
          <w:color w:val="000000" w:themeColor="text1"/>
          <w:sz w:val="28"/>
          <w:szCs w:val="28"/>
          <w:lang w:eastAsia="ru-RU"/>
        </w:rPr>
        <w:br/>
        <w:t xml:space="preserve">с уполномоченными структурами МИД России. </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Федеральным казначейством осуществляется взаимодействие с МИД России как официально, так и в рабочем порядке для получения консультаций, рекомендаций и разъяснений по всем вопросам, касающимся международной деятельности, основанной на рекомендациях и поддержке МИД России и не осуществляется без соответствующего согласования. </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условиях сложившейся внешнеполитической обстановки происходит переориентация Федерального казначейства с Европейского </w:t>
      </w:r>
      <w:r>
        <w:rPr>
          <w:rFonts w:ascii="Times New Roman" w:eastAsia="Times New Roman" w:hAnsi="Times New Roman"/>
          <w:color w:val="000000" w:themeColor="text1"/>
          <w:sz w:val="28"/>
          <w:szCs w:val="28"/>
          <w:lang w:eastAsia="ru-RU"/>
        </w:rPr>
        <w:br/>
        <w:t>на Азиатско-Тихоокеанский регион. В связи с этим обозначены приоритетные партнеры по дальнейшему сотрудничеству, среди которых КНР, страны СНГ и БРИКС.</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5.5.5 Информационная поддержка деятельности Федерального казначейства и взаимодействие со СМИ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Информация о мероприятиях, проводимых Федеральным казначейством в 2016 году с участием его сотрудников, размещалась </w:t>
      </w:r>
      <w:r>
        <w:rPr>
          <w:rFonts w:ascii="Times New Roman" w:eastAsia="Times New Roman" w:hAnsi="Times New Roman"/>
          <w:color w:val="000000" w:themeColor="text1"/>
          <w:sz w:val="28"/>
          <w:szCs w:val="28"/>
          <w:lang w:eastAsia="ru-RU"/>
        </w:rPr>
        <w:br/>
        <w:t xml:space="preserve">на Официальном сайте </w:t>
      </w:r>
      <w:hyperlink r:id="rId214" w:history="1">
        <w:r>
          <w:rPr>
            <w:rFonts w:ascii="Times New Roman" w:eastAsia="Times New Roman" w:hAnsi="Times New Roman"/>
            <w:color w:val="000000" w:themeColor="text1"/>
            <w:sz w:val="28"/>
            <w:szCs w:val="28"/>
            <w:lang w:eastAsia="ru-RU"/>
          </w:rPr>
          <w:t>www.roskazna.ru</w:t>
        </w:r>
      </w:hyperlink>
      <w:r>
        <w:rPr>
          <w:rFonts w:ascii="Times New Roman" w:eastAsia="Times New Roman" w:hAnsi="Times New Roman"/>
          <w:color w:val="000000" w:themeColor="text1"/>
          <w:sz w:val="28"/>
          <w:szCs w:val="28"/>
          <w:lang w:eastAsia="ru-RU"/>
        </w:rPr>
        <w:t xml:space="preserve">. Также продолжает регулярно размещаться аналогичная информация, полученная от ТОФК. Также информация о наиболее крупных и значимых событиях направляется </w:t>
      </w:r>
      <w:r>
        <w:rPr>
          <w:rFonts w:ascii="Times New Roman" w:eastAsia="Times New Roman" w:hAnsi="Times New Roman"/>
          <w:color w:val="000000" w:themeColor="text1"/>
          <w:sz w:val="28"/>
          <w:szCs w:val="28"/>
          <w:lang w:eastAsia="ru-RU"/>
        </w:rPr>
        <w:br/>
        <w:t xml:space="preserve">в адрес постоянных партнеров Федерального казначейства среди информагентств, где впоследствии используется для написания статей </w:t>
      </w:r>
      <w:r>
        <w:rPr>
          <w:rFonts w:ascii="Times New Roman" w:eastAsia="Times New Roman" w:hAnsi="Times New Roman"/>
          <w:color w:val="000000" w:themeColor="text1"/>
          <w:sz w:val="28"/>
          <w:szCs w:val="28"/>
          <w:lang w:eastAsia="ru-RU"/>
        </w:rPr>
        <w:br/>
        <w:t>и информационных сообщений.</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Организован и проведен ряд выступлений и интервью руководства Казначейства России, осуществляемых в течение 2016 года по мере поступления запросов и предложений, их видеосъемка. Как и прежде, лидерами по количеству присылаемых запросов являются ГИС ГМП, ГИИС «Электронный бюджет», ГАС «Управление». Информационные системы Федерального казначейства являются современными </w:t>
      </w:r>
      <w:r>
        <w:rPr>
          <w:rFonts w:ascii="Times New Roman" w:eastAsia="Times New Roman" w:hAnsi="Times New Roman"/>
          <w:color w:val="000000" w:themeColor="text1"/>
          <w:sz w:val="28"/>
          <w:szCs w:val="28"/>
          <w:lang w:eastAsia="ru-RU"/>
        </w:rPr>
        <w:br/>
        <w:t>и актуальными сервисами, специфика их функционирования и перспективы развития не перестают быть объектом интереса СМИ.</w:t>
      </w:r>
    </w:p>
    <w:p>
      <w:pPr>
        <w:tabs>
          <w:tab w:val="left" w:pos="840"/>
        </w:tabs>
        <w:spacing w:line="360" w:lineRule="atLeast"/>
        <w:jc w:val="center"/>
        <w:rPr>
          <w:rFonts w:ascii="Times New Roman" w:hAnsi="Times New Roman"/>
          <w:i/>
          <w:color w:val="000000" w:themeColor="text1"/>
          <w:sz w:val="28"/>
          <w:szCs w:val="28"/>
        </w:rPr>
      </w:pPr>
      <w:r>
        <w:rPr>
          <w:rFonts w:ascii="Times New Roman" w:hAnsi="Times New Roman"/>
          <w:i/>
          <w:color w:val="000000" w:themeColor="text1"/>
          <w:sz w:val="28"/>
          <w:szCs w:val="28"/>
        </w:rPr>
        <w:lastRenderedPageBreak/>
        <w:t xml:space="preserve"> </w:t>
      </w:r>
      <w:r>
        <w:rPr>
          <w:rFonts w:ascii="Times New Roman" w:hAnsi="Times New Roman"/>
          <w:noProof/>
          <w:color w:val="000000" w:themeColor="text1"/>
          <w:lang w:eastAsia="ru-RU"/>
        </w:rPr>
        <w:drawing>
          <wp:inline distT="0" distB="0" distL="0" distR="0">
            <wp:extent cx="4460875" cy="3180715"/>
            <wp:effectExtent l="0" t="0" r="0" b="635"/>
            <wp:docPr id="82" name="Рисунок 82" descr="C:\Users\1551\AppData\Local\Microsoft\Windows\Temporary Internet Files\Content.Outlook\OC851PXT\госзаказ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551\AppData\Local\Microsoft\Windows\Temporary Internet Files\Content.Outlook\OC851PXT\госзаказ (2).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460875" cy="3180715"/>
                    </a:xfrm>
                    <a:prstGeom prst="rect">
                      <a:avLst/>
                    </a:prstGeom>
                    <a:noFill/>
                    <a:ln>
                      <a:noFill/>
                    </a:ln>
                  </pic:spPr>
                </pic:pic>
              </a:graphicData>
            </a:graphic>
          </wp:inline>
        </w:drawing>
      </w:r>
    </w:p>
    <w:p>
      <w:pPr>
        <w:spacing w:after="0" w:line="240" w:lineRule="auto"/>
        <w:ind w:firstLine="709"/>
        <w:jc w:val="both"/>
        <w:rPr>
          <w:rFonts w:ascii="Times New Roman" w:hAnsi="Times New Roman"/>
          <w:i/>
          <w:color w:val="000000" w:themeColor="text1"/>
          <w:sz w:val="24"/>
          <w:szCs w:val="24"/>
        </w:rPr>
      </w:pPr>
      <w:r>
        <w:rPr>
          <w:rFonts w:ascii="Times New Roman" w:hAnsi="Times New Roman"/>
          <w:i/>
          <w:color w:val="000000" w:themeColor="text1"/>
          <w:sz w:val="24"/>
          <w:szCs w:val="24"/>
        </w:rPr>
        <w:t>Интервью руководителя Федерального казначейства Р.Е. Артюхина</w:t>
      </w:r>
    </w:p>
    <w:p>
      <w:pPr>
        <w:spacing w:after="0" w:line="240" w:lineRule="auto"/>
        <w:ind w:firstLine="709"/>
        <w:jc w:val="both"/>
        <w:rPr>
          <w:rFonts w:ascii="Times New Roman" w:hAnsi="Times New Roman"/>
          <w:i/>
          <w:color w:val="000000" w:themeColor="text1"/>
          <w:sz w:val="24"/>
          <w:szCs w:val="24"/>
        </w:rPr>
      </w:pPr>
      <w:r>
        <w:rPr>
          <w:rFonts w:ascii="Times New Roman" w:hAnsi="Times New Roman"/>
          <w:i/>
          <w:color w:val="000000" w:themeColor="text1"/>
          <w:sz w:val="24"/>
          <w:szCs w:val="24"/>
        </w:rPr>
        <w:t>телеканалу «Вести»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Не перестает пользоваться интересом и работа </w:t>
      </w:r>
      <w:r>
        <w:rPr>
          <w:rFonts w:ascii="Times New Roman" w:eastAsiaTheme="minorHAnsi" w:hAnsi="Times New Roman"/>
          <w:color w:val="000000" w:themeColor="text1"/>
          <w:sz w:val="28"/>
          <w:szCs w:val="28"/>
          <w:lang w:eastAsia="ru-RU"/>
        </w:rPr>
        <w:t>Официального сайта ГМУ</w:t>
      </w:r>
      <w:r>
        <w:rPr>
          <w:rFonts w:ascii="Times New Roman" w:eastAsia="Times New Roman" w:hAnsi="Times New Roman"/>
          <w:color w:val="000000" w:themeColor="text1"/>
          <w:sz w:val="28"/>
          <w:szCs w:val="28"/>
          <w:lang w:eastAsia="ru-RU"/>
        </w:rPr>
        <w:t xml:space="preserve"> и официального сайта Российской Федерации в информационно-телекоммуникационной сети «Интернет» для размещения информации </w:t>
      </w:r>
      <w:r>
        <w:rPr>
          <w:rFonts w:ascii="Times New Roman" w:eastAsia="Times New Roman" w:hAnsi="Times New Roman"/>
          <w:color w:val="000000" w:themeColor="text1"/>
          <w:sz w:val="28"/>
          <w:szCs w:val="28"/>
          <w:lang w:eastAsia="ru-RU"/>
        </w:rPr>
        <w:br/>
        <w:t>о размещении заказов на поставки товаров, выполнение работ, оказание услуг (</w:t>
      </w:r>
      <w:hyperlink r:id="rId216" w:history="1">
        <w:r>
          <w:rPr>
            <w:rFonts w:ascii="Times New Roman" w:eastAsia="Times New Roman" w:hAnsi="Times New Roman"/>
            <w:color w:val="000000" w:themeColor="text1"/>
            <w:sz w:val="28"/>
            <w:szCs w:val="28"/>
            <w:lang w:eastAsia="ru-RU"/>
          </w:rPr>
          <w:t>www.zakupki.gov.ru</w:t>
        </w:r>
      </w:hyperlink>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Особое внимание уделялось новому направлению деятельности Федерального казначейства – контролю и надзору в финансово-бюджетной сфере и внешнему контролю качества работы аудиторских организаций. Данная функция была передана Федеральному казначейству Указом Президента № 41 от Федеральной службы финансово-бюджетного надзора.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2016 году в федеральных и региональных СМИ опубликовано более 70 статей сотрудников ЦАФК и ТОФК. Большинство статей сотрудников Федерального казначейства публикуются в журналах «Финансы», «Финансовый вестник», «Бюджет», «Бюджетный учет», а также </w:t>
      </w:r>
      <w:r>
        <w:rPr>
          <w:rFonts w:ascii="Times New Roman" w:eastAsia="Times New Roman" w:hAnsi="Times New Roman"/>
          <w:color w:val="000000" w:themeColor="text1"/>
          <w:sz w:val="28"/>
          <w:szCs w:val="28"/>
          <w:lang w:eastAsia="ru-RU"/>
        </w:rPr>
        <w:br/>
        <w:t>в региональных СМИ.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еженедельной основе проводился мониторинг СМИ на предмет упоминания о Федеральном казначействе и руководстве Федерального казначейства, что позволяет своевременно отслеживать позитивные </w:t>
      </w:r>
      <w:r>
        <w:rPr>
          <w:rFonts w:ascii="Times New Roman" w:eastAsia="Times New Roman" w:hAnsi="Times New Roman"/>
          <w:color w:val="000000" w:themeColor="text1"/>
          <w:sz w:val="28"/>
          <w:szCs w:val="28"/>
          <w:lang w:eastAsia="ru-RU"/>
        </w:rPr>
        <w:br/>
        <w:t>и негативные упоминания о запрашиваемых объектах, оперативно на них реагировать и регулировать качественные показатели данных мониторингов. Мониторинг проводился с помощью компании «</w:t>
      </w:r>
      <w:proofErr w:type="spellStart"/>
      <w:r>
        <w:rPr>
          <w:rFonts w:ascii="Times New Roman" w:eastAsia="Times New Roman" w:hAnsi="Times New Roman"/>
          <w:color w:val="000000" w:themeColor="text1"/>
          <w:sz w:val="28"/>
          <w:szCs w:val="28"/>
          <w:lang w:eastAsia="ru-RU"/>
        </w:rPr>
        <w:t>Интегрум</w:t>
      </w:r>
      <w:proofErr w:type="spellEnd"/>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Изменение функционала и структуры Федерального казначейства, связанное с реорганизацией </w:t>
      </w:r>
      <w:proofErr w:type="spellStart"/>
      <w:r>
        <w:rPr>
          <w:rFonts w:ascii="Times New Roman" w:eastAsia="Times New Roman" w:hAnsi="Times New Roman"/>
          <w:color w:val="000000" w:themeColor="text1"/>
          <w:sz w:val="28"/>
          <w:szCs w:val="28"/>
          <w:lang w:eastAsia="ru-RU"/>
        </w:rPr>
        <w:t>Росфиннадзора</w:t>
      </w:r>
      <w:proofErr w:type="spellEnd"/>
      <w:r>
        <w:rPr>
          <w:rFonts w:ascii="Times New Roman" w:eastAsia="Times New Roman" w:hAnsi="Times New Roman"/>
          <w:color w:val="000000" w:themeColor="text1"/>
          <w:sz w:val="28"/>
          <w:szCs w:val="28"/>
          <w:lang w:eastAsia="ru-RU"/>
        </w:rPr>
        <w:t xml:space="preserve">, нашло свое отражение </w:t>
      </w:r>
      <w:r>
        <w:rPr>
          <w:rFonts w:ascii="Times New Roman" w:eastAsia="Times New Roman" w:hAnsi="Times New Roman"/>
          <w:color w:val="000000" w:themeColor="text1"/>
          <w:sz w:val="28"/>
          <w:szCs w:val="28"/>
          <w:lang w:eastAsia="ru-RU"/>
        </w:rPr>
        <w:br/>
        <w:t xml:space="preserve">и на Официальном сайте </w:t>
      </w:r>
      <w:hyperlink r:id="rId217" w:history="1">
        <w:r>
          <w:rPr>
            <w:rFonts w:ascii="Times New Roman" w:eastAsia="Times New Roman" w:hAnsi="Times New Roman"/>
            <w:color w:val="000000" w:themeColor="text1"/>
            <w:sz w:val="28"/>
            <w:szCs w:val="28"/>
            <w:lang w:val="en-US" w:eastAsia="ru-RU"/>
          </w:rPr>
          <w:t>www</w:t>
        </w:r>
        <w:r>
          <w:rPr>
            <w:rFonts w:ascii="Times New Roman" w:eastAsia="Times New Roman" w:hAnsi="Times New Roman"/>
            <w:color w:val="000000" w:themeColor="text1"/>
            <w:sz w:val="28"/>
            <w:szCs w:val="28"/>
            <w:lang w:eastAsia="ru-RU"/>
          </w:rPr>
          <w:t>.</w:t>
        </w:r>
        <w:r>
          <w:rPr>
            <w:rFonts w:ascii="Times New Roman" w:eastAsia="Times New Roman" w:hAnsi="Times New Roman"/>
            <w:color w:val="000000" w:themeColor="text1"/>
            <w:sz w:val="28"/>
            <w:szCs w:val="28"/>
            <w:lang w:val="en-US" w:eastAsia="ru-RU"/>
          </w:rPr>
          <w:t>roskazna</w:t>
        </w:r>
        <w:r>
          <w:rPr>
            <w:rFonts w:ascii="Times New Roman" w:eastAsia="Times New Roman" w:hAnsi="Times New Roman"/>
            <w:color w:val="000000" w:themeColor="text1"/>
            <w:sz w:val="28"/>
            <w:szCs w:val="28"/>
            <w:lang w:eastAsia="ru-RU"/>
          </w:rPr>
          <w:t>.</w:t>
        </w:r>
        <w:r>
          <w:rPr>
            <w:rFonts w:ascii="Times New Roman" w:eastAsia="Times New Roman" w:hAnsi="Times New Roman"/>
            <w:color w:val="000000" w:themeColor="text1"/>
            <w:sz w:val="28"/>
            <w:szCs w:val="28"/>
            <w:lang w:val="en-US" w:eastAsia="ru-RU"/>
          </w:rPr>
          <w:t>ru</w:t>
        </w:r>
      </w:hyperlink>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были созданы</w:t>
      </w:r>
      <w:r>
        <w:rPr>
          <w:rFonts w:ascii="Times New Roman" w:eastAsia="Times New Roman" w:hAnsi="Times New Roman"/>
          <w:color w:val="000000" w:themeColor="text1"/>
          <w:sz w:val="28"/>
          <w:szCs w:val="28"/>
          <w:lang w:eastAsia="ru-RU"/>
        </w:rPr>
        <w:br/>
      </w:r>
      <w:r>
        <w:rPr>
          <w:rFonts w:ascii="Times New Roman" w:eastAsia="Times New Roman" w:hAnsi="Times New Roman"/>
          <w:color w:val="000000" w:themeColor="text1"/>
          <w:sz w:val="28"/>
          <w:szCs w:val="28"/>
          <w:lang w:eastAsia="ru-RU"/>
        </w:rPr>
        <w:lastRenderedPageBreak/>
        <w:t xml:space="preserve">и структурированы новые информационные блоки, отражающие все аспекты деятельности образованных в ведомстве структурных единиц. Также внесены соответствующие изменения в нормативные акты Федерального казначейства. Обеспечивается регулярное информационное наполнение Официального сайта </w:t>
      </w:r>
      <w:hyperlink r:id="rId218" w:history="1">
        <w:r>
          <w:rPr>
            <w:rFonts w:ascii="Times New Roman" w:eastAsia="Times New Roman" w:hAnsi="Times New Roman"/>
            <w:color w:val="000000" w:themeColor="text1"/>
            <w:sz w:val="28"/>
            <w:szCs w:val="28"/>
            <w:lang w:val="en-US" w:eastAsia="ru-RU"/>
          </w:rPr>
          <w:t>www</w:t>
        </w:r>
        <w:r>
          <w:rPr>
            <w:rFonts w:ascii="Times New Roman" w:eastAsia="Times New Roman" w:hAnsi="Times New Roman"/>
            <w:color w:val="000000" w:themeColor="text1"/>
            <w:sz w:val="28"/>
            <w:szCs w:val="28"/>
            <w:lang w:eastAsia="ru-RU"/>
          </w:rPr>
          <w:t>.</w:t>
        </w:r>
        <w:proofErr w:type="spellStart"/>
        <w:r>
          <w:rPr>
            <w:rFonts w:ascii="Times New Roman" w:eastAsia="Times New Roman" w:hAnsi="Times New Roman"/>
            <w:color w:val="000000" w:themeColor="text1"/>
            <w:sz w:val="28"/>
            <w:szCs w:val="28"/>
            <w:lang w:val="en-US" w:eastAsia="ru-RU"/>
          </w:rPr>
          <w:t>roskazna</w:t>
        </w:r>
        <w:proofErr w:type="spellEnd"/>
        <w:r>
          <w:rPr>
            <w:rFonts w:ascii="Times New Roman" w:eastAsia="Times New Roman" w:hAnsi="Times New Roman"/>
            <w:color w:val="000000" w:themeColor="text1"/>
            <w:sz w:val="28"/>
            <w:szCs w:val="28"/>
            <w:lang w:eastAsia="ru-RU"/>
          </w:rPr>
          <w:t>.</w:t>
        </w:r>
        <w:proofErr w:type="spellStart"/>
        <w:r>
          <w:rPr>
            <w:rFonts w:ascii="Times New Roman" w:eastAsia="Times New Roman" w:hAnsi="Times New Roman"/>
            <w:color w:val="000000" w:themeColor="text1"/>
            <w:sz w:val="28"/>
            <w:szCs w:val="28"/>
            <w:lang w:val="en-US" w:eastAsia="ru-RU"/>
          </w:rPr>
          <w:t>ru</w:t>
        </w:r>
        <w:proofErr w:type="spellEnd"/>
      </w:hyperlink>
      <w:r>
        <w:rPr>
          <w:rFonts w:ascii="Times New Roman" w:eastAsia="Times New Roman" w:hAnsi="Times New Roman"/>
          <w:color w:val="000000" w:themeColor="text1"/>
          <w:sz w:val="28"/>
          <w:szCs w:val="28"/>
          <w:lang w:eastAsia="ru-RU"/>
        </w:rPr>
        <w:t xml:space="preserve"> в соответствии</w:t>
      </w:r>
      <w:r>
        <w:rPr>
          <w:rFonts w:ascii="Times New Roman" w:eastAsia="Times New Roman" w:hAnsi="Times New Roman"/>
          <w:color w:val="000000" w:themeColor="text1"/>
          <w:sz w:val="28"/>
          <w:szCs w:val="28"/>
          <w:lang w:eastAsia="ru-RU"/>
        </w:rPr>
        <w:br/>
        <w:t>с требованиями Федерального закона от 9 февраля 2009 г. № 8-ФЗ «Об обеспечении доступа к информации о деятельности государственных органов и органов местного самоуправления».</w:t>
      </w:r>
    </w:p>
    <w:p>
      <w:pPr>
        <w:spacing w:before="120" w:after="120" w:line="360" w:lineRule="exac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5.5.6. Совершенствование организации деятельности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1.</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Обеспечено функционирование органов Федерального казначейства через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1.1.</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Организовано административно-хозяйственное обеспечение ФКУ «ЦОКР» деятельности Федерального казначейства и его территориальных органов.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Сформирована документация по обеспечению деятельности </w:t>
      </w:r>
      <w:r>
        <w:rPr>
          <w:rFonts w:ascii="Times New Roman" w:eastAsia="Times New Roman" w:hAnsi="Times New Roman"/>
          <w:color w:val="000000" w:themeColor="text1"/>
          <w:sz w:val="28"/>
          <w:szCs w:val="28"/>
          <w:lang w:eastAsia="ru-RU"/>
        </w:rPr>
        <w:br/>
        <w:t>ФКУ «ЦОКР» в качестве государственного заказчика, размещение заказов на поставку товаров, выполнение работ, оказание услуг и заключение государственных контрактов в части переданных полномочий:</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ЦАФК, УФК по г. Москве, УФК по Московской области, МОУ ФК – </w:t>
      </w:r>
      <w:r>
        <w:rPr>
          <w:rFonts w:ascii="Times New Roman" w:eastAsia="Times New Roman" w:hAnsi="Times New Roman"/>
          <w:color w:val="000000" w:themeColor="text1"/>
          <w:sz w:val="28"/>
          <w:szCs w:val="28"/>
          <w:lang w:eastAsia="ru-RU"/>
        </w:rPr>
        <w:br/>
        <w:t>в полном объеме, за исключением почтовых услуг, услуг фельдъегерской связи и закупки товаров, работ, услуг в сфере информационно-коммуникационных технологий;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УФК по г. Севастополю и УФК по Республике Крым</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в полном объеме;</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УФК по Владимирской области, УФК по Ивановской области, УФК по Ярославской области: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техническое обслуживание зданий и прилегающих территорий;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оказание </w:t>
      </w:r>
      <w:proofErr w:type="spellStart"/>
      <w:r>
        <w:rPr>
          <w:rFonts w:ascii="Times New Roman" w:eastAsia="Times New Roman" w:hAnsi="Times New Roman"/>
          <w:color w:val="000000" w:themeColor="text1"/>
          <w:sz w:val="28"/>
          <w:szCs w:val="28"/>
          <w:lang w:eastAsia="ru-RU"/>
        </w:rPr>
        <w:t>клининговых</w:t>
      </w:r>
      <w:proofErr w:type="spellEnd"/>
      <w:r>
        <w:rPr>
          <w:rFonts w:ascii="Times New Roman" w:eastAsia="Times New Roman" w:hAnsi="Times New Roman"/>
          <w:color w:val="000000" w:themeColor="text1"/>
          <w:sz w:val="28"/>
          <w:szCs w:val="28"/>
          <w:lang w:eastAsia="ru-RU"/>
        </w:rPr>
        <w:t xml:space="preserve"> услуг;</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вывоз твердых бытовых отходов;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обеспечение транспортных услуг;</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обучение;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техническое обслуживание информационных систем;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текущий ремонт;</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хозяйственные товары;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обеспечение штатным персоналом филиалов (отделов филиалов) ФКУ «ЦОКР» УФК в субъектах Российской Федерации услуг по уборке, обслуживанию технической эксплуатации и обслуживанию водительским </w:t>
      </w:r>
      <w:r>
        <w:rPr>
          <w:rFonts w:ascii="Times New Roman" w:eastAsia="Times New Roman" w:hAnsi="Times New Roman"/>
          <w:color w:val="000000" w:themeColor="text1"/>
          <w:sz w:val="28"/>
          <w:szCs w:val="28"/>
          <w:lang w:eastAsia="ru-RU"/>
        </w:rPr>
        <w:lastRenderedPageBreak/>
        <w:t>персоналом в соответствии с условиями соглашений об особенностях обеспечения, заключенных с ТОФК.</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Организована работа по проведению централизованных закупок </w:t>
      </w:r>
      <w:r>
        <w:rPr>
          <w:rFonts w:ascii="Times New Roman" w:eastAsia="Times New Roman" w:hAnsi="Times New Roman"/>
          <w:color w:val="000000" w:themeColor="text1"/>
          <w:sz w:val="28"/>
          <w:szCs w:val="28"/>
          <w:lang w:eastAsia="ru-RU"/>
        </w:rPr>
        <w:br/>
        <w:t xml:space="preserve">(для нужд филиалов в субъектах Российской Федерации, включая нужды ЦАФК, ТОФК) горюче-смазочных материалов, полисов обязательного страхования автогражданской ответственности, услуг связи (ведомственная транспортная сеть, доступ в интернет, мобильная связь), услуг почтовой связи, обучения работников, услуг по медицинским осмотрам водителей </w:t>
      </w:r>
      <w:r>
        <w:rPr>
          <w:rFonts w:ascii="Times New Roman" w:eastAsia="Times New Roman" w:hAnsi="Times New Roman"/>
          <w:color w:val="000000" w:themeColor="text1"/>
          <w:sz w:val="28"/>
          <w:szCs w:val="28"/>
          <w:lang w:eastAsia="ru-RU"/>
        </w:rPr>
        <w:br/>
        <w:t>и передаче функций контрактной службы с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1.2. Осуществлено составление проекта бюджетной сметы ФКУ «ЦОКР» на основании обобщенных расчетов расходов на 2017 год (2018–2019 годы).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Сформирована бюджетная смета на основании ЛБО, доведенных Федеральным казначейством, в том числе по функции административно- хозяйственного обеспечения на 2016 год (2017–2018 годы).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Осуществлено ведение бюджетного учета и формирование бюджетной отчетности по исполнению бюджетной сметы ФКУ «ЦОКР», </w:t>
      </w:r>
      <w:r>
        <w:rPr>
          <w:rFonts w:ascii="Times New Roman" w:eastAsia="Times New Roman" w:hAnsi="Times New Roman"/>
          <w:color w:val="000000" w:themeColor="text1"/>
          <w:sz w:val="28"/>
          <w:szCs w:val="28"/>
          <w:lang w:eastAsia="ru-RU"/>
        </w:rPr>
        <w:br/>
        <w:t>в том числе по функции административно-хозяйственного обеспечения, переданным ФКУ «ЦОКР».</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1.3. Разработаны и утверждены правовые акты по передаче функции административно-хозяйственного обеспечения, финансового обеспечения по главе 100 «Федеральное казначейство» в ФКУ «ЦОКР» и организации работы ФКУ «ЦОКР»:</w:t>
      </w:r>
    </w:p>
    <w:p>
      <w:pPr>
        <w:spacing w:after="0" w:line="360" w:lineRule="atLeast"/>
        <w:ind w:firstLine="709"/>
        <w:contextualSpacing/>
        <w:jc w:val="both"/>
        <w:textAlignment w:val="baseline"/>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Федерального казначейства от 18 апреля 2016 г. № 92 «Об организации работы по реализации частей 5 и 10 статьи 26 Федерального закона от 5 апреля 2013 г. № 44-ФЗ «О контрактной системе </w:t>
      </w:r>
      <w:r>
        <w:rPr>
          <w:rFonts w:ascii="Times New Roman" w:eastAsia="Times New Roman" w:hAnsi="Times New Roman"/>
          <w:color w:val="000000" w:themeColor="text1"/>
          <w:sz w:val="28"/>
          <w:szCs w:val="28"/>
          <w:lang w:eastAsia="ru-RU"/>
        </w:rPr>
        <w:br/>
        <w:t xml:space="preserve">в сфере закупок товаров, работ, услуг для обеспечения государственных </w:t>
      </w:r>
      <w:r>
        <w:rPr>
          <w:rFonts w:ascii="Times New Roman" w:eastAsia="Times New Roman" w:hAnsi="Times New Roman"/>
          <w:color w:val="000000" w:themeColor="text1"/>
          <w:sz w:val="28"/>
          <w:szCs w:val="28"/>
          <w:lang w:eastAsia="ru-RU"/>
        </w:rPr>
        <w:br/>
        <w:t>и муниципальных нужд»;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План мероприятий «Дорожная карта» организации работы </w:t>
      </w:r>
      <w:r>
        <w:rPr>
          <w:rFonts w:ascii="Times New Roman" w:eastAsia="Times New Roman" w:hAnsi="Times New Roman"/>
          <w:color w:val="000000" w:themeColor="text1"/>
          <w:sz w:val="28"/>
          <w:szCs w:val="28"/>
          <w:lang w:eastAsia="ru-RU"/>
        </w:rPr>
        <w:br/>
        <w:t xml:space="preserve">по передаче территориальными органами Федерального казначейства функций по обеспечению деятельности федеральному казенному учреждению «Центр по обеспечению деятельности Казначейства России» </w:t>
      </w:r>
      <w:r>
        <w:rPr>
          <w:rFonts w:ascii="Times New Roman" w:eastAsia="Times New Roman" w:hAnsi="Times New Roman"/>
          <w:color w:val="000000" w:themeColor="text1"/>
          <w:sz w:val="28"/>
          <w:szCs w:val="28"/>
          <w:lang w:eastAsia="ru-RU"/>
        </w:rPr>
        <w:br/>
        <w:t>в 2016–2017 годах (утвержден руководителем Федерального казначейства Р.Е. Артюхиным 14 октября 2016 года и доведен до ТОФК и филиалов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План мероприятий «Дорожная карта» организации работы Федерального казначейства и федерального казенного учреждения «Центр по обеспечению деятельности Казначейства России» по передаче обеспечивающих функций в 2016–2017 годах (утвержден руководителем </w:t>
      </w:r>
      <w:r>
        <w:rPr>
          <w:rFonts w:ascii="Times New Roman" w:eastAsia="Times New Roman" w:hAnsi="Times New Roman"/>
          <w:color w:val="000000" w:themeColor="text1"/>
          <w:sz w:val="28"/>
          <w:szCs w:val="28"/>
          <w:lang w:eastAsia="ru-RU"/>
        </w:rPr>
        <w:lastRenderedPageBreak/>
        <w:t xml:space="preserve">Федерального казначейства Р.Е. Артюхиным 21 октября 2016 года </w:t>
      </w:r>
      <w:r>
        <w:rPr>
          <w:rFonts w:ascii="Times New Roman" w:eastAsia="Times New Roman" w:hAnsi="Times New Roman"/>
          <w:color w:val="000000" w:themeColor="text1"/>
          <w:sz w:val="28"/>
          <w:szCs w:val="28"/>
          <w:lang w:eastAsia="ru-RU"/>
        </w:rPr>
        <w:br/>
        <w:t>и доведен до ТОФК и филиалов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Временный регламент ввода в эксплуатацию и эксплуатации информационных систем в Федеральном казначействе» (утвержден заместителем руководителя Федерального казначейства С.Б. </w:t>
      </w:r>
      <w:proofErr w:type="spellStart"/>
      <w:r>
        <w:rPr>
          <w:rFonts w:ascii="Times New Roman" w:hAnsi="Times New Roman"/>
          <w:color w:val="000000" w:themeColor="text1"/>
          <w:sz w:val="28"/>
          <w:szCs w:val="28"/>
        </w:rPr>
        <w:t>Гуральниковым</w:t>
      </w:r>
      <w:proofErr w:type="spellEnd"/>
      <w:r>
        <w:rPr>
          <w:rFonts w:ascii="Times New Roman" w:hAnsi="Times New Roman"/>
          <w:color w:val="000000" w:themeColor="text1"/>
          <w:sz w:val="28"/>
          <w:szCs w:val="28"/>
        </w:rPr>
        <w:t xml:space="preserve"> 15 ноября 2016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Федерального казначейства от 12 декабря 2016 г. № 459 «Об обеспечении Федеральным казенным учреждением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 эксплуатации отдельного прикладного программного обеспечения и информационно-технических сервисов Федерального казначейства»;</w:t>
      </w:r>
    </w:p>
    <w:p>
      <w:pPr>
        <w:spacing w:after="0" w:line="360" w:lineRule="atLeast"/>
        <w:ind w:firstLine="709"/>
        <w:jc w:val="both"/>
        <w:textAlignment w:val="baseline"/>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приказ Федерального казначейства от 15 декабря 2016 г. № 467 «Об обеспечении деятельности Федерального казначейства и его территориальных органов по планированию, начислению и перечислению оплаты труда и других выплат, расчетам с подотчетными лицами Федеральным казенным учреждением «Центр по обеспечению деятельности Казначейства России»;</w:t>
      </w:r>
    </w:p>
    <w:p>
      <w:pPr>
        <w:spacing w:after="0" w:line="360" w:lineRule="atLeast"/>
        <w:ind w:firstLine="709"/>
        <w:contextualSpacing/>
        <w:jc w:val="both"/>
        <w:textAlignment w:val="baseline"/>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ФКУ «ЦОКР» от 4 марта 2016 г. № 25 «О внесении изменений в приложение № 1 к приказу федерального казенного учреждения «Центр по обеспечению деятельности Казначейства России» </w:t>
      </w:r>
      <w:r>
        <w:rPr>
          <w:rFonts w:ascii="Times New Roman" w:eastAsia="Times New Roman" w:hAnsi="Times New Roman"/>
          <w:color w:val="000000" w:themeColor="text1"/>
          <w:sz w:val="28"/>
          <w:szCs w:val="28"/>
          <w:lang w:eastAsia="ru-RU"/>
        </w:rPr>
        <w:br/>
        <w:t>от 30 июня 2015 г. № 48 «Об утверждении Показателей оценки результативности деятельности структурных подразделений федерального казенного учреждения «Центр по обеспечению деятельности Казначейства России» и Порядка их формирования»;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ФКУ «ЦОКР» от 7 апреля 2016 г. № 53 «О внесении изменений в приказ федерального казенного учреждения «Центр </w:t>
      </w:r>
      <w:r>
        <w:rPr>
          <w:rFonts w:ascii="Times New Roman" w:eastAsia="Times New Roman" w:hAnsi="Times New Roman"/>
          <w:color w:val="000000" w:themeColor="text1"/>
          <w:sz w:val="28"/>
          <w:szCs w:val="28"/>
          <w:lang w:eastAsia="ru-RU"/>
        </w:rPr>
        <w:br/>
        <w:t xml:space="preserve">по обеспечению деятельности Казначейства России» от 31 декабря 2014 г. № 166 «Об утверждении Регламента взаимодействия федерального казенного учреждения «Центр по обеспечению деятельности Казначейства России» и филиалов федерального казенного учреждения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 (в части автотранспортного обеспечения);</w:t>
      </w:r>
    </w:p>
    <w:p>
      <w:pPr>
        <w:spacing w:after="0" w:line="360" w:lineRule="atLeast"/>
        <w:ind w:firstLine="709"/>
        <w:jc w:val="both"/>
        <w:textAlignment w:val="baseline"/>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ФКУ «ЦОКР» от 18 апреля 2016 г. № 60 «Об утверждении Регламента взаимодействия центрального аппарата, территориальных органов Федерального казначейства и федерального казенного учреждения «Центр по обеспечению деятельности Казначейства России» (Филиала) </w:t>
      </w:r>
      <w:r>
        <w:rPr>
          <w:rFonts w:ascii="Times New Roman" w:eastAsia="Times New Roman" w:hAnsi="Times New Roman"/>
          <w:color w:val="000000" w:themeColor="text1"/>
          <w:sz w:val="28"/>
          <w:szCs w:val="28"/>
          <w:lang w:eastAsia="ru-RU"/>
        </w:rPr>
        <w:br/>
        <w:t xml:space="preserve">по обеспечению федерального казенного учреждения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 материальными ценностями (товарами), работами, услугами и признании утратившими силу некоторых приказов»;</w:t>
      </w:r>
    </w:p>
    <w:p>
      <w:pPr>
        <w:spacing w:after="0" w:line="360" w:lineRule="atLeast"/>
        <w:ind w:firstLine="709"/>
        <w:jc w:val="both"/>
        <w:textAlignment w:val="baseline"/>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приказ ФКУ «ЦОКР» от 25 июля 2016 г. № 166 «О внесении изменений в приказ федерального казенного учреждения «Центр по обеспечению деятельности Казначейства России» от 21 апреля 2015 г. № 26 «Об утверждении Графика документооборота по осуществлению закупок товаров, работ и услуг федерального казенного учреждения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приказ ФКУ «ЦОКР» от 30 декабря 2016 г. № 298 «Об утверждении Положения о порядке ведения </w:t>
      </w:r>
      <w:proofErr w:type="spellStart"/>
      <w:r>
        <w:rPr>
          <w:rFonts w:ascii="Times New Roman" w:eastAsia="Times New Roman" w:hAnsi="Times New Roman"/>
          <w:color w:val="000000" w:themeColor="text1"/>
          <w:sz w:val="28"/>
          <w:szCs w:val="28"/>
          <w:lang w:eastAsia="ru-RU"/>
        </w:rPr>
        <w:t>претензионно</w:t>
      </w:r>
      <w:proofErr w:type="spellEnd"/>
      <w:r>
        <w:rPr>
          <w:rFonts w:ascii="Times New Roman" w:eastAsia="Times New Roman" w:hAnsi="Times New Roman"/>
          <w:color w:val="000000" w:themeColor="text1"/>
          <w:sz w:val="28"/>
          <w:szCs w:val="28"/>
          <w:lang w:eastAsia="ru-RU"/>
        </w:rPr>
        <w:t xml:space="preserve">-исковой работы </w:t>
      </w:r>
      <w:r>
        <w:rPr>
          <w:rFonts w:ascii="Times New Roman" w:eastAsia="Times New Roman" w:hAnsi="Times New Roman"/>
          <w:color w:val="000000" w:themeColor="text1"/>
          <w:sz w:val="28"/>
          <w:szCs w:val="28"/>
          <w:lang w:eastAsia="ru-RU"/>
        </w:rPr>
        <w:br/>
        <w:t>в Федеральном казенном учреждении «Центр по обеспечению деятельности Казначейства России»;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приказ ФКУ «ЦОКР» от 30 декабря 2016 г. № 299 «Об утверждении Положения о порядке правового сопровождения исполнения государственных контрактов в Федеральном казенном учреждении «Центр по обеспечению деятельности Казначейства России».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Разработана единая форма аукционной документации и проектов государственных контрактов для организации закупок в области информационных технологий, в том числе, эксплуатации и сопровождения программного обеспечения.</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2. Обеспечено развитие филиальной сети в субъектах Российской Федерации.</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2.1. В период с июля по октябрь 2016 года в ФКУ «ЦОКР» проведена реорганизация. В настоящее время в состав ФКУ «ЦОКР» входит головное учреждение, 11 филиалов, из них 9 имеют 69 территориальных отделов, расположенных в субъектах Российской Федерации. При этом организована работа по созданию 9 Межрегиональных филиалов: утверждены положения о филиалах, штатная структура и штатное расписание.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2.2. Организована работа в ФКУ «ЦОКР» и Межрегиональных филиалах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Разработаны и направлены для применения в филиалы ФКУ «ЦОКР» в целях организации взаимодействия филиалов с ТОФК следующие документы: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соглашения по особенностям обеспечения административно-хозяйственных функций по техническому обслуживанию и уборке административных зданий прилегающих территорий к административным зданиям (помещениям) ТОФК;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типовой план деятельности Межрегионального филиала, филиала;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проекты типовых государственных контрактов с разбивкой </w:t>
      </w:r>
      <w:r>
        <w:rPr>
          <w:rFonts w:ascii="Times New Roman" w:eastAsia="Times New Roman" w:hAnsi="Times New Roman"/>
          <w:color w:val="000000" w:themeColor="text1"/>
          <w:sz w:val="28"/>
          <w:szCs w:val="28"/>
          <w:lang w:eastAsia="ru-RU"/>
        </w:rPr>
        <w:br/>
        <w:t>по предмету (товары, работы либо услуги) и способам осуществления закупки (конкурентные либо единственный поставщик);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образцы заключенных ФКУ «ЦОКР» государственных контрактов, </w:t>
      </w:r>
      <w:r>
        <w:rPr>
          <w:rFonts w:ascii="Times New Roman" w:eastAsia="Times New Roman" w:hAnsi="Times New Roman"/>
          <w:color w:val="000000" w:themeColor="text1"/>
          <w:sz w:val="28"/>
          <w:szCs w:val="28"/>
          <w:lang w:eastAsia="ru-RU"/>
        </w:rPr>
        <w:br/>
        <w:t>с различными формулировками в части порядка оплаты, гарантийных обязательств;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проект типового технического задания;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иные письма организационного характера.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3. Обеспечено развитие функции по обеспечению централизованного начисления оплаты труда и других выплат персоналу Федерального казначейства через ФКУ «ЦОКР».</w:t>
      </w:r>
    </w:p>
    <w:p>
      <w:pPr>
        <w:spacing w:after="0" w:line="360" w:lineRule="atLeast"/>
        <w:ind w:firstLine="708"/>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Организована работа по начислению и выплате заработной платы </w:t>
      </w:r>
      <w:r>
        <w:rPr>
          <w:rFonts w:ascii="Times New Roman" w:eastAsia="Times New Roman" w:hAnsi="Times New Roman"/>
          <w:color w:val="000000" w:themeColor="text1"/>
          <w:sz w:val="28"/>
          <w:szCs w:val="28"/>
          <w:lang w:eastAsia="ru-RU"/>
        </w:rPr>
        <w:br/>
        <w:t>и других выплат персоналу Федерального казначейства и его территориальных органов с 1 января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принято участие в тестировании ППО на новой технологической платформе, разрабатываемого для ведения финансово-хозяйственной деятельности по главе 100 «Федеральное казначейство»;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созданы отделы централизованного начисления оплаты труда </w:t>
      </w:r>
      <w:r>
        <w:rPr>
          <w:rFonts w:ascii="Times New Roman" w:eastAsia="Times New Roman" w:hAnsi="Times New Roman"/>
          <w:color w:val="000000" w:themeColor="text1"/>
          <w:sz w:val="28"/>
          <w:szCs w:val="28"/>
          <w:lang w:eastAsia="ru-RU"/>
        </w:rPr>
        <w:br/>
        <w:t>и других выплат в Межрегиональных филиалах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обеспечено размещение, оснащение рабочих мест, проведено обучение персонала;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принято участие в разработке организационно-технологической схемы по начислению оплаты труда и других выплат персоналу Федерального казначейства и его территориальных органов на переходный период (1 квартал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ФКУ «ЦОКР» с Федеральным казначейством и ТОФК заключены Соглашения об обеспечении деятельности Федерального казначейства </w:t>
      </w:r>
      <w:r>
        <w:rPr>
          <w:rFonts w:ascii="Times New Roman" w:eastAsia="Times New Roman" w:hAnsi="Times New Roman"/>
          <w:color w:val="000000" w:themeColor="text1"/>
          <w:sz w:val="28"/>
          <w:szCs w:val="28"/>
          <w:lang w:eastAsia="ru-RU"/>
        </w:rPr>
        <w:br/>
        <w:t>или Территориального органа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разработан и утвержден приказ ФКУ «ЦОКР» от 6 декабря 2016 г. № 274 о допуске к обработке персональных данных сотрудников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4. Осуществлен внутренний контроль и аудит в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Организован внутренний контроль «контроль по уровню подчиненности», «самоконтроль» и смежный контроль во всех структурных подразделениях ФКУ «ЦОКР» в соответствии с Положением о внутреннем контроле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Обеспечен мониторинг и анализ оценки результативности деятельности структурных подразделений ФКУ «ЦОКР».</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Осуществлен ежемесячный мониторинг оценки результативности деятельности директора ФКУ «ЦОКР» с последующим направлением результатов в Федеральное казначейство.</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Осуществлен внутренний аудит деятельности структурных подразделений: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в соответствии с графиком проверок на 2016 год проведены 6 проверок, в том числе одна внеплановая. По деятельности отделов: обеспечения средствами связи и защиты информации, методического обеспечения, охраны труда, 2 проверки в филиале по Крымскому Федеральному округу и в Межрегиональном филиале ФКУ «ЦОКР» </w:t>
      </w:r>
      <w:r>
        <w:rPr>
          <w:rFonts w:ascii="Times New Roman" w:eastAsia="Times New Roman" w:hAnsi="Times New Roman"/>
          <w:color w:val="000000" w:themeColor="text1"/>
          <w:sz w:val="28"/>
          <w:szCs w:val="28"/>
          <w:lang w:eastAsia="ru-RU"/>
        </w:rPr>
        <w:br/>
        <w:t>в г. Владимире;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утверждены Карты внутреннего контроля в Межрегиональных филиалах и отделах ФКУ «ЦОКР» на 2017 год;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проведен мониторинг ценовой информации на стадии формирования начальной максимальной цены контракта;</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организована работа по формированию плана мероприятий </w:t>
      </w:r>
      <w:r>
        <w:rPr>
          <w:rFonts w:ascii="Times New Roman" w:eastAsia="Times New Roman" w:hAnsi="Times New Roman"/>
          <w:color w:val="000000" w:themeColor="text1"/>
          <w:sz w:val="28"/>
          <w:szCs w:val="28"/>
          <w:lang w:eastAsia="ru-RU"/>
        </w:rPr>
        <w:br/>
        <w:t>по устранению нарушений, отмеченных в актах проверки ФКУ «ЦОКР» контролирующими органами (Счетной палатой Российской Федерации – март 2016 года, Федеральным казначейством – апрель 2016 года).</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5.5.7. Организационно-функциональная модель Федерального казначейства</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Разработана перспективная организационно-функциональная модель Федерального казначейства, отражающая ожидаемые в среднесрочной перспективе изменения текущих процессов деятельности Федерального казначейства и предусматривающая передачу обеспечивающих функций Федерального казначейства подведомственному ФКУ «ЦОКР», специализацию ТОФК и создание центров компетенции, а также определяющая иные направления совершенствования деятельности Федерального казначейства.</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Перспективная организационно-функциональная модель, а также разработанная Федеральным казначейством Концепция совершенствования организационно-функциональной структуры Федерального казначейства на период до 2020 года были представлены в Минфин России и рассмотрены на совещании у Первого заместителя Минфина России Т.Г.</w:t>
      </w:r>
      <w:r>
        <w:rPr>
          <w:rFonts w:ascii="Times New Roman" w:eastAsia="Times New Roman" w:hAnsi="Times New Roman"/>
          <w:color w:val="000000" w:themeColor="text1"/>
          <w:sz w:val="28"/>
          <w:szCs w:val="28"/>
          <w:lang w:val="en-US" w:eastAsia="ru-RU"/>
        </w:rPr>
        <w:t> </w:t>
      </w:r>
      <w:r>
        <w:rPr>
          <w:rFonts w:ascii="Times New Roman" w:eastAsia="Times New Roman" w:hAnsi="Times New Roman"/>
          <w:color w:val="000000" w:themeColor="text1"/>
          <w:sz w:val="28"/>
          <w:szCs w:val="28"/>
          <w:lang w:eastAsia="ru-RU"/>
        </w:rPr>
        <w:t>Нестеренко.</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Мероприятия, направленные на переход к перспективной организационно-функциональной модели Федерального казначейства</w:t>
      </w:r>
      <w:r>
        <w:rPr>
          <w:rFonts w:ascii="Times New Roman" w:eastAsia="Times New Roman" w:hAnsi="Times New Roman"/>
          <w:color w:val="000000" w:themeColor="text1"/>
          <w:sz w:val="28"/>
          <w:szCs w:val="28"/>
          <w:lang w:eastAsia="ru-RU"/>
        </w:rPr>
        <w:br/>
        <w:t>и обеспечивающие реализацию положений Концепции, проводились в 2016 году по отдельным планам.</w:t>
      </w:r>
    </w:p>
    <w:p>
      <w:pPr>
        <w:pageBreakBefore/>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5.5.8. Обеспечение судебной защиты</w:t>
      </w:r>
    </w:p>
    <w:p>
      <w:pPr>
        <w:pStyle w:val="a5"/>
        <w:spacing w:before="120" w:after="120" w:line="240" w:lineRule="auto"/>
        <w:ind w:left="0" w:firstLine="709"/>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5.5.8.1. Представление в судах интересов Министерства финансов Российской Федерации, а также Правительства Российской Федерации в случаях, когда представление его интересов поручено Министерству финансов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Всего за 2016 год в арбитражных судах, судах общей юрисдикции, </w:t>
      </w:r>
      <w:r>
        <w:rPr>
          <w:rFonts w:ascii="Times New Roman" w:eastAsia="Times New Roman" w:hAnsi="Times New Roman"/>
          <w:color w:val="000000" w:themeColor="text1"/>
          <w:sz w:val="28"/>
          <w:szCs w:val="28"/>
          <w:lang w:eastAsia="ru-RU"/>
        </w:rPr>
        <w:br/>
        <w:t>а также у мировых судей с участием ТОФК в качестве представителей Минфина России предъявлены 20 014 требований на общую сумму 51 982 145 959,47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Общее количество судебных заседаний, прошедших с фактическим участием сотрудников ТОФК, составило 42 425 судебных заседаний.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результатам рассмотрения указанных дел вынесены решения: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 отказе в удовлетворении требований к Минфину России по 8 366 делам на общую сумму 21 494 254 972,74 рублей;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 удовлетворении требований к Минфину России по 7 984 делам </w:t>
      </w:r>
      <w:r>
        <w:rPr>
          <w:rFonts w:ascii="Times New Roman" w:eastAsia="Times New Roman" w:hAnsi="Times New Roman"/>
          <w:color w:val="000000" w:themeColor="text1"/>
          <w:sz w:val="28"/>
          <w:szCs w:val="28"/>
          <w:lang w:eastAsia="ru-RU"/>
        </w:rPr>
        <w:br/>
        <w:t>на общую сумму 968 059 527,99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об удовлетворении требований о взыскании денежных средств </w:t>
      </w:r>
      <w:r>
        <w:rPr>
          <w:rFonts w:ascii="Times New Roman" w:eastAsia="Times New Roman" w:hAnsi="Times New Roman"/>
          <w:color w:val="000000" w:themeColor="text1"/>
          <w:sz w:val="28"/>
          <w:szCs w:val="28"/>
          <w:lang w:eastAsia="ru-RU"/>
        </w:rPr>
        <w:br/>
        <w:t xml:space="preserve">за счет казны Российской Федерации с других государственных органов </w:t>
      </w:r>
      <w:r>
        <w:rPr>
          <w:rFonts w:ascii="Times New Roman" w:eastAsia="Times New Roman" w:hAnsi="Times New Roman"/>
          <w:color w:val="000000" w:themeColor="text1"/>
          <w:sz w:val="28"/>
          <w:szCs w:val="28"/>
          <w:lang w:eastAsia="ru-RU"/>
        </w:rPr>
        <w:br/>
        <w:t>по 1 545 делам на общую сумму 122 984 301,51 рублей.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Вместе с этим в 2016 году ТОФК от имени Минфина России было подано 356 исковых заявлений о взыскании денежных средств в порядке регресса на общую сумму 78 453 289,90 рублей. </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По результатам рассмотрения указанных заявлений были вынесены решения об удовлетворении требований Минфина России по 230 делам, сумма удовлетворенных требований по ним составила 22 990 430,74 рублей.</w:t>
      </w:r>
    </w:p>
    <w:p>
      <w:pPr>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5.5.8.2. Представление в судах интересов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Всего за 2016 год в арбитражных судах, судах общей юрисдикции, </w:t>
      </w:r>
      <w:r>
        <w:rPr>
          <w:rFonts w:ascii="Times New Roman" w:eastAsia="Times New Roman" w:hAnsi="Times New Roman"/>
          <w:color w:val="000000" w:themeColor="text1"/>
          <w:sz w:val="28"/>
          <w:szCs w:val="28"/>
          <w:lang w:eastAsia="ru-RU"/>
        </w:rPr>
        <w:br/>
        <w:t xml:space="preserve">а также у мировых судей с участием ТОКФ были рассмотрены 1 013 дел, </w:t>
      </w:r>
      <w:r>
        <w:rPr>
          <w:rFonts w:ascii="Times New Roman" w:eastAsia="Times New Roman" w:hAnsi="Times New Roman"/>
          <w:color w:val="000000" w:themeColor="text1"/>
          <w:sz w:val="28"/>
          <w:szCs w:val="28"/>
          <w:lang w:eastAsia="ru-RU"/>
        </w:rPr>
        <w:br/>
        <w:t>не связанных с представлением интересов Минфина России, в которых ТОФК выступали в качестве истца (86 дел) или ответчика (927 дел), а также 1546 дел, в которых ТОФК выступали в качестве третьего лица.</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Общее количество назначенных судебных заседаний по всем делам составило 7 192 судебных заседания, из которых 5 293 судебных заседания прошли с фактическим участием сотрудников юридических отделов ТОФК и ФКУ «ЦОКР».</w:t>
      </w: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5.5.8.3. Информация о результатах рассмотрения исков, предъявленных органами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результатам рассмотрения 86 требований, предъявленных органами Федерального казначейства, вынесены решения </w:t>
      </w:r>
      <w:r>
        <w:rPr>
          <w:rFonts w:ascii="Times New Roman" w:eastAsia="Times New Roman" w:hAnsi="Times New Roman"/>
          <w:color w:val="000000" w:themeColor="text1"/>
          <w:sz w:val="28"/>
          <w:szCs w:val="28"/>
          <w:lang w:eastAsia="ru-RU"/>
        </w:rPr>
        <w:br/>
        <w:t xml:space="preserve">об удовлетворении заявленных требований (полностью или частично) </w:t>
      </w:r>
      <w:r>
        <w:rPr>
          <w:rFonts w:ascii="Times New Roman" w:eastAsia="Times New Roman" w:hAnsi="Times New Roman"/>
          <w:color w:val="000000" w:themeColor="text1"/>
          <w:sz w:val="28"/>
          <w:szCs w:val="28"/>
          <w:lang w:eastAsia="ru-RU"/>
        </w:rPr>
        <w:br/>
        <w:t>по 60 делам.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Требования имущественного характера были заявлены по 50 делам. По результатам рассмотрения указанных требований были вынесены решения об удовлетворении заявленных требований по 43 делам, сумма взысканных денежных средств по решению судов в доход федерального бюджета составила 9 191 309,38 рублей.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Основными видами взысканий по всем категориям дел, из которых складывается общая сумма взыскания, являются: </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w:t>
      </w:r>
      <w:r>
        <w:rPr>
          <w:rFonts w:ascii="Times New Roman" w:hAnsi="Times New Roman"/>
          <w:bCs/>
          <w:color w:val="000000" w:themeColor="text1"/>
          <w:kern w:val="24"/>
          <w:sz w:val="28"/>
          <w:szCs w:val="28"/>
          <w:lang w:eastAsia="ru-RU"/>
        </w:rPr>
        <w:t>выплаты за неисполнение или ненадлежащее исполнение обязательств по договорам и государственным контрактам, включая штрафы, пени;</w:t>
      </w:r>
    </w:p>
    <w:p>
      <w:pPr>
        <w:tabs>
          <w:tab w:val="left" w:pos="993"/>
        </w:tabs>
        <w:spacing w:after="0" w:line="360" w:lineRule="atLeast"/>
        <w:ind w:firstLine="709"/>
        <w:jc w:val="both"/>
        <w:rPr>
          <w:rFonts w:ascii="Times New Roman" w:hAnsi="Times New Roman"/>
          <w:bCs/>
          <w:color w:val="000000" w:themeColor="text1"/>
          <w:kern w:val="24"/>
          <w:sz w:val="28"/>
          <w:szCs w:val="28"/>
          <w:lang w:eastAsia="ru-RU"/>
        </w:rPr>
      </w:pPr>
      <w:r>
        <w:rPr>
          <w:rFonts w:ascii="Times New Roman" w:eastAsia="Times New Roman" w:hAnsi="Times New Roman"/>
          <w:color w:val="000000" w:themeColor="text1"/>
          <w:sz w:val="28"/>
          <w:szCs w:val="28"/>
          <w:lang w:eastAsia="ru-RU"/>
        </w:rPr>
        <w:t>– в</w:t>
      </w:r>
      <w:r>
        <w:rPr>
          <w:rFonts w:ascii="Times New Roman" w:hAnsi="Times New Roman"/>
          <w:bCs/>
          <w:color w:val="000000" w:themeColor="text1"/>
          <w:kern w:val="24"/>
          <w:sz w:val="28"/>
          <w:szCs w:val="28"/>
          <w:lang w:eastAsia="ru-RU"/>
        </w:rPr>
        <w:t>озмещение вреда, причиненного в результате ДТП;</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bCs/>
          <w:color w:val="000000" w:themeColor="text1"/>
          <w:kern w:val="24"/>
          <w:sz w:val="28"/>
          <w:szCs w:val="28"/>
          <w:lang w:eastAsia="ru-RU"/>
        </w:rPr>
        <w:t>–</w:t>
      </w:r>
      <w:r>
        <w:rPr>
          <w:rFonts w:ascii="Times New Roman" w:hAnsi="Times New Roman"/>
          <w:bCs/>
          <w:color w:val="000000" w:themeColor="text1"/>
          <w:kern w:val="24"/>
          <w:sz w:val="28"/>
          <w:szCs w:val="28"/>
          <w:lang w:val="en-US" w:eastAsia="ru-RU"/>
        </w:rPr>
        <w:t> </w:t>
      </w:r>
      <w:r>
        <w:rPr>
          <w:rFonts w:ascii="Times New Roman" w:hAnsi="Times New Roman"/>
          <w:bCs/>
          <w:color w:val="000000" w:themeColor="text1"/>
          <w:kern w:val="24"/>
          <w:sz w:val="28"/>
          <w:szCs w:val="28"/>
          <w:lang w:eastAsia="ru-RU"/>
        </w:rPr>
        <w:t>возмещение судебных расходов;</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bCs/>
          <w:color w:val="000000" w:themeColor="text1"/>
          <w:kern w:val="24"/>
          <w:sz w:val="28"/>
          <w:szCs w:val="28"/>
          <w:lang w:eastAsia="ru-RU"/>
        </w:rPr>
        <w:t>–</w:t>
      </w:r>
      <w:r>
        <w:rPr>
          <w:rFonts w:ascii="Times New Roman" w:hAnsi="Times New Roman"/>
          <w:bCs/>
          <w:color w:val="000000" w:themeColor="text1"/>
          <w:kern w:val="24"/>
          <w:sz w:val="28"/>
          <w:szCs w:val="28"/>
          <w:lang w:val="en-US" w:eastAsia="ru-RU"/>
        </w:rPr>
        <w:t> </w:t>
      </w:r>
      <w:r>
        <w:rPr>
          <w:rFonts w:ascii="Times New Roman" w:hAnsi="Times New Roman"/>
          <w:bCs/>
          <w:color w:val="000000" w:themeColor="text1"/>
          <w:kern w:val="24"/>
          <w:sz w:val="28"/>
          <w:szCs w:val="28"/>
          <w:lang w:eastAsia="ru-RU"/>
        </w:rPr>
        <w:t>возмещение ущерба, причиненного в результате преступления;</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bCs/>
          <w:color w:val="000000" w:themeColor="text1"/>
          <w:kern w:val="24"/>
          <w:sz w:val="28"/>
          <w:szCs w:val="28"/>
          <w:lang w:eastAsia="ru-RU"/>
        </w:rPr>
        <w:t>–</w:t>
      </w:r>
      <w:r>
        <w:rPr>
          <w:rFonts w:ascii="Times New Roman" w:hAnsi="Times New Roman"/>
          <w:bCs/>
          <w:color w:val="000000" w:themeColor="text1"/>
          <w:kern w:val="24"/>
          <w:sz w:val="28"/>
          <w:szCs w:val="28"/>
          <w:lang w:val="en-US" w:eastAsia="ru-RU"/>
        </w:rPr>
        <w:t> </w:t>
      </w:r>
      <w:r>
        <w:rPr>
          <w:rFonts w:ascii="Times New Roman" w:hAnsi="Times New Roman"/>
          <w:bCs/>
          <w:color w:val="000000" w:themeColor="text1"/>
          <w:kern w:val="24"/>
          <w:sz w:val="28"/>
          <w:szCs w:val="28"/>
          <w:lang w:eastAsia="ru-RU"/>
        </w:rPr>
        <w:t>поворот исполнения судебного акта.</w:t>
      </w:r>
    </w:p>
    <w:p>
      <w:pPr>
        <w:tabs>
          <w:tab w:val="left" w:pos="993"/>
        </w:tabs>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Соотношение взысканных сумм по ТОФК представлено в таблице 24.</w:t>
      </w:r>
    </w:p>
    <w:p>
      <w:pPr>
        <w:spacing w:before="12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Таблица 24</w:t>
      </w:r>
    </w:p>
    <w:tbl>
      <w:tblPr>
        <w:tblW w:w="5000" w:type="pct"/>
        <w:jc w:val="center"/>
        <w:tblCellMar>
          <w:left w:w="0" w:type="dxa"/>
          <w:right w:w="0" w:type="dxa"/>
        </w:tblCellMar>
        <w:tblLook w:val="04A0" w:firstRow="1" w:lastRow="0" w:firstColumn="1" w:lastColumn="0" w:noHBand="0" w:noVBand="1"/>
      </w:tblPr>
      <w:tblGrid>
        <w:gridCol w:w="6683"/>
        <w:gridCol w:w="2672"/>
      </w:tblGrid>
      <w:tr>
        <w:trPr>
          <w:trHeight w:val="558"/>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hAnsi="Times New Roman"/>
                <w:b/>
                <w:bCs/>
                <w:color w:val="000000" w:themeColor="text1"/>
                <w:kern w:val="24"/>
                <w:sz w:val="24"/>
                <w:szCs w:val="24"/>
              </w:rPr>
              <w:t>Вид взыскания</w:t>
            </w:r>
          </w:p>
        </w:tc>
        <w:tc>
          <w:tcPr>
            <w:tcW w:w="1428"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hAnsi="Times New Roman"/>
                <w:b/>
                <w:bCs/>
                <w:color w:val="000000" w:themeColor="text1"/>
                <w:kern w:val="24"/>
                <w:sz w:val="24"/>
                <w:szCs w:val="24"/>
              </w:rPr>
              <w:t>Размер взыскания (рублей)</w:t>
            </w:r>
          </w:p>
        </w:tc>
      </w:tr>
      <w:tr>
        <w:trPr>
          <w:trHeight w:val="846"/>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tLeast"/>
              <w:rPr>
                <w:rFonts w:ascii="Times New Roman" w:hAnsi="Times New Roman"/>
                <w:color w:val="000000" w:themeColor="text1"/>
                <w:sz w:val="24"/>
                <w:szCs w:val="24"/>
              </w:rPr>
            </w:pPr>
            <w:r>
              <w:rPr>
                <w:rFonts w:ascii="Times New Roman" w:hAnsi="Times New Roman"/>
                <w:bCs/>
                <w:color w:val="000000" w:themeColor="text1"/>
                <w:kern w:val="24"/>
                <w:sz w:val="24"/>
                <w:szCs w:val="24"/>
              </w:rPr>
              <w:t>Выплаты за неисполнение или ненадлежащее исполнение обязательств по договорам и государственным контрактам, включая штрафы, пени и т.д.</w:t>
            </w:r>
          </w:p>
        </w:tc>
        <w:tc>
          <w:tcPr>
            <w:tcW w:w="1428" w:type="pct"/>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tLeast"/>
              <w:jc w:val="right"/>
              <w:rPr>
                <w:rFonts w:ascii="Times New Roman" w:hAnsi="Times New Roman"/>
                <w:b/>
                <w:bCs/>
                <w:color w:val="000000" w:themeColor="text1"/>
                <w:kern w:val="24"/>
                <w:sz w:val="24"/>
                <w:szCs w:val="24"/>
                <w:lang w:eastAsia="ru-RU"/>
              </w:rPr>
            </w:pPr>
            <w:r>
              <w:rPr>
                <w:rFonts w:ascii="Times New Roman" w:hAnsi="Times New Roman"/>
                <w:b/>
                <w:bCs/>
                <w:color w:val="000000" w:themeColor="text1"/>
                <w:kern w:val="24"/>
                <w:sz w:val="24"/>
                <w:szCs w:val="24"/>
                <w:lang w:eastAsia="ru-RU"/>
              </w:rPr>
              <w:t>5 968 400,45</w:t>
            </w:r>
          </w:p>
        </w:tc>
      </w:tr>
      <w:tr>
        <w:trPr>
          <w:trHeight w:val="803"/>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tLeast"/>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Возмещение вреда, причиненного в результате ДТП</w:t>
            </w:r>
          </w:p>
          <w:p>
            <w:pPr>
              <w:spacing w:after="0" w:line="240" w:lineRule="atLeast"/>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 порядке регресса, с работников-водителей УФК и с виновников ДТП)</w:t>
            </w:r>
          </w:p>
        </w:tc>
        <w:tc>
          <w:tcPr>
            <w:tcW w:w="1428" w:type="pct"/>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tLeast"/>
              <w:jc w:val="right"/>
              <w:rPr>
                <w:rFonts w:ascii="Times New Roman" w:hAnsi="Times New Roman"/>
                <w:b/>
                <w:bCs/>
                <w:color w:val="000000" w:themeColor="text1"/>
                <w:kern w:val="24"/>
                <w:sz w:val="24"/>
                <w:szCs w:val="24"/>
                <w:lang w:eastAsia="ru-RU"/>
              </w:rPr>
            </w:pPr>
            <w:r>
              <w:rPr>
                <w:rFonts w:ascii="Times New Roman" w:hAnsi="Times New Roman"/>
                <w:b/>
                <w:bCs/>
                <w:color w:val="000000" w:themeColor="text1"/>
                <w:kern w:val="24"/>
                <w:sz w:val="24"/>
                <w:szCs w:val="24"/>
                <w:lang w:eastAsia="ru-RU"/>
              </w:rPr>
              <w:t>3 122 096,05</w:t>
            </w:r>
          </w:p>
        </w:tc>
      </w:tr>
      <w:tr>
        <w:trPr>
          <w:trHeight w:val="376"/>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tLeast"/>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Судебные расходы</w:t>
            </w:r>
          </w:p>
        </w:tc>
        <w:tc>
          <w:tcPr>
            <w:tcW w:w="1428" w:type="pct"/>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tLeast"/>
              <w:jc w:val="right"/>
              <w:rPr>
                <w:rFonts w:ascii="Times New Roman" w:hAnsi="Times New Roman"/>
                <w:b/>
                <w:bCs/>
                <w:color w:val="000000" w:themeColor="text1"/>
                <w:kern w:val="24"/>
                <w:sz w:val="24"/>
                <w:szCs w:val="24"/>
                <w:lang w:eastAsia="ru-RU"/>
              </w:rPr>
            </w:pPr>
            <w:r>
              <w:rPr>
                <w:rFonts w:ascii="Times New Roman" w:hAnsi="Times New Roman"/>
                <w:b/>
                <w:bCs/>
                <w:color w:val="000000" w:themeColor="text1"/>
                <w:kern w:val="24"/>
                <w:sz w:val="24"/>
                <w:szCs w:val="24"/>
                <w:lang w:eastAsia="ru-RU"/>
              </w:rPr>
              <w:t>80 560,04</w:t>
            </w:r>
          </w:p>
        </w:tc>
      </w:tr>
      <w:tr>
        <w:trPr>
          <w:trHeight w:val="399"/>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tLeast"/>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Возмещение ущерба, причиненного преступлением</w:t>
            </w:r>
          </w:p>
        </w:tc>
        <w:tc>
          <w:tcPr>
            <w:tcW w:w="1428" w:type="pct"/>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tLeast"/>
              <w:jc w:val="right"/>
              <w:rPr>
                <w:rFonts w:ascii="Times New Roman" w:hAnsi="Times New Roman"/>
                <w:b/>
                <w:bCs/>
                <w:color w:val="000000" w:themeColor="text1"/>
                <w:kern w:val="24"/>
                <w:sz w:val="24"/>
                <w:szCs w:val="24"/>
                <w:lang w:eastAsia="ru-RU"/>
              </w:rPr>
            </w:pPr>
            <w:r>
              <w:rPr>
                <w:rFonts w:ascii="Times New Roman" w:hAnsi="Times New Roman"/>
                <w:b/>
                <w:bCs/>
                <w:color w:val="000000" w:themeColor="text1"/>
                <w:kern w:val="24"/>
                <w:sz w:val="24"/>
                <w:szCs w:val="24"/>
                <w:lang w:eastAsia="ru-RU"/>
              </w:rPr>
              <w:t>18 252,84</w:t>
            </w:r>
          </w:p>
        </w:tc>
      </w:tr>
      <w:tr>
        <w:trPr>
          <w:trHeight w:val="380"/>
          <w:jc w:val="center"/>
        </w:trPr>
        <w:tc>
          <w:tcPr>
            <w:tcW w:w="3572" w:type="pct"/>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pPr>
              <w:spacing w:after="0" w:line="240" w:lineRule="atLeast"/>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Поворот исполнения судебного акта</w:t>
            </w:r>
          </w:p>
        </w:tc>
        <w:tc>
          <w:tcPr>
            <w:tcW w:w="1428" w:type="pct"/>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tLeast"/>
              <w:jc w:val="right"/>
              <w:rPr>
                <w:rFonts w:ascii="Times New Roman" w:hAnsi="Times New Roman"/>
                <w:b/>
                <w:bCs/>
                <w:color w:val="000000" w:themeColor="text1"/>
                <w:kern w:val="24"/>
                <w:sz w:val="24"/>
                <w:szCs w:val="24"/>
                <w:lang w:eastAsia="ru-RU"/>
              </w:rPr>
            </w:pPr>
            <w:r>
              <w:rPr>
                <w:rFonts w:ascii="Times New Roman" w:hAnsi="Times New Roman"/>
                <w:b/>
                <w:bCs/>
                <w:color w:val="000000" w:themeColor="text1"/>
                <w:kern w:val="24"/>
                <w:sz w:val="24"/>
                <w:szCs w:val="24"/>
                <w:lang w:eastAsia="ru-RU"/>
              </w:rPr>
              <w:t>2 000</w:t>
            </w:r>
          </w:p>
        </w:tc>
      </w:tr>
    </w:tbl>
    <w:p>
      <w:pPr>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этого, за отчетный период рассмотрены 36 дел по требованиям органов Федерального казначейства, носивших неимущественный характер, в результате рассмотрения которых</w:t>
      </w:r>
      <w:r>
        <w:rPr>
          <w:rFonts w:ascii="Times New Roman" w:eastAsia="Times New Roman" w:hAnsi="Times New Roman"/>
          <w:i/>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вынесены решения об удовлетворении заявленных требований по 17 делам.</w:t>
      </w:r>
    </w:p>
    <w:p>
      <w:pPr>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Основными категориями дел, по которым вынесены решения </w:t>
      </w:r>
      <w:r>
        <w:rPr>
          <w:rFonts w:ascii="Times New Roman" w:eastAsia="Times New Roman" w:hAnsi="Times New Roman"/>
          <w:color w:val="000000" w:themeColor="text1"/>
          <w:sz w:val="28"/>
          <w:szCs w:val="28"/>
          <w:lang w:eastAsia="ru-RU"/>
        </w:rPr>
        <w:br/>
        <w:t>об удовлетворении заявленных требований, являются требования:</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об урегулировании разногласий при заключении государственных контрактов;</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 освобождении нежилых помещений;</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 установлении обязательства устранить недостатки выполненных ремонтных работ;</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об установлении сервитута;</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 признании недействительным представления и предписания;</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 признании недействительным акта проверки Росимущества;</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о признании незаконным требования и постановления судебного пристава-исполнителя;</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о признании незаконным представления следователя об устранении нарушений законодательства.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5.5.8.4. Информация о результатах рассмотрения исков, предъявленных к органам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результатам рассмотрения 927 исков (заявлений), предъявленных </w:t>
      </w:r>
      <w:r>
        <w:rPr>
          <w:rFonts w:ascii="Times New Roman" w:eastAsia="Times New Roman" w:hAnsi="Times New Roman"/>
          <w:color w:val="000000" w:themeColor="text1"/>
          <w:sz w:val="28"/>
          <w:szCs w:val="28"/>
          <w:lang w:eastAsia="ru-RU"/>
        </w:rPr>
        <w:br/>
        <w:t>к ТОФК, вынесены решения об удовлетворении заявленных требований (полностью или частично) по 175 делам, из них:</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обжалованию действий (бездействия) связанных с организацией исполнения судебных актов, исполнительных документов </w:t>
      </w:r>
      <w:r>
        <w:rPr>
          <w:rFonts w:ascii="Times New Roman" w:eastAsia="Times New Roman" w:hAnsi="Times New Roman"/>
          <w:color w:val="000000" w:themeColor="text1"/>
          <w:sz w:val="28"/>
          <w:szCs w:val="28"/>
          <w:lang w:eastAsia="ru-RU"/>
        </w:rPr>
        <w:br/>
        <w:t xml:space="preserve">и решений налоговых органов о взыскании налогов, сборов, пеней </w:t>
      </w:r>
      <w:r>
        <w:rPr>
          <w:rFonts w:ascii="Times New Roman" w:eastAsia="Times New Roman" w:hAnsi="Times New Roman"/>
          <w:color w:val="000000" w:themeColor="text1"/>
          <w:sz w:val="28"/>
          <w:szCs w:val="28"/>
          <w:lang w:eastAsia="ru-RU"/>
        </w:rPr>
        <w:br/>
        <w:t xml:space="preserve">и штрафов – по 70 делам (из 196 рассмотренных); </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взысканию денежных средств, связанных с неисполнением обязательств по договорам, государственным контрактам – по 8 делам </w:t>
      </w:r>
      <w:r>
        <w:rPr>
          <w:rFonts w:ascii="Times New Roman" w:eastAsia="Times New Roman" w:hAnsi="Times New Roman"/>
          <w:color w:val="000000" w:themeColor="text1"/>
          <w:sz w:val="28"/>
          <w:szCs w:val="28"/>
          <w:lang w:eastAsia="ru-RU"/>
        </w:rPr>
        <w:br/>
        <w:t>(из 27 рассмотренных);</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взысканию денежных средств, в связи с прохождением государственной гражданской службы, а также осуществлением трудовой деятельности (трудовые споры) – по 8 делам (из 23 рассмотренных);</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возмещению вреда, причиненного незаконными действиями (бездействием), – по 2 делам (из 33 рассмотренных);</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по обжалованию действий (бездействия), связанных </w:t>
      </w:r>
      <w:r>
        <w:rPr>
          <w:rFonts w:ascii="Times New Roman" w:eastAsia="Times New Roman" w:hAnsi="Times New Roman"/>
          <w:color w:val="000000" w:themeColor="text1"/>
          <w:sz w:val="28"/>
          <w:szCs w:val="28"/>
          <w:lang w:eastAsia="ru-RU"/>
        </w:rPr>
        <w:br/>
        <w:t>с осуществлением кассового обслуживания исполнения бюджетов бюджетной системы, – по 1 делу (из 6 рассмотренных);</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обжалованию уведомлений о применении бюджетных мер принуждения – по 2 делам (из 6 рассмотренных)</w:t>
      </w:r>
      <w:r>
        <w:rPr>
          <w:rFonts w:ascii="Times New Roman" w:eastAsia="Times New Roman" w:hAnsi="Times New Roman"/>
          <w:color w:val="000000" w:themeColor="text1"/>
          <w:sz w:val="28"/>
          <w:szCs w:val="28"/>
          <w:vertAlign w:val="superscript"/>
          <w:lang w:eastAsia="ru-RU"/>
        </w:rPr>
        <w:footnoteReference w:id="6"/>
      </w:r>
      <w:r>
        <w:rPr>
          <w:rFonts w:ascii="Times New Roman" w:eastAsia="Times New Roman" w:hAnsi="Times New Roman"/>
          <w:color w:val="000000" w:themeColor="text1"/>
          <w:sz w:val="28"/>
          <w:szCs w:val="28"/>
          <w:lang w:eastAsia="ru-RU"/>
        </w:rPr>
        <w:t>;</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по обжалованию предписаний, направленных объекту контроля или саморегулируемой организации аудиторов, – по 5 делам </w:t>
      </w:r>
      <w:r>
        <w:rPr>
          <w:rFonts w:ascii="Times New Roman" w:eastAsia="Times New Roman" w:hAnsi="Times New Roman"/>
          <w:color w:val="000000" w:themeColor="text1"/>
          <w:sz w:val="28"/>
          <w:szCs w:val="28"/>
          <w:lang w:eastAsia="ru-RU"/>
        </w:rPr>
        <w:br/>
        <w:t>(из 23 рассмотренных)</w:t>
      </w:r>
      <w:r>
        <w:rPr>
          <w:rFonts w:ascii="Times New Roman" w:eastAsia="Times New Roman" w:hAnsi="Times New Roman"/>
          <w:color w:val="000000" w:themeColor="text1"/>
          <w:sz w:val="32"/>
          <w:szCs w:val="32"/>
          <w:vertAlign w:val="superscript"/>
          <w:lang w:eastAsia="ru-RU"/>
        </w:rPr>
        <w:t>*</w:t>
      </w:r>
      <w:r>
        <w:rPr>
          <w:rFonts w:ascii="Times New Roman" w:eastAsia="Times New Roman" w:hAnsi="Times New Roman"/>
          <w:color w:val="000000" w:themeColor="text1"/>
          <w:sz w:val="28"/>
          <w:szCs w:val="28"/>
          <w:lang w:eastAsia="ru-RU"/>
        </w:rPr>
        <w:t>;</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обжалованию представлений, направленных объекту контроля – по 17 делам (из 41 рассмотренных)</w:t>
      </w:r>
      <w:r>
        <w:rPr>
          <w:rFonts w:ascii="Times New Roman" w:eastAsia="Times New Roman" w:hAnsi="Times New Roman"/>
          <w:color w:val="000000" w:themeColor="text1"/>
          <w:sz w:val="32"/>
          <w:szCs w:val="32"/>
          <w:vertAlign w:val="superscript"/>
          <w:lang w:eastAsia="ru-RU"/>
        </w:rPr>
        <w:t>*</w:t>
      </w:r>
      <w:r>
        <w:rPr>
          <w:rFonts w:ascii="Times New Roman" w:eastAsia="Times New Roman" w:hAnsi="Times New Roman"/>
          <w:color w:val="000000" w:themeColor="text1"/>
          <w:sz w:val="28"/>
          <w:szCs w:val="28"/>
          <w:lang w:eastAsia="ru-RU"/>
        </w:rPr>
        <w:t>;</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обжалованию постановлений о привлечении к административной ответственности – по 44 делам (из 211 рассмотренных)</w:t>
      </w:r>
      <w:r>
        <w:rPr>
          <w:rFonts w:ascii="Times New Roman" w:eastAsia="Times New Roman" w:hAnsi="Times New Roman"/>
          <w:color w:val="000000" w:themeColor="text1"/>
          <w:sz w:val="32"/>
          <w:szCs w:val="32"/>
          <w:vertAlign w:val="superscript"/>
          <w:lang w:eastAsia="ru-RU"/>
        </w:rPr>
        <w:t>*</w:t>
      </w:r>
      <w:r>
        <w:rPr>
          <w:rFonts w:ascii="Times New Roman" w:eastAsia="Times New Roman" w:hAnsi="Times New Roman"/>
          <w:color w:val="000000" w:themeColor="text1"/>
          <w:sz w:val="28"/>
          <w:szCs w:val="28"/>
          <w:lang w:eastAsia="ru-RU"/>
        </w:rPr>
        <w:t>;</w:t>
      </w:r>
    </w:p>
    <w:p>
      <w:pPr>
        <w:tabs>
          <w:tab w:val="left" w:pos="993"/>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по иной категории – по 18 делам из (342 рассмотренных).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Общая сумма взысканных по судебным актам денежных средств </w:t>
      </w:r>
      <w:r>
        <w:rPr>
          <w:rFonts w:ascii="Times New Roman" w:eastAsia="Times New Roman" w:hAnsi="Times New Roman"/>
          <w:color w:val="000000" w:themeColor="text1"/>
          <w:sz w:val="28"/>
          <w:szCs w:val="28"/>
          <w:lang w:eastAsia="ru-RU"/>
        </w:rPr>
        <w:br/>
        <w:t>с ТОФК, а также ФКУ «ЦОКР» составила 2 058 951,94 рублей, что составляет 0,21 % от суммы предъявленных требований.</w:t>
      </w:r>
    </w:p>
    <w:p>
      <w:pPr>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Основными видами взысканий по всем категориям дел, из которых складывается общая сумма взыскания, являются: </w:t>
      </w:r>
    </w:p>
    <w:p>
      <w:pPr>
        <w:tabs>
          <w:tab w:val="left" w:pos="993"/>
        </w:tabs>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выплаты по договорам/государственным контрактам, включая суммы неустоек и штрафов по ним;</w:t>
      </w:r>
    </w:p>
    <w:p>
      <w:pPr>
        <w:tabs>
          <w:tab w:val="left" w:pos="993"/>
        </w:tabs>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kern w:val="24"/>
          <w:sz w:val="28"/>
          <w:szCs w:val="28"/>
          <w:lang w:eastAsia="ru-RU"/>
        </w:rPr>
        <w:t>– </w:t>
      </w:r>
      <w:r>
        <w:rPr>
          <w:rFonts w:ascii="Times New Roman" w:eastAsia="Times New Roman" w:hAnsi="Times New Roman"/>
          <w:color w:val="000000" w:themeColor="text1"/>
          <w:sz w:val="28"/>
          <w:szCs w:val="28"/>
          <w:lang w:eastAsia="ru-RU"/>
        </w:rPr>
        <w:t>возмещение судебных расходов;</w:t>
      </w:r>
    </w:p>
    <w:p>
      <w:pPr>
        <w:tabs>
          <w:tab w:val="left" w:pos="993"/>
        </w:tabs>
        <w:spacing w:after="0" w:line="360" w:lineRule="atLeast"/>
        <w:ind w:right="6" w:firstLine="709"/>
        <w:jc w:val="both"/>
        <w:rPr>
          <w:rFonts w:ascii="Times New Roman" w:eastAsia="Times New Roman" w:hAnsi="Times New Roman"/>
          <w:b/>
          <w:bCs/>
          <w:color w:val="000000" w:themeColor="text1"/>
          <w:kern w:val="24"/>
          <w:sz w:val="28"/>
          <w:szCs w:val="28"/>
          <w:lang w:eastAsia="ru-RU"/>
        </w:rPr>
      </w:pPr>
      <w:r>
        <w:rPr>
          <w:rFonts w:ascii="Times New Roman" w:eastAsia="Times New Roman" w:hAnsi="Times New Roman"/>
          <w:color w:val="000000" w:themeColor="text1"/>
          <w:sz w:val="28"/>
          <w:szCs w:val="28"/>
          <w:lang w:eastAsia="ru-RU"/>
        </w:rPr>
        <w:t>– возмещение вреда, причиненного в результате ДТП;</w:t>
      </w:r>
    </w:p>
    <w:p>
      <w:pPr>
        <w:tabs>
          <w:tab w:val="left" w:pos="993"/>
        </w:tabs>
        <w:spacing w:after="0" w:line="360" w:lineRule="atLeast"/>
        <w:ind w:right="6" w:firstLine="709"/>
        <w:jc w:val="both"/>
        <w:rPr>
          <w:rFonts w:ascii="Times New Roman" w:eastAsia="Times New Roman" w:hAnsi="Times New Roman"/>
          <w:bCs/>
          <w:color w:val="000000" w:themeColor="text1"/>
          <w:kern w:val="24"/>
          <w:sz w:val="28"/>
          <w:szCs w:val="28"/>
          <w:lang w:eastAsia="ru-RU"/>
        </w:rPr>
      </w:pPr>
      <w:r>
        <w:rPr>
          <w:rFonts w:ascii="Times New Roman" w:eastAsia="Times New Roman" w:hAnsi="Times New Roman"/>
          <w:b/>
          <w:bCs/>
          <w:color w:val="000000" w:themeColor="text1"/>
          <w:kern w:val="24"/>
          <w:sz w:val="28"/>
          <w:szCs w:val="28"/>
          <w:lang w:eastAsia="ru-RU"/>
        </w:rPr>
        <w:t>– </w:t>
      </w:r>
      <w:r>
        <w:rPr>
          <w:rFonts w:ascii="Times New Roman" w:eastAsia="Times New Roman" w:hAnsi="Times New Roman"/>
          <w:bCs/>
          <w:color w:val="000000" w:themeColor="text1"/>
          <w:kern w:val="24"/>
          <w:sz w:val="28"/>
          <w:szCs w:val="28"/>
          <w:lang w:eastAsia="ru-RU"/>
        </w:rPr>
        <w:t>выплаты, связанные с прохождением государственной гражданской службы, а также осуществлением трудовой деятельности;</w:t>
      </w:r>
    </w:p>
    <w:p>
      <w:pPr>
        <w:tabs>
          <w:tab w:val="left" w:pos="993"/>
        </w:tabs>
        <w:spacing w:after="0" w:line="360" w:lineRule="atLeast"/>
        <w:ind w:right="6"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bCs/>
          <w:color w:val="000000" w:themeColor="text1"/>
          <w:kern w:val="24"/>
          <w:sz w:val="28"/>
          <w:szCs w:val="28"/>
          <w:lang w:eastAsia="ru-RU"/>
        </w:rPr>
        <w:t>– взыскание неосновательного обогащения.</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Соотношение взысканных сумм представлено в таблице 25.</w:t>
      </w:r>
    </w:p>
    <w:p>
      <w:pPr>
        <w:spacing w:before="240" w:after="120" w:line="240" w:lineRule="auto"/>
        <w:ind w:firstLine="709"/>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Таблица 25</w:t>
      </w:r>
    </w:p>
    <w:tbl>
      <w:tblPr>
        <w:tblW w:w="9151" w:type="dxa"/>
        <w:jc w:val="center"/>
        <w:tblInd w:w="213" w:type="dxa"/>
        <w:tblLayout w:type="fixed"/>
        <w:tblCellMar>
          <w:left w:w="0" w:type="dxa"/>
          <w:right w:w="0" w:type="dxa"/>
        </w:tblCellMar>
        <w:tblLook w:val="04A0" w:firstRow="1" w:lastRow="0" w:firstColumn="1" w:lastColumn="0" w:noHBand="0" w:noVBand="1"/>
      </w:tblPr>
      <w:tblGrid>
        <w:gridCol w:w="5898"/>
        <w:gridCol w:w="3253"/>
      </w:tblGrid>
      <w:tr>
        <w:trPr>
          <w:trHeight w:val="503"/>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hAnsi="Times New Roman"/>
                <w:b/>
                <w:bCs/>
                <w:color w:val="000000" w:themeColor="text1"/>
                <w:kern w:val="24"/>
                <w:sz w:val="24"/>
                <w:szCs w:val="24"/>
              </w:rPr>
              <w:t>Вид взыскания</w:t>
            </w:r>
          </w:p>
        </w:tc>
        <w:tc>
          <w:tcPr>
            <w:tcW w:w="325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jc w:val="center"/>
              <w:rPr>
                <w:rFonts w:ascii="Times New Roman" w:hAnsi="Times New Roman"/>
                <w:color w:val="000000" w:themeColor="text1"/>
                <w:sz w:val="24"/>
                <w:szCs w:val="24"/>
              </w:rPr>
            </w:pPr>
            <w:r>
              <w:rPr>
                <w:rFonts w:ascii="Times New Roman" w:hAnsi="Times New Roman"/>
                <w:b/>
                <w:bCs/>
                <w:color w:val="000000" w:themeColor="text1"/>
                <w:kern w:val="24"/>
                <w:sz w:val="24"/>
                <w:szCs w:val="24"/>
              </w:rPr>
              <w:t>Размер взыскания (рублей)</w:t>
            </w:r>
          </w:p>
        </w:tc>
      </w:tr>
      <w:tr>
        <w:trPr>
          <w:trHeight w:val="540"/>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rPr>
                <w:rFonts w:ascii="Times New Roman" w:hAnsi="Times New Roman"/>
                <w:color w:val="000000" w:themeColor="text1"/>
                <w:sz w:val="24"/>
                <w:szCs w:val="24"/>
              </w:rPr>
            </w:pPr>
            <w:r>
              <w:rPr>
                <w:rFonts w:ascii="Times New Roman" w:hAnsi="Times New Roman"/>
                <w:bCs/>
                <w:color w:val="000000" w:themeColor="text1"/>
                <w:kern w:val="24"/>
                <w:sz w:val="24"/>
                <w:szCs w:val="24"/>
              </w:rPr>
              <w:t>Выплаты по договорам/государственным контрактам, включая суммы неустоек по ним</w:t>
            </w:r>
          </w:p>
        </w:tc>
        <w:tc>
          <w:tcPr>
            <w:tcW w:w="3253"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uto"/>
              <w:jc w:val="right"/>
              <w:rPr>
                <w:rFonts w:ascii="Times New Roman" w:hAnsi="Times New Roman"/>
                <w:b/>
                <w:color w:val="000000" w:themeColor="text1"/>
                <w:sz w:val="24"/>
                <w:szCs w:val="24"/>
              </w:rPr>
            </w:pPr>
            <w:r>
              <w:rPr>
                <w:rFonts w:ascii="Times New Roman" w:hAnsi="Times New Roman"/>
                <w:b/>
                <w:color w:val="000000" w:themeColor="text1"/>
                <w:sz w:val="24"/>
                <w:szCs w:val="24"/>
              </w:rPr>
              <w:t>829 825,02</w:t>
            </w:r>
          </w:p>
        </w:tc>
      </w:tr>
      <w:tr>
        <w:trPr>
          <w:trHeight w:val="538"/>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rPr>
                <w:rFonts w:ascii="Times New Roman" w:hAnsi="Times New Roman"/>
                <w:color w:val="000000" w:themeColor="text1"/>
                <w:sz w:val="24"/>
                <w:szCs w:val="24"/>
              </w:rPr>
            </w:pPr>
            <w:r>
              <w:rPr>
                <w:rFonts w:ascii="Times New Roman" w:hAnsi="Times New Roman"/>
                <w:bCs/>
                <w:color w:val="000000" w:themeColor="text1"/>
                <w:kern w:val="24"/>
                <w:sz w:val="24"/>
                <w:szCs w:val="24"/>
              </w:rPr>
              <w:t>Выплаты в счет возмещения судебных расходов</w:t>
            </w:r>
          </w:p>
        </w:tc>
        <w:tc>
          <w:tcPr>
            <w:tcW w:w="3253"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tcPr>
          <w:p>
            <w:pPr>
              <w:spacing w:after="0" w:line="240" w:lineRule="auto"/>
              <w:jc w:val="right"/>
              <w:rPr>
                <w:rFonts w:ascii="Times New Roman" w:hAnsi="Times New Roman"/>
                <w:b/>
                <w:color w:val="000000" w:themeColor="text1"/>
                <w:sz w:val="24"/>
                <w:szCs w:val="24"/>
              </w:rPr>
            </w:pPr>
            <w:r>
              <w:rPr>
                <w:rFonts w:ascii="Times New Roman" w:hAnsi="Times New Roman"/>
                <w:b/>
                <w:bCs/>
                <w:color w:val="000000" w:themeColor="text1"/>
                <w:sz w:val="24"/>
                <w:szCs w:val="24"/>
              </w:rPr>
              <w:t>477 823,90</w:t>
            </w:r>
          </w:p>
        </w:tc>
      </w:tr>
      <w:tr>
        <w:trPr>
          <w:trHeight w:val="356"/>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Возмещение вреда, причиненного в результате ДТП</w:t>
            </w:r>
          </w:p>
        </w:tc>
        <w:tc>
          <w:tcPr>
            <w:tcW w:w="3253"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uto"/>
              <w:jc w:val="right"/>
              <w:rPr>
                <w:rFonts w:ascii="Times New Roman" w:hAnsi="Times New Roman"/>
                <w:b/>
                <w:bCs/>
                <w:color w:val="000000" w:themeColor="text1"/>
                <w:kern w:val="24"/>
                <w:sz w:val="24"/>
                <w:szCs w:val="24"/>
              </w:rPr>
            </w:pPr>
            <w:r>
              <w:rPr>
                <w:rFonts w:ascii="Times New Roman" w:hAnsi="Times New Roman"/>
                <w:b/>
                <w:bCs/>
                <w:color w:val="000000" w:themeColor="text1"/>
                <w:kern w:val="24"/>
                <w:sz w:val="24"/>
                <w:szCs w:val="24"/>
              </w:rPr>
              <w:t>392 155,03</w:t>
            </w:r>
          </w:p>
        </w:tc>
      </w:tr>
      <w:tr>
        <w:trPr>
          <w:trHeight w:val="833"/>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Выплаты, связанные с прохождением государственной гражданской службы, а также осуществлением трудовой деятельности</w:t>
            </w:r>
          </w:p>
        </w:tc>
        <w:tc>
          <w:tcPr>
            <w:tcW w:w="3253"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uto"/>
              <w:jc w:val="right"/>
              <w:rPr>
                <w:rFonts w:ascii="Times New Roman" w:hAnsi="Times New Roman"/>
                <w:b/>
                <w:color w:val="000000" w:themeColor="text1"/>
                <w:sz w:val="24"/>
                <w:szCs w:val="24"/>
              </w:rPr>
            </w:pPr>
            <w:r>
              <w:rPr>
                <w:rFonts w:ascii="Times New Roman" w:hAnsi="Times New Roman"/>
                <w:b/>
                <w:color w:val="000000" w:themeColor="text1"/>
                <w:sz w:val="24"/>
                <w:szCs w:val="24"/>
              </w:rPr>
              <w:t>203 122,24</w:t>
            </w:r>
          </w:p>
        </w:tc>
      </w:tr>
      <w:tr>
        <w:trPr>
          <w:trHeight w:val="675"/>
          <w:jc w:val="center"/>
        </w:trPr>
        <w:tc>
          <w:tcPr>
            <w:tcW w:w="5898"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15" w:type="dxa"/>
              <w:left w:w="71" w:type="dxa"/>
              <w:bottom w:w="0" w:type="dxa"/>
              <w:right w:w="71" w:type="dxa"/>
            </w:tcMar>
            <w:vAlign w:val="center"/>
            <w:hideMark/>
          </w:tcPr>
          <w:p>
            <w:pPr>
              <w:spacing w:after="0" w:line="240" w:lineRule="auto"/>
              <w:rPr>
                <w:rFonts w:ascii="Times New Roman" w:hAnsi="Times New Roman"/>
                <w:bCs/>
                <w:color w:val="000000" w:themeColor="text1"/>
                <w:kern w:val="24"/>
                <w:sz w:val="24"/>
                <w:szCs w:val="24"/>
              </w:rPr>
            </w:pPr>
            <w:r>
              <w:rPr>
                <w:rFonts w:ascii="Times New Roman" w:hAnsi="Times New Roman"/>
                <w:bCs/>
                <w:color w:val="000000" w:themeColor="text1"/>
                <w:kern w:val="24"/>
                <w:sz w:val="24"/>
                <w:szCs w:val="24"/>
              </w:rPr>
              <w:t>Взыскание неосновательного обогащения за пользование земельным участком и общим имуществом в многоквартирном доме</w:t>
            </w:r>
          </w:p>
        </w:tc>
        <w:tc>
          <w:tcPr>
            <w:tcW w:w="3253" w:type="dxa"/>
            <w:tcBorders>
              <w:top w:val="single" w:sz="8" w:space="0" w:color="000000"/>
              <w:left w:val="single" w:sz="8" w:space="0" w:color="000000"/>
              <w:bottom w:val="single" w:sz="8" w:space="0" w:color="000000"/>
              <w:right w:val="single" w:sz="8" w:space="0" w:color="000000"/>
            </w:tcBorders>
            <w:shd w:val="clear" w:color="auto" w:fill="DBE5F1" w:themeFill="accent1" w:themeFillTint="33"/>
            <w:tcMar>
              <w:top w:w="15" w:type="dxa"/>
              <w:left w:w="71" w:type="dxa"/>
              <w:bottom w:w="0" w:type="dxa"/>
              <w:right w:w="71" w:type="dxa"/>
            </w:tcMar>
            <w:vAlign w:val="center"/>
            <w:hideMark/>
          </w:tcPr>
          <w:p>
            <w:pPr>
              <w:spacing w:after="0" w:line="240" w:lineRule="auto"/>
              <w:jc w:val="right"/>
              <w:rPr>
                <w:rFonts w:ascii="Times New Roman" w:hAnsi="Times New Roman"/>
                <w:b/>
                <w:color w:val="000000" w:themeColor="text1"/>
                <w:sz w:val="24"/>
                <w:szCs w:val="24"/>
              </w:rPr>
            </w:pPr>
            <w:r>
              <w:rPr>
                <w:rFonts w:ascii="Times New Roman" w:hAnsi="Times New Roman"/>
                <w:b/>
                <w:color w:val="000000" w:themeColor="text1"/>
                <w:sz w:val="24"/>
                <w:szCs w:val="24"/>
              </w:rPr>
              <w:t>156 025,75</w:t>
            </w:r>
          </w:p>
        </w:tc>
      </w:tr>
    </w:tbl>
    <w:p>
      <w:pPr>
        <w:pageBreakBefore/>
        <w:tabs>
          <w:tab w:val="left" w:pos="840"/>
        </w:tabs>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III. Основные направления деятельности Федерального казначейства на среднесрочную перспективу</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 Исполнение платежных функций, управление ликвидностью</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1.1. Кассовое обслуживание исполнения бюджетов бюджетной системы Российской Федерации, учет операций со средствами </w:t>
      </w:r>
      <w:proofErr w:type="spellStart"/>
      <w:r>
        <w:rPr>
          <w:rFonts w:ascii="Times New Roman" w:hAnsi="Times New Roman"/>
          <w:b/>
          <w:color w:val="000000" w:themeColor="text1"/>
          <w:sz w:val="28"/>
          <w:szCs w:val="28"/>
        </w:rPr>
        <w:t>неучастников</w:t>
      </w:r>
      <w:proofErr w:type="spellEnd"/>
      <w:r>
        <w:rPr>
          <w:rFonts w:ascii="Times New Roman" w:hAnsi="Times New Roman"/>
          <w:b/>
          <w:color w:val="000000" w:themeColor="text1"/>
          <w:sz w:val="28"/>
          <w:szCs w:val="28"/>
        </w:rPr>
        <w:t xml:space="preserve"> бюджетного процесса</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1.1.1. Кассовое обслуживание исполнения бюджетов бюджетной системы Российской Федерации, учет операций со средствами </w:t>
      </w:r>
      <w:proofErr w:type="spellStart"/>
      <w:r>
        <w:rPr>
          <w:rFonts w:ascii="Times New Roman" w:hAnsi="Times New Roman"/>
          <w:b/>
          <w:color w:val="000000" w:themeColor="text1"/>
          <w:sz w:val="28"/>
          <w:szCs w:val="28"/>
        </w:rPr>
        <w:t>неучастников</w:t>
      </w:r>
      <w:proofErr w:type="spellEnd"/>
      <w:r>
        <w:rPr>
          <w:rFonts w:ascii="Times New Roman" w:hAnsi="Times New Roman"/>
          <w:b/>
          <w:color w:val="000000" w:themeColor="text1"/>
          <w:sz w:val="28"/>
          <w:szCs w:val="28"/>
        </w:rPr>
        <w:t xml:space="preserve"> бюджетного процесса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сохранности государственных ресурсов, эффективного управления общественными финансами Федеральным казначейством </w:t>
      </w:r>
      <w:r>
        <w:rPr>
          <w:rFonts w:ascii="Times New Roman" w:eastAsia="Times New Roman" w:hAnsi="Times New Roman"/>
          <w:color w:val="000000" w:themeColor="text1"/>
          <w:sz w:val="28"/>
          <w:szCs w:val="28"/>
          <w:lang w:eastAsia="ru-RU"/>
        </w:rPr>
        <w:br/>
        <w:t>в рамках кассового обслуживания исполнения бюджетов бюджетной системы Российской Федерации в 2017 году будут осуществляться следующие мероприятия.</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Обеспечение предоставления из федерального бюджета бюджетам субъектов Российской Федерации субсидий с применением механизма </w:t>
      </w:r>
      <w:proofErr w:type="spellStart"/>
      <w:r>
        <w:rPr>
          <w:rFonts w:ascii="Times New Roman" w:eastAsia="Times New Roman" w:hAnsi="Times New Roman"/>
          <w:color w:val="000000" w:themeColor="text1"/>
          <w:sz w:val="28"/>
          <w:szCs w:val="28"/>
          <w:lang w:eastAsia="ru-RU"/>
        </w:rPr>
        <w:t>софинансирования</w:t>
      </w:r>
      <w:proofErr w:type="spellEnd"/>
      <w:r>
        <w:rPr>
          <w:rFonts w:ascii="Times New Roman" w:eastAsia="Times New Roman" w:hAnsi="Times New Roman"/>
          <w:color w:val="000000" w:themeColor="text1"/>
          <w:sz w:val="28"/>
          <w:szCs w:val="28"/>
          <w:lang w:eastAsia="ru-RU"/>
        </w:rPr>
        <w:t xml:space="preserve"> расходных обязательств субъектов Российской Федерации в пределах суммы, необходимой для оплаты денежных обязательств по расходам получателей средств бюджета субъекта Российской Федерации, в размере установленного соответствующему субъекту Российской Федерации уровня </w:t>
      </w:r>
      <w:proofErr w:type="spellStart"/>
      <w:r>
        <w:rPr>
          <w:rFonts w:ascii="Times New Roman" w:eastAsia="Times New Roman" w:hAnsi="Times New Roman"/>
          <w:color w:val="000000" w:themeColor="text1"/>
          <w:sz w:val="28"/>
          <w:szCs w:val="28"/>
          <w:lang w:eastAsia="ru-RU"/>
        </w:rPr>
        <w:t>софинансирования</w:t>
      </w:r>
      <w:proofErr w:type="spellEnd"/>
      <w:r>
        <w:rPr>
          <w:rFonts w:ascii="Times New Roman" w:eastAsia="Times New Roman" w:hAnsi="Times New Roman"/>
          <w:color w:val="000000" w:themeColor="text1"/>
          <w:sz w:val="28"/>
          <w:szCs w:val="28"/>
          <w:lang w:eastAsia="ru-RU"/>
        </w:rPr>
        <w:t>.</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Обеспечение учета операций с целевыми субсидиями </w:t>
      </w:r>
      <w:r>
        <w:rPr>
          <w:rFonts w:ascii="Times New Roman" w:eastAsia="Times New Roman" w:hAnsi="Times New Roman"/>
          <w:color w:val="000000" w:themeColor="text1"/>
          <w:sz w:val="28"/>
          <w:szCs w:val="28"/>
          <w:lang w:eastAsia="ru-RU"/>
        </w:rPr>
        <w:br/>
        <w:t>на соответствующих лицевых счетах, открытых в органах Федерального казначейства юридическим лицам (индивидуальным предпринимателям) – сельхоз- и товаропроизводителям, в рамках казначейского сопровождения межбюджетных трансфертов, предоставляемых из федерального бюджета.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Кроме того, учитывая положительный опыт при проведении </w:t>
      </w:r>
      <w:r>
        <w:rPr>
          <w:rFonts w:ascii="Times New Roman" w:eastAsia="Times New Roman" w:hAnsi="Times New Roman"/>
          <w:color w:val="000000" w:themeColor="text1"/>
          <w:sz w:val="28"/>
          <w:szCs w:val="28"/>
          <w:lang w:eastAsia="ru-RU"/>
        </w:rPr>
        <w:br/>
        <w:t xml:space="preserve">в 2016 году эксперимента по казначейскому сопровождению авансовых платежей по государственным контрактам (контрактам, договорам) </w:t>
      </w:r>
      <w:r>
        <w:rPr>
          <w:rFonts w:ascii="Times New Roman" w:eastAsia="Times New Roman" w:hAnsi="Times New Roman"/>
          <w:color w:val="000000" w:themeColor="text1"/>
          <w:sz w:val="28"/>
          <w:szCs w:val="28"/>
          <w:lang w:eastAsia="ru-RU"/>
        </w:rPr>
        <w:br/>
        <w:t xml:space="preserve">о поставке товаров, выполнении работ, оказании услуг с применением казначейского аккредитива, Федеральным казначейством направлены </w:t>
      </w:r>
      <w:r>
        <w:rPr>
          <w:rFonts w:ascii="Times New Roman" w:eastAsia="Times New Roman" w:hAnsi="Times New Roman"/>
          <w:color w:val="000000" w:themeColor="text1"/>
          <w:sz w:val="28"/>
          <w:szCs w:val="28"/>
          <w:lang w:eastAsia="ru-RU"/>
        </w:rPr>
        <w:br/>
        <w:t xml:space="preserve">в Министерство финансов Российской Федерации предложения </w:t>
      </w:r>
      <w:r>
        <w:rPr>
          <w:rFonts w:ascii="Times New Roman" w:eastAsia="Times New Roman" w:hAnsi="Times New Roman"/>
          <w:color w:val="000000" w:themeColor="text1"/>
          <w:sz w:val="28"/>
          <w:szCs w:val="28"/>
          <w:lang w:eastAsia="ru-RU"/>
        </w:rPr>
        <w:br/>
        <w:t>о расширении сферы применения казначейского аккредитива, в частности при перечислении из федерального бюджета субсидий юридическим лицам.</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Указанные предложения учтены в части 8 статьи 5 Федерального закона № 415-ФЗ.</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чем Федеральное казначейство в 2017 году планирует провести эксперимент по казначейскому сопровождению средств </w:t>
      </w:r>
      <w:r>
        <w:rPr>
          <w:rFonts w:ascii="Times New Roman" w:eastAsia="Times New Roman" w:hAnsi="Times New Roman"/>
          <w:color w:val="000000" w:themeColor="text1"/>
          <w:sz w:val="28"/>
          <w:szCs w:val="28"/>
          <w:lang w:eastAsia="ru-RU"/>
        </w:rPr>
        <w:lastRenderedPageBreak/>
        <w:t xml:space="preserve">федерального бюджета по предоставлению субсидий юридическим лицам </w:t>
      </w:r>
      <w:r>
        <w:rPr>
          <w:rFonts w:ascii="Times New Roman" w:eastAsia="Times New Roman" w:hAnsi="Times New Roman"/>
          <w:color w:val="000000" w:themeColor="text1"/>
          <w:sz w:val="28"/>
          <w:szCs w:val="28"/>
          <w:lang w:eastAsia="ru-RU"/>
        </w:rPr>
        <w:br/>
        <w:t>с применением казначейского аккредитива.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дальнейшем казначейский аккредитив может применяться </w:t>
      </w:r>
      <w:r>
        <w:rPr>
          <w:rFonts w:ascii="Times New Roman" w:eastAsia="Times New Roman" w:hAnsi="Times New Roman"/>
          <w:color w:val="000000" w:themeColor="text1"/>
          <w:sz w:val="28"/>
          <w:szCs w:val="28"/>
          <w:lang w:eastAsia="ru-RU"/>
        </w:rPr>
        <w:br/>
        <w:t>при перечислении субсидий бюджетным и автономным учреждениям, федеральным государственным унитарным предприятиям.</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Таким образом, казначейский аккредитив станет обычным платежным инструментом, применяемым Федеральным казначейством </w:t>
      </w:r>
      <w:r>
        <w:rPr>
          <w:rFonts w:ascii="Times New Roman" w:eastAsia="Times New Roman" w:hAnsi="Times New Roman"/>
          <w:color w:val="000000" w:themeColor="text1"/>
          <w:sz w:val="28"/>
          <w:szCs w:val="28"/>
          <w:lang w:eastAsia="ru-RU"/>
        </w:rPr>
        <w:br/>
        <w:t xml:space="preserve">при перечислении любых авансовых платежей из федерального бюджета </w:t>
      </w:r>
      <w:r>
        <w:rPr>
          <w:rFonts w:ascii="Times New Roman" w:eastAsia="Times New Roman" w:hAnsi="Times New Roman"/>
          <w:color w:val="000000" w:themeColor="text1"/>
          <w:sz w:val="28"/>
          <w:szCs w:val="28"/>
          <w:lang w:eastAsia="ru-RU"/>
        </w:rPr>
        <w:br/>
        <w:t>на расчетные счета, открытые Федеральному казначейству.</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После перехода на расчеты по казначейскому аккредитиву в рамках системы счетов Федерального казначейства, основным источником образования дебиторской задолженности по расходам федерального бюджета останутся авансовые перечисления средств из федерального бюджета на счета в кредитных организациях.</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связи с чем в Федеральный закон № 415-ФЗ были включены положения об осуществлении операций по казначейскому обеспечению обязательств при банковском сопровождении государственных контрактов.</w:t>
      </w:r>
    </w:p>
    <w:p>
      <w:pPr>
        <w:pStyle w:val="m343370436957569700p1"/>
        <w:shd w:val="clear" w:color="auto" w:fill="FFFFFF"/>
        <w:spacing w:before="0" w:beforeAutospacing="0" w:after="0" w:afterAutospacing="0" w:line="360" w:lineRule="atLeast"/>
        <w:ind w:firstLine="709"/>
        <w:jc w:val="both"/>
        <w:rPr>
          <w:rStyle w:val="m343370436957569700s1"/>
          <w:color w:val="222222"/>
          <w:sz w:val="28"/>
          <w:szCs w:val="28"/>
        </w:rPr>
      </w:pPr>
      <w:r>
        <w:rPr>
          <w:color w:val="000000" w:themeColor="text1"/>
          <w:sz w:val="28"/>
          <w:szCs w:val="28"/>
        </w:rPr>
        <w:t xml:space="preserve">В 2017 году планируется </w:t>
      </w:r>
      <w:r>
        <w:rPr>
          <w:rStyle w:val="m343370436957569700s1"/>
          <w:color w:val="222222"/>
          <w:sz w:val="28"/>
          <w:szCs w:val="28"/>
        </w:rPr>
        <w:t xml:space="preserve">согласовать с Банком России механизм казначейского обеспечения обязательств через систему передачи финансовых сообщений Банка России и провести эксперимент </w:t>
      </w:r>
      <w:r>
        <w:rPr>
          <w:rStyle w:val="m343370436957569700s1"/>
          <w:color w:val="222222"/>
          <w:sz w:val="28"/>
          <w:szCs w:val="28"/>
        </w:rPr>
        <w:br/>
        <w:t>по реализации данного механизма на примере отдельных государственных контрактов.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с вступлением в силу с 1 января 2017 года отдельных положений Порядка учета ТОФК бюджетных и денежных обязательств получателей средств федерального бюджета, утвержденного Приказом № 221н, Федеральному казначейству необходимо организовать работу </w:t>
      </w:r>
      <w:r>
        <w:rPr>
          <w:rFonts w:ascii="Times New Roman" w:hAnsi="Times New Roman"/>
          <w:color w:val="000000" w:themeColor="text1"/>
          <w:sz w:val="28"/>
          <w:szCs w:val="28"/>
        </w:rPr>
        <w:br/>
        <w:t>по обеспечению учета денежных обязательств получателей средств федерального бюджета, а также предоставлению соответствующих информационно-аналитических данных, предусмотренных Приказом № 221н.</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связи со вступлением в силу с 1 января 2017 года отдельных положений постановления Правительства Российской Федерации </w:t>
      </w:r>
      <w:r>
        <w:rPr>
          <w:rFonts w:ascii="Times New Roman" w:hAnsi="Times New Roman"/>
          <w:color w:val="000000" w:themeColor="text1"/>
          <w:sz w:val="28"/>
          <w:szCs w:val="28"/>
        </w:rPr>
        <w:br/>
        <w:t xml:space="preserve">от 30 сентября 2014 г. № 999 «О формировании, предоставлении </w:t>
      </w:r>
      <w:r>
        <w:rPr>
          <w:rFonts w:ascii="Times New Roman" w:hAnsi="Times New Roman"/>
          <w:color w:val="000000" w:themeColor="text1"/>
          <w:sz w:val="28"/>
          <w:szCs w:val="28"/>
        </w:rPr>
        <w:br/>
        <w:t xml:space="preserve">и распределении субсидий из федерального бюджета бюджетам субъектов Российской Федерации», Федеральному казначейству необходимо организовать работу по осуществлению контроля наличия в соглашениях </w:t>
      </w:r>
      <w:r>
        <w:rPr>
          <w:rFonts w:ascii="Times New Roman" w:hAnsi="Times New Roman"/>
          <w:color w:val="000000" w:themeColor="text1"/>
          <w:sz w:val="28"/>
          <w:szCs w:val="28"/>
        </w:rPr>
        <w:br/>
        <w:t xml:space="preserve">о предоставлении субсидии бюджету субъекта Российской Федерации положений и информации, предусмотренных указанным постановлением, </w:t>
      </w:r>
      <w:r>
        <w:rPr>
          <w:rFonts w:ascii="Times New Roman" w:hAnsi="Times New Roman"/>
          <w:color w:val="000000" w:themeColor="text1"/>
          <w:sz w:val="28"/>
          <w:szCs w:val="28"/>
        </w:rPr>
        <w:br/>
        <w:t>а также включение необходимой информации и документов в Реестр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В 2016 году Федеральным казначейством проведена работа </w:t>
      </w:r>
      <w:r>
        <w:rPr>
          <w:rFonts w:ascii="Times New Roman" w:hAnsi="Times New Roman"/>
          <w:color w:val="000000" w:themeColor="text1"/>
          <w:sz w:val="28"/>
          <w:szCs w:val="28"/>
        </w:rPr>
        <w:br/>
        <w:t>по внедрению отдельных подсистем ГИИС «Электронный бюджет», обеспечивающих, в том числе, учет бюджетных обязательств получателей средств федерального бюджета, а также ведение Реестра соглашений.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запланировано развитие ГИИС «Электронный бюджет» </w:t>
      </w:r>
      <w:r>
        <w:rPr>
          <w:rFonts w:ascii="Times New Roman" w:hAnsi="Times New Roman"/>
          <w:color w:val="000000" w:themeColor="text1"/>
          <w:sz w:val="28"/>
          <w:szCs w:val="28"/>
        </w:rPr>
        <w:br/>
        <w:t>в части расширения функциональных возможностей вышеуказанных сервисов.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в 2017 году планируется продолжить работу по централизации операций клиентов закрытого контура ТОФК </w:t>
      </w:r>
      <w:r>
        <w:rPr>
          <w:rFonts w:ascii="Times New Roman" w:hAnsi="Times New Roman"/>
          <w:color w:val="000000" w:themeColor="text1"/>
          <w:sz w:val="28"/>
          <w:szCs w:val="28"/>
        </w:rPr>
        <w:br/>
        <w:t xml:space="preserve">на базе МОУ ФК. Так, на 2017 год запланировано выполнение мероприятий по разработке НПА Федерального казначейства, утверждающего порядок осуществления операций клиентов закрытого контура управлений Федерального казначейства по субъектам Российской Федерации при их централизации, и обеспечению поэтапного перевода лицевых счетов закрытого контура клиентов управлений Федерального казначейства </w:t>
      </w:r>
      <w:r>
        <w:rPr>
          <w:rFonts w:ascii="Times New Roman" w:hAnsi="Times New Roman"/>
          <w:color w:val="000000" w:themeColor="text1"/>
          <w:sz w:val="28"/>
          <w:szCs w:val="28"/>
        </w:rPr>
        <w:br/>
        <w:t>по субъектам Российской Федерации на обслуживание в МОУ ФК с учетом мероприятий, проведенных в 2016 году на базе «пилотного» ТОФК.</w:t>
      </w:r>
    </w:p>
    <w:p>
      <w:pPr>
        <w:tabs>
          <w:tab w:val="left" w:pos="840"/>
        </w:tabs>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1.1.2 Реализация новаций в части обслуживания исполнения федерального бюджета в 2017 году</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В целях исполнения отдельных положений </w:t>
      </w:r>
      <w:hyperlink w:anchor="Par40" w:history="1">
        <w:r>
          <w:rPr>
            <w:rFonts w:ascii="Times New Roman" w:hAnsi="Times New Roman"/>
            <w:color w:val="000000" w:themeColor="text1"/>
            <w:sz w:val="28"/>
            <w:szCs w:val="28"/>
            <w:lang w:eastAsia="ar-SA"/>
          </w:rPr>
          <w:t>Порядка</w:t>
        </w:r>
      </w:hyperlink>
      <w:r>
        <w:rPr>
          <w:rFonts w:ascii="Times New Roman" w:hAnsi="Times New Roman"/>
          <w:color w:val="000000" w:themeColor="text1"/>
          <w:sz w:val="28"/>
          <w:szCs w:val="28"/>
          <w:lang w:eastAsia="ar-SA"/>
        </w:rPr>
        <w:t xml:space="preserve"> формирования </w:t>
      </w:r>
      <w:r>
        <w:rPr>
          <w:rFonts w:ascii="Times New Roman" w:hAnsi="Times New Roman"/>
          <w:color w:val="000000" w:themeColor="text1"/>
          <w:sz w:val="28"/>
          <w:szCs w:val="28"/>
          <w:lang w:eastAsia="ar-SA"/>
        </w:rPr>
        <w:br/>
        <w:t xml:space="preserve">и ведения Реестра УБП и НУБП, утвержденного Приказом № 163н </w:t>
      </w:r>
      <w:r>
        <w:rPr>
          <w:rFonts w:ascii="Times New Roman" w:hAnsi="Times New Roman"/>
          <w:color w:val="000000" w:themeColor="text1"/>
          <w:sz w:val="28"/>
          <w:szCs w:val="28"/>
          <w:lang w:eastAsia="ar-SA"/>
        </w:rPr>
        <w:br/>
        <w:t xml:space="preserve">(в редакции приказа Минфина России № 203н), вступающих в силу </w:t>
      </w:r>
      <w:r>
        <w:rPr>
          <w:rFonts w:ascii="Times New Roman" w:hAnsi="Times New Roman"/>
          <w:color w:val="000000" w:themeColor="text1"/>
          <w:sz w:val="28"/>
          <w:szCs w:val="28"/>
          <w:lang w:eastAsia="ar-SA"/>
        </w:rPr>
        <w:br/>
        <w:t xml:space="preserve">с 1 января 2018 года, Федеральным казначейством планируется организация работы с клиентами </w:t>
      </w:r>
      <w:r>
        <w:rPr>
          <w:rFonts w:ascii="Times New Roman" w:hAnsi="Times New Roman"/>
          <w:color w:val="000000" w:themeColor="text1"/>
          <w:sz w:val="28"/>
          <w:szCs w:val="28"/>
        </w:rPr>
        <w:t>ТОФК</w:t>
      </w:r>
      <w:r>
        <w:rPr>
          <w:rFonts w:ascii="Times New Roman" w:hAnsi="Times New Roman"/>
          <w:color w:val="000000" w:themeColor="text1"/>
          <w:sz w:val="28"/>
          <w:szCs w:val="28"/>
          <w:lang w:eastAsia="ar-SA"/>
        </w:rPr>
        <w:t xml:space="preserve"> по включению в Реестр УБП и НУБП информации и документов:</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 о НУБП, не являющихся государственными корпорациями </w:t>
      </w:r>
      <w:r>
        <w:rPr>
          <w:rFonts w:ascii="Times New Roman" w:hAnsi="Times New Roman"/>
          <w:color w:val="000000" w:themeColor="text1"/>
          <w:sz w:val="28"/>
          <w:szCs w:val="28"/>
          <w:lang w:eastAsia="ar-SA"/>
        </w:rPr>
        <w:br/>
        <w:t xml:space="preserve">и государственными компаниями, а также государственными (муниципальными) учреждениями и государственными (муниципальными) унитарными предприятиями, являющихся исполнителями </w:t>
      </w:r>
      <w:r>
        <w:rPr>
          <w:rFonts w:ascii="Times New Roman" w:hAnsi="Times New Roman"/>
          <w:color w:val="000000" w:themeColor="text1"/>
          <w:sz w:val="28"/>
          <w:szCs w:val="28"/>
          <w:lang w:eastAsia="ar-SA"/>
        </w:rPr>
        <w:br/>
        <w:t xml:space="preserve">по государственным (муниципальным) контрактам и открывающих лицевые счета в </w:t>
      </w:r>
      <w:r>
        <w:rPr>
          <w:rFonts w:ascii="Times New Roman" w:hAnsi="Times New Roman"/>
          <w:color w:val="000000" w:themeColor="text1"/>
          <w:sz w:val="28"/>
          <w:szCs w:val="28"/>
        </w:rPr>
        <w:t>ТОФК</w:t>
      </w:r>
      <w:r>
        <w:rPr>
          <w:rFonts w:ascii="Times New Roman" w:hAnsi="Times New Roman"/>
          <w:color w:val="000000" w:themeColor="text1"/>
          <w:sz w:val="28"/>
          <w:szCs w:val="28"/>
          <w:lang w:eastAsia="ar-SA"/>
        </w:rPr>
        <w:t xml:space="preserve"> в соответствии с законодательством Российской Федерации;</w:t>
      </w:r>
    </w:p>
    <w:p>
      <w:pPr>
        <w:suppressAutoHyphens/>
        <w:spacing w:after="0" w:line="360" w:lineRule="atLeast"/>
        <w:ind w:firstLine="709"/>
        <w:jc w:val="both"/>
        <w:rPr>
          <w:rFonts w:ascii="Times New Roman" w:hAnsi="Times New Roman"/>
          <w:color w:val="000000" w:themeColor="text1"/>
          <w:sz w:val="28"/>
          <w:szCs w:val="28"/>
          <w:lang w:eastAsia="ar-SA"/>
        </w:rPr>
      </w:pPr>
      <w:r>
        <w:rPr>
          <w:rFonts w:ascii="Times New Roman" w:hAnsi="Times New Roman"/>
          <w:color w:val="000000" w:themeColor="text1"/>
          <w:sz w:val="28"/>
          <w:szCs w:val="28"/>
          <w:lang w:eastAsia="ar-SA"/>
        </w:rPr>
        <w:t xml:space="preserve">– об иных НУБП, заключивших контракты, договоры, соглашения </w:t>
      </w:r>
      <w:r>
        <w:rPr>
          <w:rFonts w:ascii="Times New Roman" w:hAnsi="Times New Roman"/>
          <w:color w:val="000000" w:themeColor="text1"/>
          <w:sz w:val="28"/>
          <w:szCs w:val="28"/>
          <w:lang w:eastAsia="ar-SA"/>
        </w:rPr>
        <w:br/>
        <w:t xml:space="preserve">в рамках исполнения государственных (муниципальных) контрактов (договоров, соглашений) и открывающих лицевые счета в </w:t>
      </w:r>
      <w:r>
        <w:rPr>
          <w:rFonts w:ascii="Times New Roman" w:hAnsi="Times New Roman"/>
          <w:color w:val="000000" w:themeColor="text1"/>
          <w:sz w:val="28"/>
          <w:szCs w:val="28"/>
        </w:rPr>
        <w:t>ТОФК</w:t>
      </w:r>
      <w:r>
        <w:rPr>
          <w:rFonts w:ascii="Times New Roman" w:hAnsi="Times New Roman"/>
          <w:color w:val="000000" w:themeColor="text1"/>
          <w:sz w:val="28"/>
          <w:szCs w:val="28"/>
          <w:lang w:eastAsia="ar-SA"/>
        </w:rPr>
        <w:t xml:space="preserve"> </w:t>
      </w:r>
      <w:r>
        <w:rPr>
          <w:rFonts w:ascii="Times New Roman" w:hAnsi="Times New Roman"/>
          <w:color w:val="000000" w:themeColor="text1"/>
          <w:sz w:val="28"/>
          <w:szCs w:val="28"/>
          <w:lang w:eastAsia="ar-SA"/>
        </w:rPr>
        <w:br/>
        <w:t>в соответствии с законодательством Российской Федерации.</w:t>
      </w:r>
    </w:p>
    <w:p>
      <w:pPr>
        <w:tabs>
          <w:tab w:val="left" w:pos="840"/>
        </w:tabs>
        <w:spacing w:before="120" w:after="120" w:line="360" w:lineRule="atLeast"/>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1.1.3. Совершенствование проведения валютных операций</w:t>
      </w:r>
    </w:p>
    <w:p>
      <w:pPr>
        <w:pStyle w:val="2"/>
        <w:keepNext w:val="0"/>
        <w:keepLines w:val="0"/>
        <w:spacing w:before="0" w:line="360" w:lineRule="atLeast"/>
        <w:ind w:firstLine="709"/>
        <w:jc w:val="both"/>
        <w:rPr>
          <w:rFonts w:ascii="Times New Roman" w:eastAsia="Calibri" w:hAnsi="Times New Roman" w:cs="Times New Roman"/>
          <w:b w:val="0"/>
          <w:bCs w:val="0"/>
          <w:color w:val="000000" w:themeColor="text1"/>
          <w:sz w:val="28"/>
          <w:szCs w:val="28"/>
          <w:lang w:eastAsia="ar-SA"/>
        </w:rPr>
      </w:pPr>
      <w:r>
        <w:rPr>
          <w:rFonts w:ascii="Times New Roman" w:eastAsia="Calibri" w:hAnsi="Times New Roman" w:cs="Times New Roman"/>
          <w:b w:val="0"/>
          <w:bCs w:val="0"/>
          <w:color w:val="000000" w:themeColor="text1"/>
          <w:sz w:val="28"/>
          <w:szCs w:val="28"/>
          <w:lang w:eastAsia="ar-SA"/>
        </w:rPr>
        <w:t xml:space="preserve">Федеральным казначейством в целях обеспечения исполнения платежных документов клиентов Федерального казначейства по денежным </w:t>
      </w:r>
      <w:r>
        <w:rPr>
          <w:rFonts w:ascii="Times New Roman" w:eastAsia="Calibri" w:hAnsi="Times New Roman" w:cs="Times New Roman"/>
          <w:b w:val="0"/>
          <w:bCs w:val="0"/>
          <w:color w:val="000000" w:themeColor="text1"/>
          <w:sz w:val="28"/>
          <w:szCs w:val="28"/>
          <w:lang w:eastAsia="ar-SA"/>
        </w:rPr>
        <w:lastRenderedPageBreak/>
        <w:t>обязательствам в иностранной валюте на 2017 год запланированы мероприятия по полномасштабному внедрению механизма проведения валютных операций клиентов Федерального казначейства федерального уровня в рамках функционирования ЕКС в иностранных валютах.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ar-SA"/>
        </w:rPr>
        <w:t>Также в 2017 году Федеральным казначейством планируется подготовить предложения по изменению (разработке) законодательных или иных актов, направленные на обеспечение функционирования Федерального казначейства как агента валютного контроля, а также провести работу по заключению соглашений об информационном</w:t>
      </w:r>
      <w:r>
        <w:rPr>
          <w:rFonts w:ascii="Times New Roman" w:hAnsi="Times New Roman"/>
          <w:color w:val="000000" w:themeColor="text1"/>
          <w:sz w:val="28"/>
          <w:szCs w:val="28"/>
        </w:rPr>
        <w:t xml:space="preserve"> взаимодействии с органами валютного контроля в части предоставления информации об операциях, подлежащих валютному контролю </w:t>
      </w:r>
      <w:r>
        <w:rPr>
          <w:rFonts w:ascii="Times New Roman" w:hAnsi="Times New Roman"/>
          <w:color w:val="000000" w:themeColor="text1"/>
          <w:sz w:val="28"/>
          <w:szCs w:val="28"/>
        </w:rPr>
        <w:br/>
        <w:t xml:space="preserve">в соответствии с валютным законодательством Российской Федерации </w:t>
      </w:r>
      <w:r>
        <w:rPr>
          <w:rFonts w:ascii="Times New Roman" w:hAnsi="Times New Roman"/>
          <w:color w:val="000000" w:themeColor="text1"/>
          <w:sz w:val="28"/>
          <w:szCs w:val="28"/>
        </w:rPr>
        <w:br/>
        <w:t>и проводимых Федеральным казначейством.</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1.2. Казначейское сопровождение средств, предоставляемых </w:t>
      </w:r>
      <w:r>
        <w:rPr>
          <w:rFonts w:ascii="Times New Roman" w:hAnsi="Times New Roman"/>
          <w:b/>
          <w:color w:val="000000" w:themeColor="text1"/>
          <w:sz w:val="28"/>
          <w:szCs w:val="28"/>
        </w:rPr>
        <w:br/>
        <w:t>из бюджета</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1.2.1. Казначейское сопровождение средств, указанных </w:t>
      </w:r>
      <w:r>
        <w:rPr>
          <w:rFonts w:ascii="Times New Roman" w:eastAsia="Times New Roman" w:hAnsi="Times New Roman"/>
          <w:b/>
          <w:color w:val="000000" w:themeColor="text1"/>
          <w:sz w:val="28"/>
          <w:szCs w:val="28"/>
          <w:lang w:eastAsia="ru-RU"/>
        </w:rPr>
        <w:br/>
        <w:t xml:space="preserve">в федеральном законе о федеральном бюджете, предоставление которых осуществляется с последующим подтверждением </w:t>
      </w:r>
      <w:r>
        <w:rPr>
          <w:rFonts w:ascii="Times New Roman" w:eastAsia="Times New Roman" w:hAnsi="Times New Roman"/>
          <w:b/>
          <w:color w:val="000000" w:themeColor="text1"/>
          <w:sz w:val="28"/>
          <w:szCs w:val="28"/>
          <w:lang w:eastAsia="ru-RU"/>
        </w:rPr>
        <w:br/>
        <w:t>их использования в соответствии с условиями и (или) целями предоставления указанных средств государственных контрактов, договоров (соглашений), а также контрактов, договоров, соглашений, заключенных в рамках их исполнения</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xml:space="preserve">Учитывая положительный опыт казначейского сопровождения </w:t>
      </w:r>
      <w:r>
        <w:rPr>
          <w:rFonts w:ascii="Times New Roman" w:hAnsi="Times New Roman"/>
          <w:color w:val="000000" w:themeColor="text1"/>
          <w:sz w:val="28"/>
          <w:szCs w:val="28"/>
        </w:rPr>
        <w:br/>
        <w:t>в 2016 году, в 2017 году данная норма была сохранена в статье 5 Федерального закона № 415-ФЗ и дополнена положениями о казначейском сопровождении средств авансов платежей по контрактам (договорам),</w:t>
      </w:r>
      <w:r>
        <w:rPr>
          <w:rFonts w:ascii="Times New Roman" w:hAnsi="Times New Roman"/>
          <w:color w:val="000000" w:themeColor="text1"/>
        </w:rPr>
        <w:t xml:space="preserve"> </w:t>
      </w:r>
      <w:r>
        <w:rPr>
          <w:rFonts w:ascii="Times New Roman" w:hAnsi="Times New Roman"/>
          <w:color w:val="000000" w:themeColor="text1"/>
          <w:sz w:val="28"/>
          <w:szCs w:val="28"/>
        </w:rPr>
        <w:t xml:space="preserve">заключаемым федеральными бюджетными и автономными учреждениями стоимостью более 100 млн рублей, источником финансового обеспечения которых являются </w:t>
      </w:r>
      <w:r>
        <w:rPr>
          <w:rFonts w:ascii="Times New Roman" w:eastAsia="Times New Roman" w:hAnsi="Times New Roman"/>
          <w:color w:val="000000" w:themeColor="text1"/>
          <w:sz w:val="28"/>
          <w:szCs w:val="28"/>
          <w:lang w:eastAsia="ru-RU"/>
        </w:rPr>
        <w:t xml:space="preserve">субсидии в соответствии с </w:t>
      </w:r>
      <w:hyperlink r:id="rId219" w:history="1">
        <w:r>
          <w:rPr>
            <w:rFonts w:ascii="Times New Roman" w:eastAsia="Times New Roman" w:hAnsi="Times New Roman"/>
            <w:color w:val="000000" w:themeColor="text1"/>
            <w:sz w:val="28"/>
            <w:szCs w:val="28"/>
            <w:lang w:eastAsia="ru-RU"/>
          </w:rPr>
          <w:t>абзацем вторым пункта 1 статьи 78.1</w:t>
        </w:r>
      </w:hyperlink>
      <w:r>
        <w:rPr>
          <w:rFonts w:ascii="Times New Roman" w:eastAsia="Times New Roman" w:hAnsi="Times New Roman"/>
          <w:color w:val="000000" w:themeColor="text1"/>
          <w:sz w:val="28"/>
          <w:szCs w:val="28"/>
          <w:lang w:eastAsia="ru-RU"/>
        </w:rPr>
        <w:t xml:space="preserve"> и </w:t>
      </w:r>
      <w:hyperlink r:id="rId220" w:history="1">
        <w:r>
          <w:rPr>
            <w:rFonts w:ascii="Times New Roman" w:eastAsia="Times New Roman" w:hAnsi="Times New Roman"/>
            <w:color w:val="000000" w:themeColor="text1"/>
            <w:sz w:val="28"/>
            <w:szCs w:val="28"/>
            <w:lang w:eastAsia="ru-RU"/>
          </w:rPr>
          <w:t>статьей 78.2</w:t>
        </w:r>
      </w:hyperlink>
      <w:r>
        <w:rPr>
          <w:rFonts w:ascii="Times New Roman" w:eastAsia="Times New Roman" w:hAnsi="Times New Roman"/>
          <w:color w:val="000000" w:themeColor="text1"/>
          <w:sz w:val="28"/>
          <w:szCs w:val="28"/>
          <w:lang w:eastAsia="ru-RU"/>
        </w:rPr>
        <w:t xml:space="preserve"> Бюджетного кодекса, </w:t>
      </w:r>
      <w:r>
        <w:rPr>
          <w:rFonts w:ascii="Times New Roman" w:hAnsi="Times New Roman"/>
          <w:color w:val="000000" w:themeColor="text1"/>
          <w:sz w:val="28"/>
          <w:szCs w:val="28"/>
        </w:rPr>
        <w:t>условиями которых предусмотрен аванс, а также контракты, договоры, заключенные в рамках их исполнения.</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положениями статьи 6 и статьи 8 Федерального закона от 28 декабря 2016 г. № 471-ФЗ «О внесении изменений в отдельные законодательные акты Российской Федерации и признании утратившими силу отдельных положений законодательных актов Российской Федерации» с 1 января 2017 года государственные контракты, контракты, заключенные </w:t>
      </w:r>
      <w:r>
        <w:rPr>
          <w:rFonts w:ascii="Times New Roman" w:hAnsi="Times New Roman"/>
          <w:color w:val="000000" w:themeColor="text1"/>
          <w:sz w:val="28"/>
          <w:szCs w:val="28"/>
        </w:rPr>
        <w:br/>
        <w:t xml:space="preserve">в рамках исполнения государственного оборонного заказа иными государственными заказчиками (за исключением государственных контрактов, контрактов, которые при принятии соответствующего решения </w:t>
      </w:r>
      <w:r>
        <w:rPr>
          <w:rFonts w:ascii="Times New Roman" w:hAnsi="Times New Roman"/>
          <w:color w:val="000000" w:themeColor="text1"/>
          <w:sz w:val="28"/>
          <w:szCs w:val="28"/>
        </w:rPr>
        <w:lastRenderedPageBreak/>
        <w:t>Правительства Российской Федерации подлежат банковскому сопровождению) подлежат казначейскому сопровождению и попадают под действие положений статьи 5 Федерального закона № 415-ФЗ.</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Таким образом, казначейскому сопровождению подлежат:</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государственные контракты, заключаемые в рамках исполнения государственного оборонного заказа иными государственными заказчиками на сумму более 100 000,0 тыс. рублей, условиями которых предусмотрен аванс, а также контракты (договоры), заключаемые в рамках их исполнения;</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государственные контракты, заключаемые в рамках исполнения государственного оборонного заказа иными государственными заказчиками, условиями которых предусмотрено авансирование от 30 до 80 процентов от суммы государственного контракта, а также контракты, договоры, заключенные в рамках их исполнения и предусматривающие авансовые платежи;</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средства, получаемые юридическими лицами по государственным контрактам (контрактам, договорам) в случаях, установленных Правительством Российской Федерации.</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Федеральным казначейством утвержден 28 декабря 2016 года План мероприятий («дорожная карта») по обеспечению казначейского сопровождения иных государственных заказчиков, государственного оборонного заказа.</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реализации указанного плана 18 января 2017 года Федеральным казначейством совместно с Минфином России проведено совещание с представителями ГРБС, являющихся государственными заказчиками по государственным контрактам, заключенным в рамках реализации государственного оборонного заказа, на тему «Казначейское сопровождение государственных контрактов (контрактов), заключенных </w:t>
      </w:r>
      <w:r>
        <w:rPr>
          <w:rFonts w:ascii="Times New Roman" w:hAnsi="Times New Roman"/>
          <w:color w:val="000000" w:themeColor="text1"/>
          <w:sz w:val="28"/>
          <w:szCs w:val="28"/>
        </w:rPr>
        <w:br/>
        <w:t xml:space="preserve">в рамках реализации государственного оборонного заказа в 2017 году», </w:t>
      </w:r>
      <w:r>
        <w:rPr>
          <w:rFonts w:ascii="Times New Roman" w:hAnsi="Times New Roman"/>
          <w:color w:val="000000" w:themeColor="text1"/>
          <w:sz w:val="28"/>
          <w:szCs w:val="28"/>
        </w:rPr>
        <w:br/>
        <w:t>на котором</w:t>
      </w:r>
      <w:r>
        <w:rPr>
          <w:rFonts w:ascii="Times New Roman" w:hAnsi="Times New Roman"/>
          <w:color w:val="000000" w:themeColor="text1"/>
        </w:rPr>
        <w:t xml:space="preserve"> </w:t>
      </w:r>
      <w:r>
        <w:rPr>
          <w:rFonts w:ascii="Times New Roman" w:hAnsi="Times New Roman"/>
          <w:color w:val="000000" w:themeColor="text1"/>
          <w:sz w:val="28"/>
          <w:szCs w:val="28"/>
        </w:rPr>
        <w:t>представителям ГРБС, являющихся государственными заказчиками, были даны соответствующие разъяснения и консультации.</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Минфином России подготовлен проект постановления Российской Федерации, который содержит нормы о казначейском сопровождении расчетов по исполнению государственных контрактов, заключенных </w:t>
      </w:r>
      <w:r>
        <w:rPr>
          <w:rFonts w:ascii="Times New Roman" w:hAnsi="Times New Roman"/>
          <w:color w:val="000000" w:themeColor="text1"/>
          <w:sz w:val="28"/>
          <w:szCs w:val="28"/>
        </w:rPr>
        <w:br/>
        <w:t>в рамках исполнения государственного оборонного заказа иными государственными заказчиками.</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целях совершенствования правового регулирования казначейского сопровождения Минфином России подготовлены поправки </w:t>
      </w:r>
      <w:r>
        <w:rPr>
          <w:rFonts w:ascii="Times New Roman" w:hAnsi="Times New Roman"/>
          <w:color w:val="000000" w:themeColor="text1"/>
          <w:sz w:val="28"/>
          <w:szCs w:val="28"/>
        </w:rPr>
        <w:br/>
        <w:t>в действующую редакцию Бюджетного кодекса.</w:t>
      </w:r>
    </w:p>
    <w:p>
      <w:pPr>
        <w:tabs>
          <w:tab w:val="num" w:pos="720"/>
        </w:tabs>
        <w:spacing w:after="0" w:line="360" w:lineRule="atLeast"/>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xml:space="preserve">Казначейское сопровождение государственных контрактов, контрактов, заключенных в рамках государственного оборонного заказа, </w:t>
      </w:r>
      <w:r>
        <w:rPr>
          <w:rFonts w:ascii="Times New Roman" w:hAnsi="Times New Roman"/>
          <w:color w:val="000000" w:themeColor="text1"/>
          <w:sz w:val="28"/>
          <w:szCs w:val="28"/>
        </w:rPr>
        <w:lastRenderedPageBreak/>
        <w:t>позволит обеспечить прозрачность исполнения государственного оборонного заказа путем создания реестра схем кооперации по каждому государственному контракту и реестра платежей с использованием отдельного счета, открытого для каждого государственного контракта, контракта и идентификатора государственного контракта.</w:t>
      </w:r>
    </w:p>
    <w:p>
      <w:pPr>
        <w:tabs>
          <w:tab w:val="num" w:pos="72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Указанные реестры будут направляться Федеральным казначейством в Федеральную службу по финансовому мониторингу для совместного анализа.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1.2.2. Интеграция казначейского сопровождения средств, предоставляемых юридическим лицам на основании государственных контрактов, и банковского сопровождения указанных государственных контрактов</w:t>
      </w:r>
    </w:p>
    <w:p>
      <w:pPr>
        <w:spacing w:before="120" w:after="12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2017 году Федеральным казначейством планируется продолжить реализацию интеграции казначейского сопровождения средств, предоставляемых юридическим лицам на основании государственных контрактов, и банковского сопровождения указанных государственных контрактов на базе строительства транспортного перехода через Керченский пролив.</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1.3. Повышение эффективности процессов управления финансовыми ресурсами Российской Федерации</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1.3.1. Прогнозирование и кассовое планирование средств</w:t>
      </w:r>
      <w:r>
        <w:rPr>
          <w:rFonts w:ascii="Times New Roman" w:hAnsi="Times New Roman"/>
          <w:b/>
          <w:color w:val="000000" w:themeColor="text1"/>
          <w:sz w:val="28"/>
          <w:szCs w:val="28"/>
        </w:rPr>
        <w:br/>
        <w:t>на едином казначейском счете (на среднесрочную перспективу)</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Важной стратегической задачей Федерального казначейства на 2017 год в условиях увеличения дефицита федерального бюджета станет подготовка предложений по запуску механизма привлечения краткосрочных займов у кредитных организаций в случае предполагаемых кассовых разрывов на ЕСФД.</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большое внимание будет уделено созданию методологической и технологической базы для развития операций покупки (продажи) ценных бумаг по договорам репо (расширение линейки сроков договоров репо, учет купонного дохода по ценным бумагам и др.), а также совершенствованию операций репо в части ликвидационного </w:t>
      </w:r>
      <w:proofErr w:type="spellStart"/>
      <w:r>
        <w:rPr>
          <w:rFonts w:ascii="Times New Roman" w:eastAsia="Times New Roman" w:hAnsi="Times New Roman"/>
          <w:color w:val="000000" w:themeColor="text1"/>
          <w:sz w:val="28"/>
          <w:szCs w:val="28"/>
          <w:lang w:eastAsia="ru-RU"/>
        </w:rPr>
        <w:t>неттинга</w:t>
      </w:r>
      <w:proofErr w:type="spellEnd"/>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планируется продолжить практику предоставления бюджетных кредитов на пополнение остатков средств на счетах бюджетов субъектов Российской Федерации (местных бюджетов) субъектам Российской Федерации и муниципальным образованиям (в рамках ограниченной группы пилотов). Предполагается разработка механизма финансовых гарантий субъектам Российской Федерации </w:t>
      </w:r>
      <w:r>
        <w:rPr>
          <w:rFonts w:ascii="Times New Roman" w:eastAsia="Times New Roman" w:hAnsi="Times New Roman"/>
          <w:color w:val="000000" w:themeColor="text1"/>
          <w:sz w:val="28"/>
          <w:szCs w:val="28"/>
          <w:lang w:eastAsia="ru-RU"/>
        </w:rPr>
        <w:br/>
        <w:t>при предоставлении бюджетных кредитов.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В 2017 году будет продолжена работа по определению системы </w:t>
      </w:r>
      <w:proofErr w:type="spellStart"/>
      <w:r>
        <w:rPr>
          <w:rFonts w:ascii="Times New Roman" w:eastAsia="Times New Roman" w:hAnsi="Times New Roman"/>
          <w:color w:val="000000" w:themeColor="text1"/>
          <w:sz w:val="28"/>
          <w:szCs w:val="28"/>
          <w:lang w:eastAsia="ru-RU"/>
        </w:rPr>
        <w:t>рейтингования</w:t>
      </w:r>
      <w:proofErr w:type="spellEnd"/>
      <w:r>
        <w:rPr>
          <w:rFonts w:ascii="Times New Roman" w:eastAsia="Times New Roman" w:hAnsi="Times New Roman"/>
          <w:color w:val="000000" w:themeColor="text1"/>
          <w:sz w:val="28"/>
          <w:szCs w:val="28"/>
          <w:lang w:eastAsia="ru-RU"/>
        </w:rPr>
        <w:t xml:space="preserve"> публично-правовых образований при предоставлении бюджетных кредитов в случае недостаточности средств федерального бюджета.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2017 году продолжится работа по развитию операций управления остатками средств на ЕСФБ в части размещения средств федерального бюджета на депозиты во Внешэкономбанке.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рамках антикризисных мер в 2017 году будет продолжена работа </w:t>
      </w:r>
      <w:r>
        <w:rPr>
          <w:rFonts w:ascii="Times New Roman" w:eastAsia="Times New Roman" w:hAnsi="Times New Roman"/>
          <w:color w:val="000000" w:themeColor="text1"/>
          <w:sz w:val="28"/>
          <w:szCs w:val="28"/>
          <w:lang w:eastAsia="ru-RU"/>
        </w:rPr>
        <w:br/>
        <w:t>по разработке предложений по</w:t>
      </w:r>
      <w:r>
        <w:rPr>
          <w:rFonts w:ascii="Times New Roman" w:eastAsia="Times New Roman" w:hAnsi="Times New Roman"/>
          <w:color w:val="000000" w:themeColor="text1"/>
          <w:sz w:val="28"/>
          <w:szCs w:val="20"/>
          <w:lang w:eastAsia="ru-RU"/>
        </w:rPr>
        <w:t xml:space="preserve"> совершенствованию нормативно-правовой базы</w:t>
      </w:r>
      <w:r>
        <w:rPr>
          <w:rFonts w:ascii="Times New Roman" w:eastAsia="Times New Roman" w:hAnsi="Times New Roman"/>
          <w:color w:val="000000" w:themeColor="text1"/>
          <w:sz w:val="28"/>
          <w:szCs w:val="28"/>
          <w:lang w:eastAsia="ru-RU"/>
        </w:rPr>
        <w:t xml:space="preserve">, предусматривающих изменение требований к кредитным организациям при размещении средств федерального бюджета </w:t>
      </w:r>
      <w:r>
        <w:rPr>
          <w:rFonts w:ascii="Times New Roman" w:eastAsia="Times New Roman" w:hAnsi="Times New Roman"/>
          <w:color w:val="000000" w:themeColor="text1"/>
          <w:sz w:val="28"/>
          <w:szCs w:val="28"/>
          <w:lang w:eastAsia="ru-RU"/>
        </w:rPr>
        <w:br/>
        <w:t>на банковских депозитах.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Большое внимание будет уделено мероприятиям по сопряжению операций управления остатками средств на ЕСФБ с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повышения эффективности использования ресурсов ЕКС Федеральному казначейству в 2017 году предстоит развитие механизма ежедневного </w:t>
      </w:r>
      <w:proofErr w:type="spellStart"/>
      <w:r>
        <w:rPr>
          <w:rFonts w:ascii="Times New Roman" w:hAnsi="Times New Roman"/>
          <w:color w:val="000000" w:themeColor="text1"/>
          <w:sz w:val="28"/>
          <w:szCs w:val="28"/>
        </w:rPr>
        <w:t>таргетирования</w:t>
      </w:r>
      <w:proofErr w:type="spellEnd"/>
      <w:r>
        <w:rPr>
          <w:rFonts w:ascii="Times New Roman" w:hAnsi="Times New Roman"/>
          <w:color w:val="000000" w:themeColor="text1"/>
          <w:sz w:val="28"/>
          <w:szCs w:val="28"/>
        </w:rPr>
        <w:t xml:space="preserve"> остатков средств федерального бюджета, усовершенствование механизма доведения и контроля предельных объемов финансирования, утвержденных ГРБС, а также механизма мониторинга </w:t>
      </w:r>
      <w:proofErr w:type="spellStart"/>
      <w:r>
        <w:rPr>
          <w:rFonts w:ascii="Times New Roman" w:hAnsi="Times New Roman"/>
          <w:color w:val="000000" w:themeColor="text1"/>
          <w:sz w:val="28"/>
          <w:szCs w:val="28"/>
        </w:rPr>
        <w:t>непревышения</w:t>
      </w:r>
      <w:proofErr w:type="spellEnd"/>
      <w:r>
        <w:rPr>
          <w:rFonts w:ascii="Times New Roman" w:hAnsi="Times New Roman"/>
          <w:color w:val="000000" w:themeColor="text1"/>
          <w:sz w:val="28"/>
          <w:szCs w:val="28"/>
        </w:rPr>
        <w:t xml:space="preserve"> кассовыми выплатами предельных объемов финансирования, доведенных до ГРБС.</w:t>
      </w:r>
    </w:p>
    <w:p>
      <w:pPr>
        <w:spacing w:after="0" w:line="360" w:lineRule="atLeast"/>
        <w:ind w:firstLine="709"/>
        <w:jc w:val="both"/>
        <w:rPr>
          <w:rFonts w:ascii="Times New Roman" w:hAnsi="Times New Roman"/>
          <w:i/>
          <w:color w:val="000000" w:themeColor="text1"/>
          <w:sz w:val="28"/>
          <w:szCs w:val="28"/>
        </w:rPr>
      </w:pPr>
      <w:r>
        <w:rPr>
          <w:rFonts w:ascii="Times New Roman" w:hAnsi="Times New Roman"/>
          <w:color w:val="000000" w:themeColor="text1"/>
          <w:sz w:val="28"/>
          <w:szCs w:val="28"/>
        </w:rPr>
        <w:t xml:space="preserve">В 2017 году Федеральному казначейству предстоит создание </w:t>
      </w:r>
      <w:r>
        <w:rPr>
          <w:rFonts w:ascii="Times New Roman" w:hAnsi="Times New Roman"/>
          <w:color w:val="000000" w:themeColor="text1"/>
          <w:sz w:val="28"/>
          <w:szCs w:val="28"/>
        </w:rPr>
        <w:br/>
        <w:t>и развитие модуля кассового планирования подсистемы «Управление денежными средствами» ГИИС «Электронный бюджет».</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1.4. Обеспечение функционирования системы казначейских платежей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продолжение мероприятий по нормативному правовому регулированию функционирования системы казначейских платежей </w:t>
      </w:r>
      <w:r>
        <w:rPr>
          <w:rFonts w:ascii="Times New Roman" w:hAnsi="Times New Roman"/>
          <w:color w:val="000000" w:themeColor="text1"/>
          <w:sz w:val="28"/>
          <w:szCs w:val="28"/>
        </w:rPr>
        <w:br/>
        <w:t xml:space="preserve">и подготовке к созданию подсистемы «Управление денежными средствами» ГИИС «Электронный бюджет», осуществленных ранее Федеральным казначейством, в среднесрочной перспективе планируется разработать бизнес-процессы перевода денежных средств и проведения расчетов между участниками системы казначейских платежей с декомпозицией </w:t>
      </w:r>
      <w:r>
        <w:rPr>
          <w:rFonts w:ascii="Times New Roman" w:hAnsi="Times New Roman"/>
          <w:color w:val="000000" w:themeColor="text1"/>
          <w:sz w:val="28"/>
          <w:szCs w:val="28"/>
        </w:rPr>
        <w:br/>
        <w:t>до операций. На основании согласованных бизнес-процессов будут подготовлены и утверждены (при наличии правовых основании) Правила организации и функционирования системы казначейских платежей, а также иные НПА, необходимые для «пилотирования» расчетов в условиях ЕКС.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Во взаимодействии с Банком России потребуется согласовать и внести соответствующие изменения в нормативные акты Банка России </w:t>
      </w:r>
      <w:r>
        <w:rPr>
          <w:rFonts w:ascii="Times New Roman" w:hAnsi="Times New Roman"/>
          <w:color w:val="000000" w:themeColor="text1"/>
          <w:sz w:val="28"/>
          <w:szCs w:val="28"/>
        </w:rPr>
        <w:br/>
        <w:t>для введения балансового счета ЕКС и его характеристики в планы счетов Банка России и кредитных организаций.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Указанные мероприятия позволят уже в 2017 году апробировать </w:t>
      </w:r>
      <w:r>
        <w:rPr>
          <w:rFonts w:ascii="Times New Roman" w:hAnsi="Times New Roman"/>
          <w:color w:val="000000" w:themeColor="text1"/>
          <w:sz w:val="28"/>
          <w:szCs w:val="28"/>
        </w:rPr>
        <w:br/>
        <w:t xml:space="preserve">на ограниченном числе банковских счетов, открытых в настоящее время </w:t>
      </w:r>
      <w:r>
        <w:rPr>
          <w:rFonts w:ascii="Times New Roman" w:hAnsi="Times New Roman"/>
          <w:color w:val="000000" w:themeColor="text1"/>
          <w:sz w:val="28"/>
          <w:szCs w:val="28"/>
        </w:rPr>
        <w:br/>
        <w:t>в Банке России, переход на осуществление операций в системе казначейских платежей в условиях ЕКС.</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условиях функционирования ЕКС предполагается утвердить приказы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 утверждении плана счетов казначейского учета и инструкции по его применению»;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утверждении форм казначейской отчетности и порядка </w:t>
      </w:r>
      <w:r>
        <w:rPr>
          <w:rFonts w:ascii="Times New Roman" w:hAnsi="Times New Roman"/>
          <w:color w:val="000000" w:themeColor="text1"/>
          <w:sz w:val="28"/>
          <w:szCs w:val="28"/>
        </w:rPr>
        <w:br/>
        <w:t>ее составления, утверждения и представления»;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 утверждении форм первичных учетных документов и регистров казначейского учета, применяемых органами Федерального казначейства, </w:t>
      </w:r>
      <w:r>
        <w:rPr>
          <w:rFonts w:ascii="Times New Roman" w:hAnsi="Times New Roman"/>
          <w:color w:val="000000" w:themeColor="text1"/>
          <w:sz w:val="28"/>
          <w:szCs w:val="28"/>
        </w:rPr>
        <w:br/>
        <w:t>и методических указаний по их применению».</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Результат выполнения указанного мероприятия позволит усовершенствовать систему бюджетных платежей, повысить прозрачность </w:t>
      </w:r>
      <w:r>
        <w:rPr>
          <w:rFonts w:ascii="Times New Roman" w:hAnsi="Times New Roman"/>
          <w:color w:val="000000" w:themeColor="text1"/>
          <w:sz w:val="28"/>
          <w:szCs w:val="28"/>
        </w:rPr>
        <w:br/>
        <w:t>и доступность информации о финансовой деятельности в государственном секторе и уровня доверия граждан к власти, а также обеспечит прозрачность деятельности Федерального казначейства.</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1.5. Создание платежных сервисов и развитие Государственной информационной системы о государственных и муниципальных платежах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Федеральное казначейство продолжит работу </w:t>
      </w:r>
      <w:r>
        <w:rPr>
          <w:rFonts w:ascii="Times New Roman" w:hAnsi="Times New Roman"/>
          <w:color w:val="000000" w:themeColor="text1"/>
          <w:sz w:val="28"/>
          <w:szCs w:val="28"/>
        </w:rPr>
        <w:br/>
        <w:t xml:space="preserve">по определению в рамках положений новой редакции Бюджетного кодекса особенностей приема кредитными организациями бюджетных платежей </w:t>
      </w:r>
      <w:r>
        <w:rPr>
          <w:rFonts w:ascii="Times New Roman" w:hAnsi="Times New Roman"/>
          <w:color w:val="000000" w:themeColor="text1"/>
          <w:sz w:val="28"/>
          <w:szCs w:val="28"/>
        </w:rPr>
        <w:br/>
        <w:t>с использованием платежных карт, а также особенностей эмиссии платежных карт национальной системы платежных карт для участников системы казначейских платежей. Соответствующие предложения будут представлены на рассмотрение в Министерство финансов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 учетом положений проекта федерального закона № 61700-7 </w:t>
      </w:r>
      <w:r>
        <w:rPr>
          <w:rFonts w:ascii="Times New Roman" w:hAnsi="Times New Roman"/>
          <w:color w:val="000000" w:themeColor="text1"/>
          <w:sz w:val="28"/>
          <w:szCs w:val="28"/>
        </w:rPr>
        <w:br/>
        <w:t xml:space="preserve">«О внесении изменений в Федеральный закон «О национальной платежной системе» и статью 16.1 Закона Российской Федерации «О защите прав потребителей», устанавливающим обязанность кредитных организаций зачислять все виды денежных выплат физическим лицам, осуществляемых </w:t>
      </w:r>
      <w:r>
        <w:rPr>
          <w:rFonts w:ascii="Times New Roman" w:hAnsi="Times New Roman"/>
          <w:color w:val="000000" w:themeColor="text1"/>
          <w:sz w:val="28"/>
          <w:szCs w:val="28"/>
        </w:rPr>
        <w:br/>
        <w:t xml:space="preserve">за счет средств бюджетов бюджетной системы Российской Федерации,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с 1 января 2018 года на платежные карты «Мир», Федеральным казначейством в 2017 году будет осуществлена апробация нового механизма выплат на банковские счета с использованием только номера платежной карты «Мир» вместо указываемых в настоящее время получателем средств наименования, банковского идентификационного кода и корреспондентского счета банка получателя, а также номера счета получателя. До перехода к апробации потребуется обеспечить телекоммуникационное и информационное взаимодействие между Федеральным казначейством и оператором платежной системы «Мир» – акционерным обществом «Национальная система платежных карт», а также уточнить форматы информационного обмена с «пилотным» клиентом Федерального казначейства – ФСС РФ.</w:t>
      </w:r>
    </w:p>
    <w:p>
      <w:pPr>
        <w:autoSpaceDE w:val="0"/>
        <w:autoSpaceDN w:val="0"/>
        <w:adjustRightInd w:val="0"/>
        <w:spacing w:before="120"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44</w:t>
      </w:r>
    </w:p>
    <w:p>
      <w:pPr>
        <w:spacing w:after="0" w:line="360" w:lineRule="atLeast"/>
        <w:ind w:firstLine="709"/>
        <w:jc w:val="center"/>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2488758" cy="1415332"/>
            <wp:effectExtent l="0" t="0" r="6985" b="0"/>
            <wp:docPr id="34" name="Рисунок 34" descr="C:\Users\2773\Desktop\рисунки для проекта итогового доклада\Рисунок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773\Desktop\рисунки для проекта итогового доклада\Рисунок14.pn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4042" t="4401" r="10170" b="19317"/>
                    <a:stretch/>
                  </pic:blipFill>
                  <pic:spPr bwMode="auto">
                    <a:xfrm>
                      <a:off x="0" y="0"/>
                      <a:ext cx="2494783" cy="1418758"/>
                    </a:xfrm>
                    <a:prstGeom prst="rect">
                      <a:avLst/>
                    </a:prstGeom>
                    <a:noFill/>
                    <a:ln>
                      <a:noFill/>
                    </a:ln>
                    <a:extLst>
                      <a:ext uri="{53640926-AAD7-44D8-BBD7-CCE9431645EC}">
                        <a14:shadowObscured xmlns:a14="http://schemas.microsoft.com/office/drawing/2010/main"/>
                      </a:ext>
                    </a:extLst>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Успешное завершение апробации позволит масштабировать данный механизм на все ТОФК и всех клиентов Федерального казначейства, осуществляющих выплаты денежных средств физическим лицам за счет средств бюджетов бюджетной системы Российской Федерации.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развитие данного механизма Казначейством России будут разработаны предложения о размещении на платежной карте «Мир» электронных социальных сертификатов без фактического размещения денежных средств и их применения в торгово-сервисных предприятиях </w:t>
      </w:r>
      <w:r>
        <w:rPr>
          <w:rFonts w:ascii="Times New Roman" w:hAnsi="Times New Roman"/>
          <w:color w:val="000000" w:themeColor="text1"/>
          <w:sz w:val="28"/>
          <w:szCs w:val="28"/>
        </w:rPr>
        <w:br/>
        <w:t>с оплатой предприятиям фактически понесенных расходов.</w:t>
      </w:r>
    </w:p>
    <w:p>
      <w:pPr>
        <w:autoSpaceDE w:val="0"/>
        <w:autoSpaceDN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Федеральное казначейство является оператором ГИС ГМП. В первую очередь ГИС ГМП предоставляет возможность гражданам и организациям</w:t>
      </w:r>
      <w:r>
        <w:rPr>
          <w:rFonts w:ascii="Times New Roman" w:hAnsi="Times New Roman"/>
          <w:color w:val="000000" w:themeColor="text1"/>
          <w:sz w:val="28"/>
          <w:szCs w:val="28"/>
        </w:rPr>
        <w:br/>
        <w:t xml:space="preserve">с использованием информационно-платежных сервисов кредитных организаций, взаимодействующих с указанной системой, оперативно узнавать об обязательствах перед бюджетом и своевременно производить их уплату в один «клик», что в свою очередь позволяет исключить возможность искажения платежных реквизитов и, как следствие, снизить невыясненные поступления на счета органов Федерального казначейства. </w:t>
      </w:r>
      <w:r>
        <w:rPr>
          <w:rFonts w:ascii="Times New Roman" w:hAnsi="Times New Roman"/>
          <w:color w:val="000000" w:themeColor="text1"/>
          <w:sz w:val="28"/>
          <w:szCs w:val="28"/>
        </w:rPr>
        <w:br/>
        <w:t>У граждан и организаций при этом появилась возможность получать услуги</w:t>
      </w:r>
      <w:r>
        <w:rPr>
          <w:rFonts w:ascii="Times New Roman" w:hAnsi="Times New Roman"/>
          <w:color w:val="000000" w:themeColor="text1"/>
          <w:sz w:val="28"/>
          <w:szCs w:val="28"/>
        </w:rPr>
        <w:br/>
        <w:t xml:space="preserve">в электронном виде без предоставления документов, подтверждающих </w:t>
      </w:r>
      <w:r>
        <w:rPr>
          <w:rFonts w:ascii="Times New Roman" w:hAnsi="Times New Roman"/>
          <w:color w:val="000000" w:themeColor="text1"/>
          <w:sz w:val="28"/>
          <w:szCs w:val="28"/>
        </w:rPr>
        <w:lastRenderedPageBreak/>
        <w:t>оплату, факт совершения которой доступен органу, оказывающему услугу, через ГИС ГМП в режиме реального времени.</w:t>
      </w:r>
    </w:p>
    <w:p>
      <w:pPr>
        <w:spacing w:after="0" w:line="360" w:lineRule="atLeast"/>
        <w:ind w:firstLine="709"/>
        <w:jc w:val="both"/>
        <w:rPr>
          <w:rFonts w:ascii="Times New Roman" w:hAnsi="Times New Roman"/>
          <w:color w:val="000000" w:themeColor="text1"/>
          <w:sz w:val="28"/>
          <w:szCs w:val="28"/>
        </w:rPr>
      </w:pPr>
    </w:p>
    <w:p>
      <w:pPr>
        <w:autoSpaceDE w:val="0"/>
        <w:autoSpaceDN w:val="0"/>
        <w:adjustRightInd w:val="0"/>
        <w:spacing w:after="120" w:line="240" w:lineRule="auto"/>
        <w:ind w:firstLine="7655"/>
        <w:jc w:val="right"/>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Рисунок 45</w:t>
      </w:r>
    </w:p>
    <w:p>
      <w:pPr>
        <w:spacing w:after="0" w:line="360" w:lineRule="atLeast"/>
        <w:ind w:firstLine="709"/>
        <w:jc w:val="both"/>
        <w:rPr>
          <w:rFonts w:ascii="Times New Roman" w:hAnsi="Times New Roman"/>
          <w:color w:val="000000" w:themeColor="text1"/>
          <w:sz w:val="28"/>
          <w:szCs w:val="28"/>
        </w:rPr>
      </w:pPr>
      <w:r>
        <w:rPr>
          <w:rFonts w:ascii="Times New Roman" w:hAnsi="Times New Roman"/>
          <w:noProof/>
          <w:color w:val="000000" w:themeColor="text1"/>
          <w:lang w:eastAsia="ru-RU"/>
        </w:rPr>
        <w:drawing>
          <wp:inline distT="0" distB="0" distL="0" distR="0">
            <wp:extent cx="5184251" cy="3466769"/>
            <wp:effectExtent l="0" t="0" r="0" b="0"/>
            <wp:docPr id="35" name="Рисунок 35" descr="C:\Users\2773\Desktop\рисунки для проекта итогового доклада\Рисунок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773\Desktop\рисунки для проекта итогового доклада\Рисунок15.pn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7221"/>
                    <a:stretch/>
                  </pic:blipFill>
                  <pic:spPr bwMode="auto">
                    <a:xfrm>
                      <a:off x="0" y="0"/>
                      <a:ext cx="5185344" cy="3467500"/>
                    </a:xfrm>
                    <a:prstGeom prst="rect">
                      <a:avLst/>
                    </a:prstGeom>
                    <a:noFill/>
                    <a:ln>
                      <a:noFill/>
                    </a:ln>
                    <a:extLst>
                      <a:ext uri="{53640926-AAD7-44D8-BBD7-CCE9431645EC}">
                        <a14:shadowObscured xmlns:a14="http://schemas.microsoft.com/office/drawing/2010/main"/>
                      </a:ext>
                    </a:extLst>
                  </pic:spPr>
                </pic:pic>
              </a:graphicData>
            </a:graphic>
          </wp:inline>
        </w:drawing>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совершенствования функционирования ГИС ГМП в 2017 году Федеральным казначейством с привлечением ТОФК продолжится работа, направленная на обеспечение полноты, своевременности и качества данных, предоставляемых участниками в ГИС ГМП.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Вместе с тем Федеральным казначейством будут сформированы предложения по внесению изменений в НПА в целях расширения использования информации, содержащейся в ГИС ГМП, для подтверждения оплаты, в том числе при возврате денежных средств. Особенно важными</w:t>
      </w:r>
      <w:r>
        <w:rPr>
          <w:rFonts w:ascii="Times New Roman" w:hAnsi="Times New Roman"/>
          <w:color w:val="000000" w:themeColor="text1"/>
          <w:sz w:val="28"/>
          <w:szCs w:val="28"/>
        </w:rPr>
        <w:br/>
        <w:t>в этой части будут изменения, которые необходимо предусмотреть</w:t>
      </w:r>
      <w:r>
        <w:rPr>
          <w:rFonts w:ascii="Times New Roman" w:hAnsi="Times New Roman"/>
          <w:color w:val="000000" w:themeColor="text1"/>
          <w:sz w:val="28"/>
          <w:szCs w:val="28"/>
        </w:rPr>
        <w:br/>
        <w:t>в Федеральном законе от 2 октября 2007 г. № 229-ФЗ «Об исполнительном производстве», предоставив судебным приставам возможность принимать решение о возбуждении или прекращении исполнительного производства, в том числе и на основании информации, получаемой службой из ГИС ГМП.</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Также в 2017 году Федеральное казначейство во исполнение поручений по пунктам 4, 5 раздела </w:t>
      </w:r>
      <w:r>
        <w:rPr>
          <w:rFonts w:ascii="Times New Roman" w:eastAsiaTheme="minorHAnsi" w:hAnsi="Times New Roman"/>
          <w:color w:val="000000" w:themeColor="text1"/>
          <w:sz w:val="28"/>
          <w:szCs w:val="28"/>
          <w:lang w:val="en-US"/>
        </w:rPr>
        <w:t>I</w:t>
      </w:r>
      <w:r>
        <w:rPr>
          <w:rFonts w:ascii="Times New Roman" w:eastAsiaTheme="minorHAnsi" w:hAnsi="Times New Roman"/>
          <w:color w:val="000000" w:themeColor="text1"/>
          <w:sz w:val="28"/>
          <w:szCs w:val="28"/>
        </w:rPr>
        <w:t xml:space="preserve"> Протокола заседания подкомиссии</w:t>
      </w:r>
      <w:r>
        <w:rPr>
          <w:rFonts w:ascii="Times New Roman" w:eastAsiaTheme="minorHAnsi" w:hAnsi="Times New Roman"/>
          <w:color w:val="000000" w:themeColor="text1"/>
          <w:sz w:val="28"/>
          <w:szCs w:val="28"/>
        </w:rPr>
        <w:br/>
        <w:t xml:space="preserve">по использованию информационных технологий при предоставлении государственных и муниципальных услуг Правительственной комиссии </w:t>
      </w:r>
      <w:r>
        <w:rPr>
          <w:rFonts w:ascii="Times New Roman" w:eastAsiaTheme="minorHAnsi" w:hAnsi="Times New Roman"/>
          <w:color w:val="000000" w:themeColor="text1"/>
          <w:sz w:val="28"/>
          <w:szCs w:val="28"/>
        </w:rPr>
        <w:br/>
        <w:t xml:space="preserve">по использованию информационных технологий для улучшения качества жизни и условий ведения предпринимательской деятельности </w:t>
      </w:r>
      <w:r>
        <w:rPr>
          <w:rFonts w:ascii="Times New Roman" w:eastAsiaTheme="minorHAnsi" w:hAnsi="Times New Roman"/>
          <w:color w:val="000000" w:themeColor="text1"/>
          <w:sz w:val="28"/>
          <w:szCs w:val="28"/>
        </w:rPr>
        <w:br/>
        <w:t xml:space="preserve">от 7 октября 2016 года проведет подготовительные мероприятия </w:t>
      </w:r>
      <w:r>
        <w:rPr>
          <w:rFonts w:ascii="Times New Roman" w:eastAsiaTheme="minorHAnsi" w:hAnsi="Times New Roman"/>
          <w:color w:val="000000" w:themeColor="text1"/>
          <w:sz w:val="28"/>
          <w:szCs w:val="28"/>
        </w:rPr>
        <w:br/>
      </w:r>
      <w:r>
        <w:rPr>
          <w:rFonts w:ascii="Times New Roman" w:eastAsiaTheme="minorHAnsi" w:hAnsi="Times New Roman"/>
          <w:color w:val="000000" w:themeColor="text1"/>
          <w:sz w:val="28"/>
          <w:szCs w:val="28"/>
        </w:rPr>
        <w:lastRenderedPageBreak/>
        <w:t xml:space="preserve">и обеспечит перевод ГИС ГМП, электронный сервис которой функционирует в единой системе межведомственного электронного взаимодействия в соответствии с Методическими рекомендациями по работе с единой системой межведомственного электронного взаимодействия версии 2.5.6, на технологию очередей электронных сообщений, обеспечивающую взаимодействие программ в асинхронном режиме, не требующей установки между ними прямой связи </w:t>
      </w:r>
      <w:r>
        <w:rPr>
          <w:rFonts w:ascii="Times New Roman" w:eastAsiaTheme="minorHAnsi" w:hAnsi="Times New Roman"/>
          <w:color w:val="000000" w:themeColor="text1"/>
          <w:sz w:val="28"/>
          <w:szCs w:val="28"/>
        </w:rPr>
        <w:br/>
        <w:t xml:space="preserve">и гарантирующей получение передаваемых электронных сообщений. </w:t>
      </w:r>
      <w:r>
        <w:rPr>
          <w:rFonts w:ascii="Times New Roman" w:eastAsiaTheme="minorHAnsi" w:hAnsi="Times New Roman"/>
          <w:color w:val="000000" w:themeColor="text1"/>
          <w:sz w:val="28"/>
          <w:szCs w:val="28"/>
        </w:rPr>
        <w:br/>
        <w:t>При этом учитывая, что в настоящее время к электронному сервису ГИС ГМП</w:t>
      </w:r>
      <w:r>
        <w:rPr>
          <w:rFonts w:ascii="Times New Roman" w:hAnsi="Times New Roman"/>
          <w:color w:val="000000" w:themeColor="text1"/>
          <w:sz w:val="28"/>
          <w:szCs w:val="28"/>
        </w:rPr>
        <w:t xml:space="preserve"> </w:t>
      </w:r>
      <w:r>
        <w:rPr>
          <w:rFonts w:ascii="Times New Roman" w:eastAsiaTheme="minorHAnsi" w:hAnsi="Times New Roman"/>
          <w:color w:val="000000" w:themeColor="text1"/>
          <w:sz w:val="28"/>
          <w:szCs w:val="28"/>
        </w:rPr>
        <w:t>в единой системе межведомственного электронного взаимодействия подключены более 9 500 информационных систем, обеспечивающих взаимодействие с ГИС ГМП около 47 000 участников, миграция данных участников на вышеуказанную технологию будет осуществляться постепенно до конца 2018 года.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Дополнительно в рамках развития ГИС ГМП, Федеральным казначейством в 2017 году будет обеспечено функционирование портального решения ГИС ГМП, разработан порядок функционирования платежного приложения системы, усовершенствованы механизмы </w:t>
      </w:r>
      <w:proofErr w:type="spellStart"/>
      <w:r>
        <w:rPr>
          <w:rFonts w:ascii="Times New Roman" w:hAnsi="Times New Roman"/>
          <w:color w:val="000000" w:themeColor="text1"/>
          <w:sz w:val="28"/>
          <w:szCs w:val="28"/>
        </w:rPr>
        <w:t>логирования</w:t>
      </w:r>
      <w:proofErr w:type="spellEnd"/>
      <w:r>
        <w:rPr>
          <w:rFonts w:ascii="Times New Roman" w:hAnsi="Times New Roman"/>
          <w:color w:val="000000" w:themeColor="text1"/>
          <w:sz w:val="28"/>
          <w:szCs w:val="28"/>
        </w:rPr>
        <w:t xml:space="preserve"> поступающей информации, а также реализована возможность передачи администраторами начислений в ГИС ГМП извещений о возврате денежных средств с последующим их автоматическим сопоставлением </w:t>
      </w:r>
      <w:r>
        <w:rPr>
          <w:rFonts w:ascii="Times New Roman" w:hAnsi="Times New Roman"/>
          <w:color w:val="000000" w:themeColor="text1"/>
          <w:sz w:val="28"/>
          <w:szCs w:val="28"/>
        </w:rPr>
        <w:br/>
        <w:t>с информацией об уплате.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1.6. Обеспечение организации исполнения судебных актов, решений налоговых органов и обеспечение внедрения организации исполнения электронного исполнительного документа</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совершенствования организации исполнения решений налоговых органов о взыскании налога, сбора, пеней и штрафов, технического сопровождения организации исполнения решений налоговых органов о взыскании налога, сбора, пеней и штрафов, в том числе формирование отчетности по поступившим в ТОФК решениям налоговых органов в ППО «АСФК» Федеральное казначейство планирует разработать и утвердить форматы и порядок направления уведомления о неисполнении решения о взыскании за счет денежных средств, отраженных на лицевых счетах налогоплательщика (налогового агента), что приведет </w:t>
      </w:r>
      <w:r>
        <w:rPr>
          <w:rFonts w:ascii="Times New Roman" w:eastAsia="Times New Roman" w:hAnsi="Times New Roman"/>
          <w:color w:val="000000" w:themeColor="text1"/>
          <w:sz w:val="28"/>
          <w:szCs w:val="28"/>
          <w:lang w:eastAsia="ru-RU"/>
        </w:rPr>
        <w:br/>
        <w:t xml:space="preserve">к автоматическому направлению уведомлений о неисполнении решения </w:t>
      </w:r>
      <w:r>
        <w:rPr>
          <w:rFonts w:ascii="Times New Roman" w:eastAsia="Times New Roman" w:hAnsi="Times New Roman"/>
          <w:color w:val="000000" w:themeColor="text1"/>
          <w:sz w:val="28"/>
          <w:szCs w:val="28"/>
          <w:lang w:eastAsia="ru-RU"/>
        </w:rPr>
        <w:br/>
        <w:t>в налоговые органы.</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Также в целях повышения финансовой дисциплины получателей средств бюджета планируется реализовать формирование отчетности </w:t>
      </w:r>
      <w:r>
        <w:rPr>
          <w:rFonts w:ascii="Times New Roman" w:eastAsia="Times New Roman" w:hAnsi="Times New Roman"/>
          <w:color w:val="000000" w:themeColor="text1"/>
          <w:sz w:val="28"/>
          <w:szCs w:val="28"/>
          <w:lang w:eastAsia="ru-RU"/>
        </w:rPr>
        <w:br/>
        <w:t xml:space="preserve">по систематическим неисполнениям решений налоговых органов в разрезе </w:t>
      </w:r>
      <w:r>
        <w:rPr>
          <w:rFonts w:ascii="Times New Roman" w:eastAsia="Times New Roman" w:hAnsi="Times New Roman"/>
          <w:color w:val="000000" w:themeColor="text1"/>
          <w:sz w:val="28"/>
          <w:szCs w:val="28"/>
          <w:lang w:eastAsia="ru-RU"/>
        </w:rPr>
        <w:lastRenderedPageBreak/>
        <w:t>территорий с указанием количества решений налоговых органов и суммы налогов, сборов, подлежащих взысканию, а также формирование отчетности по категориям взыскания (сумма взыскания налогов, сумма взыскания пеней и штрафов).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При проведении эксперимента по организации исполнения электронного исполнительного документа выявлены вопросы, которые необходимо урегулировать на законодательном уровне: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внесение изменений в главу 24.1. Бюджетного кодекса в части полномочий по организации исполнения электронного исполнительного документа (предложения Федерального казначейства учтены в новой редакции Бюджетного кодекса);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внесение изменений в Федеральный закон от 2 октября 2007 г. № 229-ФЗ «Об исполнительном производстве» в части дополнения требований, предъявляемых к исполнительному документу;</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внесение изменений в процессуальное законодательство Российской Федерации в части формы и содержания искового заявления.</w:t>
      </w:r>
    </w:p>
    <w:p>
      <w:pPr>
        <w:spacing w:before="60"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Основными, нерешенными в процессе проведения эксперимента, остаются следующие вопросы:</w:t>
      </w:r>
    </w:p>
    <w:p>
      <w:pPr>
        <w:spacing w:before="60"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завершение организации исполнения электронного исполнительного документа в случае исполнения требований, содержащихся в электронном исполнительном документе, в полном объеме, либо частичного исполнения с направлением в суд информационного письма о полном исполнении требований электронного исполнительного документа с указанием информации о произведенном взыскании, являющейся аналогом отметки </w:t>
      </w:r>
      <w:r>
        <w:rPr>
          <w:rFonts w:ascii="Times New Roman" w:eastAsia="Times New Roman" w:hAnsi="Times New Roman"/>
          <w:color w:val="000000" w:themeColor="text1"/>
          <w:sz w:val="28"/>
          <w:szCs w:val="28"/>
          <w:lang w:eastAsia="ru-RU"/>
        </w:rPr>
        <w:br/>
        <w:t xml:space="preserve">об исполнении требований исполнительного документа на бумажном носителе; </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возможность отзыва судом электронного исполнительного документа, в том числе посредством направления в ТОФК электронного сообщения об отзыве, формируемого и направляемого через программный продукт, используемый судом и ТОФК;</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возложение на суд обязанности по учету и контролю за движением отозванных электронных исполнительных документах, по которым произведено частичное исполнение, в целях исключения вероятности взыскания сверхустановленной электронным исполнительным документом суммы при повторном его предъявлении в ТОФК при условии, что технически не удастся реализовать «незыблемую отметку» о частичном исполнении электронного исполнительного документа в программном продукте, посредством которого формируется электронный </w:t>
      </w:r>
      <w:r>
        <w:rPr>
          <w:rFonts w:ascii="Times New Roman" w:eastAsia="Times New Roman" w:hAnsi="Times New Roman"/>
          <w:color w:val="000000" w:themeColor="text1"/>
          <w:sz w:val="28"/>
          <w:szCs w:val="28"/>
          <w:lang w:eastAsia="ru-RU"/>
        </w:rPr>
        <w:lastRenderedPageBreak/>
        <w:t>исполнительный документ, подписываемый усиленной квалифицированной электронной подписью;</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установление запрета на выдачу исполнительного документа </w:t>
      </w:r>
      <w:r>
        <w:rPr>
          <w:rFonts w:ascii="Times New Roman" w:eastAsia="Times New Roman" w:hAnsi="Times New Roman"/>
          <w:color w:val="000000" w:themeColor="text1"/>
          <w:sz w:val="28"/>
          <w:szCs w:val="28"/>
          <w:lang w:eastAsia="ru-RU"/>
        </w:rPr>
        <w:br/>
        <w:t xml:space="preserve">на бумажном носителе в том случае, если организация его исполнения </w:t>
      </w:r>
      <w:r>
        <w:rPr>
          <w:rFonts w:ascii="Times New Roman" w:eastAsia="Times New Roman" w:hAnsi="Times New Roman"/>
          <w:color w:val="000000" w:themeColor="text1"/>
          <w:sz w:val="28"/>
          <w:szCs w:val="28"/>
          <w:lang w:eastAsia="ru-RU"/>
        </w:rPr>
        <w:br/>
        <w:t>уже была начата в электронном виде, ровно, как и наоборот.</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связи с этим наблюдается необходимость издания требований </w:t>
      </w:r>
      <w:r>
        <w:rPr>
          <w:rFonts w:ascii="Times New Roman" w:eastAsia="Times New Roman" w:hAnsi="Times New Roman"/>
          <w:color w:val="000000" w:themeColor="text1"/>
          <w:sz w:val="28"/>
          <w:szCs w:val="28"/>
          <w:lang w:eastAsia="ru-RU"/>
        </w:rPr>
        <w:br/>
        <w:t>к форматам файлов при отзыве, приостановлении, отсрочке, рассрочке электронного исполнительного документа.</w:t>
      </w:r>
    </w:p>
    <w:p>
      <w:pPr>
        <w:autoSpaceDE w:val="0"/>
        <w:autoSpaceDN w:val="0"/>
        <w:adjustRightInd w:val="0"/>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этой связи полагаем возможным в рамках мероприятий на 2017 год подготовить перечень законодательных актов Российской Федерации </w:t>
      </w:r>
      <w:r>
        <w:rPr>
          <w:rFonts w:ascii="Times New Roman" w:eastAsia="Times New Roman" w:hAnsi="Times New Roman"/>
          <w:color w:val="000000" w:themeColor="text1"/>
          <w:sz w:val="28"/>
          <w:szCs w:val="28"/>
          <w:lang w:eastAsia="ru-RU"/>
        </w:rPr>
        <w:br/>
        <w:t xml:space="preserve">и НПА, подлежащих изменению (принятию) в части организации исполнения электронного исполнительного документа, и направить </w:t>
      </w:r>
      <w:r>
        <w:rPr>
          <w:rFonts w:ascii="Times New Roman" w:eastAsia="Times New Roman" w:hAnsi="Times New Roman"/>
          <w:color w:val="000000" w:themeColor="text1"/>
          <w:sz w:val="28"/>
          <w:szCs w:val="28"/>
          <w:lang w:eastAsia="ru-RU"/>
        </w:rPr>
        <w:br/>
        <w:t>в Минфин России, Минюст России и ФССП России.</w:t>
      </w:r>
    </w:p>
    <w:p>
      <w:pPr>
        <w:spacing w:after="0" w:line="360" w:lineRule="atLeast"/>
        <w:ind w:firstLine="708"/>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Планируется проведение опытной эксплуатации учета и исполнения электронных исполнительных документов на базе УФК по г. Москва, полученных от Московского городского суда г. Москвы.</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2. Исполнение учетных функций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2.1. Обеспечение прозрачности и доступности информации </w:t>
      </w:r>
      <w:r>
        <w:rPr>
          <w:rFonts w:ascii="Times New Roman" w:hAnsi="Times New Roman"/>
          <w:b/>
          <w:color w:val="000000" w:themeColor="text1"/>
          <w:sz w:val="28"/>
          <w:szCs w:val="28"/>
        </w:rPr>
        <w:br/>
        <w:t>о государственном секторе и общественных финансах</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Основным направлением деятельности Федерального казначейства на среднесрочную перспективу в 2017 году</w:t>
      </w:r>
      <w:r>
        <w:rPr>
          <w:rFonts w:ascii="Times New Roman" w:hAnsi="Times New Roman"/>
          <w:color w:val="000000" w:themeColor="text1"/>
        </w:rPr>
        <w:t xml:space="preserve"> </w:t>
      </w:r>
      <w:r>
        <w:rPr>
          <w:rFonts w:ascii="Times New Roman" w:hAnsi="Times New Roman"/>
          <w:color w:val="000000" w:themeColor="text1"/>
          <w:sz w:val="28"/>
          <w:szCs w:val="28"/>
        </w:rPr>
        <w:t>в рамках реализации основного мероприятия 2.4. «Кассовое обслуживание исполнения бюджетов бюджетной системы Российской Федерации, учет операций со средствами НУБП и формирование бюджетной отчетности» Госпрограммы № 40 предусмотрено мероприятие «Обеспечение прозрачности и доступности информации о государственном секторе и общественных финансах».</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реализации указанного мероприятия в 2017 году предполагается</w:t>
      </w:r>
      <w:r>
        <w:rPr>
          <w:rFonts w:ascii="Times New Roman" w:hAnsi="Times New Roman"/>
          <w:color w:val="000000" w:themeColor="text1"/>
        </w:rPr>
        <w:t xml:space="preserve"> </w:t>
      </w:r>
      <w:r>
        <w:rPr>
          <w:rFonts w:ascii="Times New Roman" w:hAnsi="Times New Roman"/>
          <w:color w:val="000000" w:themeColor="text1"/>
          <w:sz w:val="28"/>
          <w:szCs w:val="28"/>
        </w:rPr>
        <w:t>осуществлять функции: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формирования Федеральным казначейством сводной (консолидированной) бюджетной (бухгалтерской) отчетности;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формирования Федеральным казначейством оперативной отчетности;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формирования Федеральным казначейством отчетности </w:t>
      </w:r>
      <w:r>
        <w:rPr>
          <w:rFonts w:ascii="Times New Roman" w:hAnsi="Times New Roman"/>
          <w:color w:val="000000" w:themeColor="text1"/>
          <w:sz w:val="28"/>
          <w:szCs w:val="28"/>
        </w:rPr>
        <w:br/>
        <w:t>об исполнении федерального бюджета, консолидированного бюджета Российской Федерации и бюджетов государственных внебюджетных фондов и иной информации для представления заинтересованным пользователям;</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ведения бюджетного (казначейского) учета и формирования бюджетной отчетности по кассовому исполнению федерального бюджета, кассовому обслуживанию исполнения бюджетов бюджетной системы </w:t>
      </w:r>
      <w:r>
        <w:rPr>
          <w:rFonts w:ascii="Times New Roman" w:hAnsi="Times New Roman"/>
          <w:color w:val="000000" w:themeColor="text1"/>
          <w:sz w:val="28"/>
          <w:szCs w:val="28"/>
        </w:rPr>
        <w:lastRenderedPageBreak/>
        <w:t>Российской Федерации, операциям со средствами бюджетных, автономных учреждений и иных юридических лиц.</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Результат выполнения указанных мероприятий обеспечит: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своевременное и качественное формирование и представление бюджетной отчетности;</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достоверность, актуальность, прозрачность и доступность информации о состоянии общественных финансов.</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Основным направлением деятельности Федерального казначейства </w:t>
      </w:r>
      <w:r>
        <w:rPr>
          <w:rFonts w:ascii="Times New Roman" w:hAnsi="Times New Roman"/>
          <w:color w:val="000000" w:themeColor="text1"/>
          <w:sz w:val="28"/>
          <w:szCs w:val="28"/>
        </w:rPr>
        <w:br/>
        <w:t xml:space="preserve">на 2017 год по реализации Стратегической карты Казначейства России </w:t>
      </w:r>
      <w:r>
        <w:rPr>
          <w:rFonts w:ascii="Times New Roman" w:hAnsi="Times New Roman"/>
          <w:color w:val="000000" w:themeColor="text1"/>
          <w:sz w:val="28"/>
          <w:szCs w:val="28"/>
        </w:rPr>
        <w:br/>
        <w:t>на 2017–2021 годы в рамках реализации стратегической задачи 1. «Кассовое обслуживание исполнения бюджетов бюджетной системы Российской Федерации, учет операций со средствами НУБП и формирование бюджетной отчетности» предусмотрены мероприятия:</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 «Обеспечение рассмотрения и участие в обсуждении проектов федеральных стандартов ведения бухгалтерского учета сектора государственного управления на основе международных стандартов финансовой отчетности в общественном секторе»;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 «Разработка и направление в Минфин России предложений по внесению изменений в НПА Российской Федерации, обеспечивающих согласованность данных Статистики государственных финансов, финансовых счетов и Статистики национальных счетов».</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реализации указанных мероприятий предполагается подготовить и направить в Минфин России предложения по внесению изменений в НПА Российской Федерации в целях:</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разработки федеральных стандартов организации и ведения бухгалтерского учета сектора государственного управления на основе МСФО в общественном секторе;</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формирования отчетности по статистике государственных финансов Российской Федерации в соответствии с Руководством МВФ 2014 года;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обеспечения согласованности данных статистики государственных финансов, финансовых счетов и статистики национальных счетов.</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Результат выполнения указанных мероприятий обеспечит качественное кассовое обслуживание субъектов сектора государственного управления с целью надежного функционирования системы бухгалтерского учета на основе МСФО, повышение прозрачности и доступности информации о финансовой деятельности в государственном секторе </w:t>
      </w:r>
      <w:r>
        <w:rPr>
          <w:rFonts w:ascii="Times New Roman" w:hAnsi="Times New Roman"/>
          <w:color w:val="000000" w:themeColor="text1"/>
          <w:sz w:val="28"/>
          <w:szCs w:val="28"/>
        </w:rPr>
        <w:br/>
        <w:t>и уровня доверия граждан к власти.</w:t>
      </w:r>
    </w:p>
    <w:p>
      <w:pPr>
        <w:pageBreakBefore/>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lastRenderedPageBreak/>
        <w:t>2.1.1. </w:t>
      </w:r>
      <w:r>
        <w:rPr>
          <w:rFonts w:ascii="Times New Roman" w:hAnsi="Times New Roman"/>
          <w:b/>
          <w:color w:val="000000" w:themeColor="text1"/>
          <w:sz w:val="28"/>
          <w:szCs w:val="28"/>
          <w:lang w:eastAsia="ru-RU"/>
        </w:rPr>
        <w:t>Официальный сайт Российской Федерации</w:t>
      </w:r>
      <w:r>
        <w:rPr>
          <w:rFonts w:ascii="Times New Roman" w:hAnsi="Times New Roman"/>
          <w:b/>
          <w:color w:val="000000" w:themeColor="text1"/>
          <w:sz w:val="28"/>
          <w:szCs w:val="28"/>
          <w:lang w:eastAsia="ru-RU"/>
        </w:rPr>
        <w:br/>
        <w:t>в информационно-телекоммуникационной сети «Интернет» для размещения информации о государственных (муниципальных) учреждениях (www.bus.gov.ru)</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рамках развития Официального сайта ГМУ в начале 2017 года Федеральным казначейством планируется провести открытый конкурс, </w:t>
      </w:r>
      <w:r>
        <w:rPr>
          <w:rFonts w:ascii="Times New Roman" w:hAnsi="Times New Roman"/>
          <w:color w:val="000000" w:themeColor="text1"/>
          <w:sz w:val="28"/>
          <w:szCs w:val="28"/>
        </w:rPr>
        <w:br/>
        <w:t xml:space="preserve">по итогам которого будет заключен государственный контракт </w:t>
      </w:r>
      <w:r>
        <w:rPr>
          <w:rFonts w:ascii="Times New Roman" w:hAnsi="Times New Roman"/>
          <w:color w:val="000000" w:themeColor="text1"/>
          <w:sz w:val="28"/>
          <w:szCs w:val="28"/>
        </w:rPr>
        <w:br/>
        <w:t>на выполнение работ (оказание услуг) по развитию и эксплуатации ППО Официального сайта ГМУ.</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указанного государственного контракта Федеральное казначейство в 2017 году планирует дальнейшее развитие и модернизацию Официального сайта ГМУ, в том числе осуществление следующих работ:</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реализация возможности размещения информации </w:t>
      </w:r>
      <w:r>
        <w:rPr>
          <w:rFonts w:ascii="Times New Roman" w:hAnsi="Times New Roman"/>
          <w:color w:val="000000" w:themeColor="text1"/>
          <w:sz w:val="28"/>
          <w:szCs w:val="28"/>
        </w:rPr>
        <w:br/>
        <w:t xml:space="preserve">о государственном (муниципальном) задании в соответствии с пунктом 10 Положения о формировании государственного задания на оказание государственных услуг (выполнение работ) в отношении федеральных государственных учреждений и финансовом обеспечении выполнения государственного задания, утвержденного постановлением Правительства Российской Федерации от 26 июня 2015 г. № 640 «О порядке формирования государственного задания на оказание государственных услуг (выполнение работ) в отношении федеральных государственных учреждений </w:t>
      </w:r>
      <w:r>
        <w:rPr>
          <w:rFonts w:ascii="Times New Roman" w:hAnsi="Times New Roman"/>
          <w:color w:val="000000" w:themeColor="text1"/>
          <w:sz w:val="28"/>
          <w:szCs w:val="28"/>
        </w:rPr>
        <w:br/>
        <w:t xml:space="preserve">и финансового обеспечения выполнения государственного задания» </w:t>
      </w:r>
      <w:r>
        <w:rPr>
          <w:rFonts w:ascii="Times New Roman" w:hAnsi="Times New Roman"/>
          <w:color w:val="000000" w:themeColor="text1"/>
          <w:sz w:val="28"/>
          <w:szCs w:val="28"/>
        </w:rPr>
        <w:br/>
        <w:t xml:space="preserve">(в редакции постановления Правительства Российской Федерации </w:t>
      </w:r>
      <w:r>
        <w:rPr>
          <w:rFonts w:ascii="Times New Roman" w:hAnsi="Times New Roman"/>
          <w:color w:val="000000" w:themeColor="text1"/>
          <w:sz w:val="28"/>
          <w:szCs w:val="28"/>
        </w:rPr>
        <w:br/>
        <w:t>от 6 октября 2016 г. № 1006);</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реализация возможности размещения анкет для проведения опросов по работе организации, входящей в перечень организаций, подлежащих независимой оценке качества оказания услуг, за указанный период; </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повышения «дружественности» интерфейса Официального сайта ГМУ, в том числе </w:t>
      </w:r>
      <w:proofErr w:type="spellStart"/>
      <w:r>
        <w:rPr>
          <w:rFonts w:ascii="Times New Roman" w:hAnsi="Times New Roman"/>
          <w:color w:val="000000" w:themeColor="text1"/>
          <w:sz w:val="28"/>
          <w:szCs w:val="28"/>
        </w:rPr>
        <w:t>редизайн</w:t>
      </w:r>
      <w:proofErr w:type="spellEnd"/>
      <w:r>
        <w:rPr>
          <w:rFonts w:ascii="Times New Roman" w:hAnsi="Times New Roman"/>
          <w:color w:val="000000" w:themeColor="text1"/>
          <w:sz w:val="28"/>
          <w:szCs w:val="28"/>
        </w:rPr>
        <w:t xml:space="preserve"> Официального сайта ГМУ и разработка интерактивного путеводителя по Официальному сайту ГМУ»;</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реализации требований новой редакции приказа Министерства финансов Российской Федерации от 21 июля 2011 г. № 86н «Об утверждении порядка предоставления информации государственным (муниципальным) учреждением, ее размещения на официальном сайте </w:t>
      </w:r>
      <w:r>
        <w:rPr>
          <w:rFonts w:ascii="Times New Roman" w:hAnsi="Times New Roman"/>
          <w:color w:val="000000" w:themeColor="text1"/>
          <w:sz w:val="28"/>
          <w:szCs w:val="28"/>
        </w:rPr>
        <w:br/>
        <w:t>в сети Интернет и ведения указанного сайта»;</w:t>
      </w:r>
    </w:p>
    <w:p>
      <w:pPr>
        <w:pStyle w:val="a5"/>
        <w:spacing w:after="0" w:line="360" w:lineRule="atLeast"/>
        <w:ind w:left="0" w:firstLine="72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использования </w:t>
      </w:r>
      <w:proofErr w:type="spellStart"/>
      <w:r>
        <w:rPr>
          <w:rFonts w:ascii="Times New Roman" w:hAnsi="Times New Roman"/>
          <w:color w:val="000000" w:themeColor="text1"/>
          <w:sz w:val="28"/>
          <w:szCs w:val="28"/>
        </w:rPr>
        <w:t>вэб</w:t>
      </w:r>
      <w:proofErr w:type="spellEnd"/>
      <w:r>
        <w:rPr>
          <w:rFonts w:ascii="Times New Roman" w:hAnsi="Times New Roman"/>
          <w:color w:val="000000" w:themeColor="text1"/>
          <w:sz w:val="28"/>
          <w:szCs w:val="28"/>
        </w:rPr>
        <w:t>-сервисов обновления справочников в части БПГМУ и ВПГМУ, Реестра государственных заданий, Реестра соглашений, Реестра УБП и НУБП на Официальном сайте ГМУ;</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реализация возможности расчета интегральных и средних интегральных значений по результатам независимой оценки качества оказания услуг в соответствии с методикой расчета интегральных и средних интегральных значений;</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возможности формирования аналитических отчетов </w:t>
      </w:r>
      <w:r>
        <w:rPr>
          <w:rFonts w:ascii="Times New Roman" w:hAnsi="Times New Roman"/>
          <w:color w:val="000000" w:themeColor="text1"/>
          <w:sz w:val="28"/>
          <w:szCs w:val="28"/>
        </w:rPr>
        <w:br/>
        <w:t xml:space="preserve">по охвату организаций независимой оценкой качества оказания услуг, </w:t>
      </w:r>
      <w:r>
        <w:rPr>
          <w:rFonts w:ascii="Times New Roman" w:hAnsi="Times New Roman"/>
          <w:color w:val="000000" w:themeColor="text1"/>
          <w:sz w:val="28"/>
          <w:szCs w:val="28"/>
        </w:rPr>
        <w:br/>
        <w:t>а также отчетов с интегральными и средними интегральными значениями результатов независимой оценки качества оказания услуг;</w:t>
      </w:r>
    </w:p>
    <w:p>
      <w:pPr>
        <w:pStyle w:val="a5"/>
        <w:spacing w:after="0" w:line="360" w:lineRule="atLeast"/>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возможности формирования и направления заявки </w:t>
      </w:r>
      <w:r>
        <w:rPr>
          <w:rFonts w:ascii="Times New Roman" w:hAnsi="Times New Roman"/>
          <w:color w:val="000000" w:themeColor="text1"/>
          <w:sz w:val="28"/>
          <w:szCs w:val="28"/>
        </w:rPr>
        <w:br/>
        <w:t>на регистрацию на Официальном сайте ГМУ в форме электронного документа с использованием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2.2. Создание условий по обеспечению централизации ведения учета по исполнению бюджетов публично-правовых образований </w:t>
      </w:r>
      <w:r>
        <w:rPr>
          <w:rFonts w:ascii="Times New Roman" w:hAnsi="Times New Roman"/>
          <w:b/>
          <w:color w:val="000000" w:themeColor="text1"/>
          <w:sz w:val="28"/>
          <w:szCs w:val="28"/>
        </w:rPr>
        <w:br/>
        <w:t>в органах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Основным направлением деятельности Федерального казначейства на среднесрочную перспективу в 2017 году в рамках реализации основного мероприятия 2.4. «Кассовое обслуживание исполнения бюджетов бюджетной системы Российской Федерации, учет операций со средствами НУБП и формирование бюджетной отчетности» Госпрограммы № 40 предусмотрено мероприятие «Создание условий по обеспечению централизации ведения учета по исполнению бюджетов публично-правовых образований в органах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При реализации указанного мероприятия в 2017 году предполагается обеспечить: </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нормативное правовое регулирование централизации ведения учета и формирования бюджетной отчетности в органах Федерального казначейства;</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централизованное ведение учета бюджетных обязательств </w:t>
      </w:r>
      <w:r>
        <w:rPr>
          <w:rFonts w:ascii="Times New Roman" w:hAnsi="Times New Roman"/>
          <w:color w:val="000000" w:themeColor="text1"/>
          <w:sz w:val="28"/>
          <w:szCs w:val="28"/>
        </w:rPr>
        <w:br/>
        <w:t>и денежных обязательств УБП на федеральном уровне в органах Федерального казначейства.</w:t>
      </w:r>
    </w:p>
    <w:p>
      <w:pPr>
        <w:tabs>
          <w:tab w:val="left" w:pos="8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Результат выполнения указанного мероприятия обеспечит формирование единого информационного пространства финансовой деятельности публично-правовых образований Российской Федерации, повышение прозрачности и доступности информации о финансовой деятельности в государственном секторе и уровня доверия граждан </w:t>
      </w:r>
      <w:r>
        <w:rPr>
          <w:rFonts w:ascii="Times New Roman" w:hAnsi="Times New Roman"/>
          <w:color w:val="000000" w:themeColor="text1"/>
          <w:sz w:val="28"/>
          <w:szCs w:val="28"/>
        </w:rPr>
        <w:br/>
        <w:t>к власти, прозрачность деятельности Федерального казначейства.</w:t>
      </w:r>
    </w:p>
    <w:p>
      <w:pPr>
        <w:pageBreakBefore/>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3. Исполнение контрольных функций</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 Осуществление и совершенствование функций по контролю </w:t>
      </w:r>
      <w:r>
        <w:rPr>
          <w:rFonts w:ascii="Times New Roman" w:hAnsi="Times New Roman"/>
          <w:b/>
          <w:color w:val="000000" w:themeColor="text1"/>
          <w:sz w:val="28"/>
          <w:szCs w:val="28"/>
        </w:rPr>
        <w:br/>
        <w:t>в финансово-бюджетной сфере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намечен ряд мероприятий, направленных </w:t>
      </w:r>
      <w:r>
        <w:rPr>
          <w:rFonts w:ascii="Times New Roman" w:eastAsia="Times New Roman" w:hAnsi="Times New Roman"/>
          <w:color w:val="000000" w:themeColor="text1"/>
          <w:sz w:val="28"/>
          <w:szCs w:val="28"/>
          <w:lang w:eastAsia="ru-RU"/>
        </w:rPr>
        <w:br/>
        <w:t>на оптимизацию и повышение качества процесса планирования, координации, мониторинга осуществления контроля и надзора в финансово-бюджетной сфере, свода и анализа отчетности, которые должны обеспечить:</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совершенствование нормативной базы контрольно-надзорной деятельности Федерального казначейства и его территориальных органов </w:t>
      </w:r>
      <w:r>
        <w:rPr>
          <w:rFonts w:ascii="Times New Roman" w:eastAsia="Times New Roman" w:hAnsi="Times New Roman"/>
          <w:color w:val="000000" w:themeColor="text1"/>
          <w:sz w:val="28"/>
          <w:szCs w:val="24"/>
          <w:lang w:eastAsia="ru-RU"/>
        </w:rPr>
        <w:br/>
        <w:t xml:space="preserve">в финансово-бюджетной сфере; </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своевременную и качественную подготовку Плана контрольных мероприятий Федерального казначейства в финансово-бюджетной сфере </w:t>
      </w:r>
      <w:r>
        <w:rPr>
          <w:rFonts w:ascii="Times New Roman" w:eastAsia="Times New Roman" w:hAnsi="Times New Roman"/>
          <w:color w:val="000000" w:themeColor="text1"/>
          <w:sz w:val="28"/>
          <w:szCs w:val="24"/>
          <w:lang w:eastAsia="ru-RU"/>
        </w:rPr>
        <w:br/>
        <w:t xml:space="preserve">и планов контрольных мероприятий управлений Федерального казначейства по субъектам Российской Федерации в финансово-бюджетной сфере </w:t>
      </w:r>
      <w:r>
        <w:rPr>
          <w:rFonts w:ascii="Times New Roman" w:eastAsia="Times New Roman" w:hAnsi="Times New Roman"/>
          <w:color w:val="000000" w:themeColor="text1"/>
          <w:sz w:val="28"/>
          <w:szCs w:val="24"/>
          <w:lang w:eastAsia="ru-RU"/>
        </w:rPr>
        <w:br/>
        <w:t xml:space="preserve">на 2018 год; </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своевременность осуществления контрольных мероприятий </w:t>
      </w:r>
      <w:r>
        <w:rPr>
          <w:rFonts w:ascii="Times New Roman" w:eastAsia="Times New Roman" w:hAnsi="Times New Roman"/>
          <w:color w:val="000000" w:themeColor="text1"/>
          <w:sz w:val="28"/>
          <w:szCs w:val="24"/>
          <w:lang w:eastAsia="ru-RU"/>
        </w:rPr>
        <w:br/>
        <w:t xml:space="preserve">и мероприятий по реализации их результатов; </w:t>
      </w:r>
    </w:p>
    <w:p>
      <w:pPr>
        <w:tabs>
          <w:tab w:val="left" w:pos="993"/>
        </w:tabs>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повышение эффективности взаимодействия в рамках заключенных межведомственных соглашений.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планируется заключение соглашения о взаимодействии между Министерством внутренних дел Российской Федерации </w:t>
      </w:r>
      <w:r>
        <w:rPr>
          <w:rFonts w:ascii="Times New Roman" w:eastAsia="Times New Roman" w:hAnsi="Times New Roman"/>
          <w:color w:val="000000" w:themeColor="text1"/>
          <w:sz w:val="28"/>
          <w:szCs w:val="28"/>
          <w:lang w:eastAsia="ru-RU"/>
        </w:rPr>
        <w:br/>
        <w:t xml:space="preserve">и Федеральным казначейством, издание приказа Федерального казначейства об организации в Федеральном казначействе работы по взаимодействию </w:t>
      </w:r>
      <w:r>
        <w:rPr>
          <w:rFonts w:ascii="Times New Roman" w:eastAsia="Times New Roman" w:hAnsi="Times New Roman"/>
          <w:color w:val="000000" w:themeColor="text1"/>
          <w:sz w:val="28"/>
          <w:szCs w:val="28"/>
          <w:lang w:eastAsia="ru-RU"/>
        </w:rPr>
        <w:br/>
        <w:t xml:space="preserve">с полномочными представителями Президента Российской Федерации </w:t>
      </w:r>
      <w:r>
        <w:rPr>
          <w:rFonts w:ascii="Times New Roman" w:eastAsia="Times New Roman" w:hAnsi="Times New Roman"/>
          <w:color w:val="000000" w:themeColor="text1"/>
          <w:sz w:val="28"/>
          <w:szCs w:val="28"/>
          <w:lang w:eastAsia="ru-RU"/>
        </w:rPr>
        <w:br/>
        <w:t xml:space="preserve">в федеральных округах по вопросам контрольно-надзорной деятельности </w:t>
      </w:r>
      <w:r>
        <w:rPr>
          <w:rFonts w:ascii="Times New Roman" w:eastAsia="Times New Roman" w:hAnsi="Times New Roman"/>
          <w:color w:val="000000" w:themeColor="text1"/>
          <w:sz w:val="28"/>
          <w:szCs w:val="28"/>
          <w:lang w:eastAsia="ru-RU"/>
        </w:rPr>
        <w:br/>
        <w:t>в финансово-бюджетной сфере.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Порядком составления обзоров нарушений, выявленных Федеральным казначейством в ходе проведения контрольных мероприятий в финансово-бюджетной сфере, в 2017 году будет осуществляться подготовка ежеквартальных обзоров выявленных нарушений по результатам контрольно-надзорной деятельности Федерального казначейства, что позволит обеспечить информирование ГРБС и глав субъектов Российской Федерации о наиболее </w:t>
      </w:r>
      <w:proofErr w:type="spellStart"/>
      <w:r>
        <w:rPr>
          <w:rFonts w:ascii="Times New Roman" w:eastAsia="Times New Roman" w:hAnsi="Times New Roman"/>
          <w:color w:val="000000" w:themeColor="text1"/>
          <w:sz w:val="28"/>
          <w:szCs w:val="28"/>
          <w:lang w:eastAsia="ru-RU"/>
        </w:rPr>
        <w:t>рискоемких</w:t>
      </w:r>
      <w:proofErr w:type="spellEnd"/>
      <w:r>
        <w:rPr>
          <w:rFonts w:ascii="Times New Roman" w:eastAsia="Times New Roman" w:hAnsi="Times New Roman"/>
          <w:color w:val="000000" w:themeColor="text1"/>
          <w:sz w:val="28"/>
          <w:szCs w:val="28"/>
          <w:lang w:eastAsia="ru-RU"/>
        </w:rPr>
        <w:t xml:space="preserve"> направлениях деятельности для своевременного принятия мер </w:t>
      </w:r>
      <w:r>
        <w:rPr>
          <w:rFonts w:ascii="Times New Roman" w:eastAsia="Times New Roman" w:hAnsi="Times New Roman"/>
          <w:color w:val="000000" w:themeColor="text1"/>
          <w:sz w:val="28"/>
          <w:szCs w:val="28"/>
          <w:lang w:eastAsia="ru-RU"/>
        </w:rPr>
        <w:br/>
        <w:t>по недопущению нарушений.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Планом контрольных мероприятий Федерального казначейства в финансово-бюджетной сфере на 2017 год намечено проведение 85 выездных проверок, кроме того, сотрудники Федерального казначейства примут участие в 7 ревизиях финансово-хозяйственной </w:t>
      </w:r>
      <w:r>
        <w:rPr>
          <w:rFonts w:ascii="Times New Roman" w:eastAsia="Times New Roman" w:hAnsi="Times New Roman"/>
          <w:color w:val="000000" w:themeColor="text1"/>
          <w:sz w:val="28"/>
          <w:szCs w:val="28"/>
          <w:lang w:eastAsia="ru-RU"/>
        </w:rPr>
        <w:lastRenderedPageBreak/>
        <w:t>деятельности организаций СНГ и Евразийского экономического сообщества.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2017 году будет уделено особое внимание вопросам автоматизации контрольно-надзорных функций с применением передовых информационных технологий. Системный подход к совершенствованию процессов организации и осуществления внутреннего государственного финансового контроля в сочетании с их реализацией в ППО позволит Федеральному казначейству создать современную и эффективную систему бюджетного контроля.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Приоритетной задачей по осуществлению контрольных мероприятий в сфере контрактных отношений в 2017 году является развитие </w:t>
      </w:r>
      <w:r>
        <w:rPr>
          <w:rFonts w:ascii="Times New Roman" w:eastAsia="Times New Roman" w:hAnsi="Times New Roman"/>
          <w:color w:val="000000" w:themeColor="text1"/>
          <w:sz w:val="28"/>
          <w:szCs w:val="28"/>
          <w:lang w:eastAsia="ru-RU"/>
        </w:rPr>
        <w:br/>
        <w:t>и совершенствование инструментов контроля в сфере закупок. Основные направления деятельности в решении данной задачи: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w:t>
      </w:r>
      <w:r>
        <w:rPr>
          <w:rFonts w:ascii="Times New Roman" w:eastAsia="Times New Roman" w:hAnsi="Times New Roman"/>
          <w:color w:val="000000" w:themeColor="text1"/>
          <w:sz w:val="24"/>
          <w:szCs w:val="24"/>
          <w:lang w:eastAsia="ru-RU"/>
        </w:rPr>
        <w:t> </w:t>
      </w:r>
      <w:r>
        <w:rPr>
          <w:rFonts w:ascii="Times New Roman" w:eastAsia="Times New Roman" w:hAnsi="Times New Roman"/>
          <w:color w:val="000000" w:themeColor="text1"/>
          <w:sz w:val="28"/>
          <w:szCs w:val="28"/>
          <w:lang w:eastAsia="ru-RU"/>
        </w:rPr>
        <w:t>осуществление контрольных мероприятий в сфере закупок по плану контрольных мероприятий 2017 года;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совершенствование нормативной правовой базы контроля процесса закупок;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совершенствование инструментов контроля процесса закупок, </w:t>
      </w:r>
      <w:r>
        <w:rPr>
          <w:rFonts w:ascii="Times New Roman" w:eastAsia="Times New Roman" w:hAnsi="Times New Roman"/>
          <w:color w:val="000000" w:themeColor="text1"/>
          <w:sz w:val="28"/>
          <w:szCs w:val="28"/>
          <w:lang w:eastAsia="ru-RU"/>
        </w:rPr>
        <w:br/>
        <w:t>в частности, использование данных из информационных систем.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рамках совершенствования нормативной правовой базы контроля закупок планируются: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утверждение приказа Федерального казначейства «Об утверждении общих требований к осуществлению органами государственного (муниципального) финансового контроля, являющимися органами (должностными лицами) исполнительной власти субъектов Российской Федерации (местных администраций), контроля за соблюдением Федерального закона «О контрактной системе в сфере закупок товаров, работ, услуг для обеспечения государственных и муниципальных нужд» </w:t>
      </w:r>
      <w:r>
        <w:rPr>
          <w:rFonts w:ascii="Times New Roman" w:eastAsia="Times New Roman" w:hAnsi="Times New Roman"/>
          <w:color w:val="000000" w:themeColor="text1"/>
          <w:sz w:val="28"/>
          <w:szCs w:val="28"/>
          <w:lang w:eastAsia="ru-RU"/>
        </w:rPr>
        <w:br/>
        <w:t>в соответствии с частью 11.2 статьи 99 Федерального закона № 44-ФЗ;</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утверждение Стандарта внутреннего государственного финансового контроля в соответствии с частью 8 и 11.2 статьи 99 Федерального закона № 44-ФЗ;</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разработка методических рекомендаций по заполнению Формы обоснования закупок товаров, работ и услуг для обеспечения государственных и муниципальных нужд при формировании и утверждении плана-графика закупок, утвержденной Постановлением Правительства Российской Федерации от 5 июня 2015 г. № 555;</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внедрение классификатора нарушений в сфере закупок;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использование при проведении контрольных мероприятий типовых программ проверок в сфере закупок;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xml:space="preserve">– формирование паспорта контрольного мероприятия.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рамках развития и совершенствования инструментов контроля данных из информационных систем, основными направлениями деятельности являются: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корректировка (исправление) данных, размещенных в базе данных ЕИС;</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недопущение загрузки (ввода) некорректных данных в базу данных ЕИС;</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совершенствование программных средств обеспечения ввода структурированных данных в базу данных ЕИС.</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2017 году планируется активное использование информационных ресурсов при проведении контрольных мероприятий в сфере закупок, что позволит обеспечить:</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контроль информации о закупках товаров, работ и услуг, имеющейся в информационных системах в сфере закупок (расширение предмета контроля); </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невозможность закончить неправомерно начатую операцию </w:t>
      </w:r>
      <w:r>
        <w:rPr>
          <w:rFonts w:ascii="Times New Roman" w:eastAsia="Times New Roman" w:hAnsi="Times New Roman"/>
          <w:color w:val="000000" w:themeColor="text1"/>
          <w:sz w:val="28"/>
          <w:szCs w:val="28"/>
          <w:lang w:eastAsia="ru-RU"/>
        </w:rPr>
        <w:br/>
        <w:t>и повысить качество контроля закупок;</w:t>
      </w:r>
    </w:p>
    <w:p>
      <w:pPr>
        <w:spacing w:after="0" w:line="360" w:lineRule="atLeast"/>
        <w:ind w:firstLine="709"/>
        <w:contextualSpacing/>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 xml:space="preserve">– выявление наиболее </w:t>
      </w:r>
      <w:proofErr w:type="spellStart"/>
      <w:r>
        <w:rPr>
          <w:rFonts w:ascii="Times New Roman" w:eastAsia="Times New Roman" w:hAnsi="Times New Roman"/>
          <w:color w:val="000000" w:themeColor="text1"/>
          <w:sz w:val="28"/>
          <w:szCs w:val="24"/>
          <w:lang w:eastAsia="ru-RU"/>
        </w:rPr>
        <w:t>рискоемких</w:t>
      </w:r>
      <w:proofErr w:type="spellEnd"/>
      <w:r>
        <w:rPr>
          <w:rFonts w:ascii="Times New Roman" w:eastAsia="Times New Roman" w:hAnsi="Times New Roman"/>
          <w:color w:val="000000" w:themeColor="text1"/>
          <w:sz w:val="28"/>
          <w:szCs w:val="24"/>
          <w:lang w:eastAsia="ru-RU"/>
        </w:rPr>
        <w:t xml:space="preserve"> направлений деятельности субъекта контроля, по которому целесообразно проведение проверочных мероприятий традиционными способами и методами;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своевременность, полноту и достоверность отражения в документах учета поставленного товара, выполненной работы (ее результата), оказанной услуги;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эффективность, результативность и адресность осуществления закупки и использования бюджетных средств.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 применение методов информационного контроля позволит повысить эффективность администрирования расходов федерального бюджета и предотвратить случаи нарушения законодательства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Фактически на базе информационного контроля в сфере закупок планируется создание действенной системы интеллектуального контроля </w:t>
      </w:r>
      <w:r>
        <w:rPr>
          <w:rFonts w:ascii="Times New Roman" w:eastAsia="Times New Roman" w:hAnsi="Times New Roman"/>
          <w:color w:val="000000" w:themeColor="text1"/>
          <w:sz w:val="28"/>
          <w:szCs w:val="28"/>
          <w:lang w:eastAsia="ru-RU"/>
        </w:rPr>
        <w:br/>
        <w:t xml:space="preserve">и мониторинга, превентивного механизма, функционирующего </w:t>
      </w:r>
      <w:r>
        <w:rPr>
          <w:rFonts w:ascii="Times New Roman" w:eastAsia="Times New Roman" w:hAnsi="Times New Roman"/>
          <w:color w:val="000000" w:themeColor="text1"/>
          <w:sz w:val="28"/>
          <w:szCs w:val="28"/>
          <w:lang w:eastAsia="ru-RU"/>
        </w:rPr>
        <w:br/>
        <w:t xml:space="preserve">в автоматическом режиме на базе имеющихся в Федеральном казначействе информационных систем, и не позволяющего осуществлять процедуру закупки товаров, работ и услуг при выявлении негативных критериев уже </w:t>
      </w:r>
      <w:r>
        <w:rPr>
          <w:rFonts w:ascii="Times New Roman" w:eastAsia="Times New Roman" w:hAnsi="Times New Roman"/>
          <w:color w:val="000000" w:themeColor="text1"/>
          <w:sz w:val="28"/>
          <w:szCs w:val="28"/>
          <w:lang w:eastAsia="ru-RU"/>
        </w:rPr>
        <w:br/>
        <w:t>на этапе планирования закупок.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Для обеспечения эффективного контроля в сфере контрактных отношений Федеральным казначейством планируется создать условия </w:t>
      </w:r>
      <w:r>
        <w:rPr>
          <w:rFonts w:ascii="Times New Roman" w:hAnsi="Times New Roman"/>
          <w:color w:val="000000" w:themeColor="text1"/>
          <w:sz w:val="28"/>
          <w:szCs w:val="28"/>
        </w:rPr>
        <w:br/>
        <w:t>для осуществления межведомственного взаимодействия.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В целях предупреждения (недопущения) нарушений законодательства Российской Федерации при использовании средств, предоставленных </w:t>
      </w:r>
      <w:r>
        <w:rPr>
          <w:rFonts w:ascii="Times New Roman" w:hAnsi="Times New Roman"/>
          <w:color w:val="000000" w:themeColor="text1"/>
          <w:sz w:val="28"/>
          <w:szCs w:val="28"/>
        </w:rPr>
        <w:br/>
        <w:t>из бюджетов бюджетной системы Российской Федерации, Федеральным казначейством планируется организация бюджетного мониторинга использования таких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исполнения поручения Первого заместителя Председателя Правительства Российской Федерации И.И. Шувалова (протокол от 8 июля 2016 г. № ИШ-П13-45пр) Федеральное казначейство будет осуществлять бюджетный мониторинг использования средств в целях реализации инвестиционного проекта по отдельно выбранному инвестиционному объекту, включенному в ФАИП на 2017 год.</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3.1.1. Совершенствование контрольно-надзорной деятельности </w:t>
      </w:r>
      <w:r>
        <w:rPr>
          <w:rFonts w:ascii="Times New Roman" w:hAnsi="Times New Roman"/>
          <w:b/>
          <w:color w:val="000000" w:themeColor="text1"/>
          <w:sz w:val="28"/>
          <w:szCs w:val="28"/>
        </w:rPr>
        <w:br/>
        <w:t>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2017 году планируется продолжить работу по совершенствованию нормативной правовой и правовой базы, регламентирующей осуществление контрольно-надзорной деятельности 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Федеральным казначейством будут осуществлены мероприятия, связанные с обеспечением согласования изменений в Бюджетный кодекс </w:t>
      </w:r>
      <w:r>
        <w:rPr>
          <w:rFonts w:ascii="Times New Roman" w:hAnsi="Times New Roman"/>
          <w:color w:val="000000" w:themeColor="text1"/>
          <w:sz w:val="28"/>
          <w:szCs w:val="28"/>
        </w:rPr>
        <w:br/>
        <w:t xml:space="preserve">в части вопросов осуществления внутреннего государственного бюджетного контроля, а также завершена подготовка предложений </w:t>
      </w:r>
      <w:r>
        <w:rPr>
          <w:rFonts w:ascii="Times New Roman" w:hAnsi="Times New Roman"/>
          <w:color w:val="000000" w:themeColor="text1"/>
          <w:sz w:val="28"/>
          <w:szCs w:val="28"/>
        </w:rPr>
        <w:br/>
        <w:t>по внесению изменений в КоАП, направленных: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закрепление возможности составления в автоматическом режиме постановлений по делам об административных правонарушениях </w:t>
      </w:r>
      <w:r>
        <w:rPr>
          <w:rFonts w:ascii="Times New Roman" w:hAnsi="Times New Roman"/>
          <w:color w:val="000000" w:themeColor="text1"/>
          <w:sz w:val="28"/>
          <w:szCs w:val="28"/>
        </w:rPr>
        <w:br/>
        <w:t xml:space="preserve">в бюджетной сфере и в сфере закупок для государственных </w:t>
      </w:r>
      <w:r>
        <w:rPr>
          <w:rFonts w:ascii="Times New Roman" w:hAnsi="Times New Roman"/>
          <w:color w:val="000000" w:themeColor="text1"/>
          <w:sz w:val="28"/>
          <w:szCs w:val="28"/>
        </w:rPr>
        <w:br/>
        <w:t>и муниципальных нужд;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оптимизацию размеров штрафных санкций за правонарушения </w:t>
      </w:r>
      <w:r>
        <w:rPr>
          <w:rFonts w:ascii="Times New Roman" w:hAnsi="Times New Roman"/>
          <w:color w:val="000000" w:themeColor="text1"/>
          <w:sz w:val="28"/>
          <w:szCs w:val="28"/>
        </w:rPr>
        <w:br/>
        <w:t>в 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на установление ответственности за неэффективное использование бюджетных средств.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Федеральным казначейством также в 2017 году в рамках деятельности Совета по вопросам внутреннего государственного финансового контроля будут подготовлены предложения по проекту модели осуществления внутреннего государственного финансового контроля в Российской Федерации, а также по осуществлению контроля за использованием бюджетных инвестиций.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Одним из важнейших направлений деятельности Федерального казначейства в 2017 году будет являться разработка предложений в проекты нормативных правовых документов, регламентирующих организацию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и осуществление контрольной деятельности в финансово-бюджетной сфере, в частности: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предложений по внесению изменений в Правила осуществления Федеральным казначейством полномочий по контролю в финансово-бюджетной сфере, утвержденных постановлением Правительства Российской Федерации от 28 ноября 2013 г. № 1092, по проведению двухэтапных контрольных мероприятий при осуществлении контроля </w:t>
      </w:r>
      <w:r>
        <w:rPr>
          <w:rFonts w:ascii="Times New Roman" w:hAnsi="Times New Roman"/>
          <w:color w:val="000000" w:themeColor="text1"/>
          <w:sz w:val="28"/>
          <w:szCs w:val="28"/>
        </w:rPr>
        <w:br/>
        <w:t xml:space="preserve">в финансово-бюджетной сфере, по уточнению сроков подписания актов проверки (ревизии), а также по осуществлению в рамках контроля </w:t>
      </w:r>
      <w:r>
        <w:rPr>
          <w:rFonts w:ascii="Times New Roman" w:hAnsi="Times New Roman"/>
          <w:color w:val="000000" w:themeColor="text1"/>
          <w:sz w:val="28"/>
          <w:szCs w:val="28"/>
        </w:rPr>
        <w:br/>
        <w:t>в финансово-бюджетной сфере оценки эффективности использования средств федерального бюджета;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стандарты осуществления внутреннего государственного финансового контроля, утверждение которых предусмотрено пунктом 3 статьи 269.2 Бюджетного кодекса.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систематизации подходов к осуществлению контроля </w:t>
      </w:r>
      <w:r>
        <w:rPr>
          <w:rFonts w:ascii="Times New Roman" w:hAnsi="Times New Roman"/>
          <w:color w:val="000000" w:themeColor="text1"/>
          <w:sz w:val="28"/>
          <w:szCs w:val="28"/>
        </w:rPr>
        <w:br/>
        <w:t xml:space="preserve">в финансово-бюджетной сфере по отдельным направлениям проверки </w:t>
      </w:r>
      <w:r>
        <w:rPr>
          <w:rFonts w:ascii="Times New Roman" w:hAnsi="Times New Roman"/>
          <w:color w:val="000000" w:themeColor="text1"/>
          <w:sz w:val="28"/>
          <w:szCs w:val="28"/>
        </w:rPr>
        <w:br/>
        <w:t>в 2017 году запланированы разработка и утверждение методических рекомендаций по осуществлению Федеральным казначейством: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контроля за использованием средств федерального бюджета </w:t>
      </w:r>
      <w:r>
        <w:rPr>
          <w:rFonts w:ascii="Times New Roman" w:hAnsi="Times New Roman"/>
          <w:color w:val="000000" w:themeColor="text1"/>
          <w:sz w:val="28"/>
          <w:szCs w:val="28"/>
        </w:rPr>
        <w:br/>
        <w:t>на капитальные вложения в объекты государственной собственности;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контроля за использованием средств федерального бюджета </w:t>
      </w:r>
      <w:r>
        <w:rPr>
          <w:rFonts w:ascii="Times New Roman" w:hAnsi="Times New Roman"/>
          <w:color w:val="000000" w:themeColor="text1"/>
          <w:sz w:val="28"/>
          <w:szCs w:val="28"/>
        </w:rPr>
        <w:br/>
        <w:t>на научно-исследовательские и опытно-конструкторские работы;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контроля за использованием средств федерального бюджета </w:t>
      </w:r>
      <w:r>
        <w:rPr>
          <w:rFonts w:ascii="Times New Roman" w:hAnsi="Times New Roman"/>
          <w:color w:val="000000" w:themeColor="text1"/>
          <w:sz w:val="28"/>
          <w:szCs w:val="28"/>
        </w:rPr>
        <w:br/>
        <w:t>на развитие информационных технологий;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оценки эффективности использования средств федерального бюджета главными распорядителями (распорядителями) средств федерального бюджета, главными администраторами (администраторами) доходов федерального бюджета, главными администраторами (администраторами) источников финансирования дефицита федерального бюджета (в случае передачи Федеральному казначейству соответствующих полномочий).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в целях организации исполнения требований подпункта в) пункта 10 Правил осуществления Федеральным казначейством полномочий по контролю в финансово-бюджетной сфере, утвержденных постановлением Правительства Российской Федерации от 28 ноября 2013 г. № 1092, в 2017 году запланирована разработка порядка привлечения специалистов и экспертов для участия в производстве по делу </w:t>
      </w:r>
      <w:r>
        <w:rPr>
          <w:rFonts w:ascii="Times New Roman" w:hAnsi="Times New Roman"/>
          <w:color w:val="000000" w:themeColor="text1"/>
          <w:sz w:val="28"/>
          <w:szCs w:val="28"/>
        </w:rPr>
        <w:br/>
        <w:t>об административном правонарушении в финансово-бюджетной сфере.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2017 году планируется завершить формирование </w:t>
      </w:r>
      <w:r>
        <w:rPr>
          <w:rFonts w:ascii="Times New Roman" w:hAnsi="Times New Roman"/>
          <w:color w:val="000000" w:themeColor="text1"/>
          <w:sz w:val="28"/>
          <w:szCs w:val="28"/>
        </w:rPr>
        <w:br/>
        <w:t xml:space="preserve">и утверждение классификатора нарушений, выявляемых Федеральным казначейством в ходе осуществления контроля в финансово-бюджетной </w:t>
      </w:r>
      <w:r>
        <w:rPr>
          <w:rFonts w:ascii="Times New Roman" w:hAnsi="Times New Roman"/>
          <w:color w:val="000000" w:themeColor="text1"/>
          <w:sz w:val="28"/>
          <w:szCs w:val="28"/>
        </w:rPr>
        <w:lastRenderedPageBreak/>
        <w:t xml:space="preserve">сфере, и направить в адрес Министерства финансов Российской Федерации предложения по классификации нарушений, выявляемых органами внутреннего государственного и муниципального финансового контроля </w:t>
      </w:r>
      <w:r>
        <w:rPr>
          <w:rFonts w:ascii="Times New Roman" w:hAnsi="Times New Roman"/>
          <w:color w:val="000000" w:themeColor="text1"/>
          <w:sz w:val="28"/>
          <w:szCs w:val="28"/>
        </w:rPr>
        <w:br/>
        <w:t>в ходе осуществления контроля в финансово-бюджетной сфере на всех уровнях бюджетной системы Российской Федерации.</w:t>
      </w:r>
    </w:p>
    <w:p>
      <w:pPr>
        <w:pStyle w:val="afe"/>
        <w:ind w:firstLine="709"/>
        <w:jc w:val="both"/>
        <w:rPr>
          <w:color w:val="000000" w:themeColor="text1"/>
          <w:sz w:val="28"/>
          <w:szCs w:val="28"/>
        </w:rPr>
      </w:pPr>
      <w:r>
        <w:rPr>
          <w:color w:val="000000" w:themeColor="text1"/>
          <w:sz w:val="28"/>
          <w:szCs w:val="28"/>
        </w:rPr>
        <w:t xml:space="preserve">В целях выработки подходов к дальнейшему совершенствованию контрольно-надзорной деятельности в финансово-бюджетной сфере будет продолжена работа по обеспечению деятельности Совета по вопросам внутреннего государственного финансового контроля, образованного </w:t>
      </w:r>
      <w:r>
        <w:rPr>
          <w:color w:val="000000" w:themeColor="text1"/>
          <w:sz w:val="28"/>
          <w:szCs w:val="28"/>
        </w:rPr>
        <w:br/>
        <w:t>в соответствии с приказом Федерального казначейства от 11 октября 2016 г. № 368 «О создании Совета по вопросам внутреннего государственного финансового контроля».</w:t>
      </w:r>
    </w:p>
    <w:p>
      <w:pPr>
        <w:pStyle w:val="afe"/>
        <w:ind w:firstLine="709"/>
        <w:jc w:val="both"/>
        <w:rPr>
          <w:color w:val="000000" w:themeColor="text1"/>
          <w:sz w:val="28"/>
          <w:szCs w:val="28"/>
        </w:rPr>
      </w:pPr>
      <w:r>
        <w:rPr>
          <w:color w:val="000000" w:themeColor="text1"/>
          <w:sz w:val="28"/>
          <w:szCs w:val="28"/>
        </w:rPr>
        <w:t xml:space="preserve">Также в 2017 году планируется участие Федерального казначейства </w:t>
      </w:r>
      <w:r>
        <w:rPr>
          <w:color w:val="000000" w:themeColor="text1"/>
          <w:sz w:val="28"/>
          <w:szCs w:val="28"/>
        </w:rPr>
        <w:br/>
        <w:t>в организации и проведении сессии по вопросам внутреннего государственного финансового контроля в рамках Московского финансового форума.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в 2017 году будет продолжена работа по осуществлению Федеральным казначейством подготовки, согласования и направления уведомлений о применении бюджетных мер принуждения по результатам контрольных мероприятий ТОФК в Министерство финансов Российской Федерации.</w:t>
      </w:r>
    </w:p>
    <w:p>
      <w:pPr>
        <w:suppressAutoHyphens/>
        <w:spacing w:before="120" w:after="120" w:line="240" w:lineRule="auto"/>
        <w:ind w:firstLine="709"/>
        <w:jc w:val="both"/>
        <w:rPr>
          <w:rFonts w:ascii="Times New Roman" w:eastAsia="Times New Roman" w:hAnsi="Times New Roman"/>
          <w:b/>
          <w:color w:val="000000" w:themeColor="text1"/>
          <w:sz w:val="28"/>
          <w:szCs w:val="28"/>
          <w:lang w:eastAsia="ar-SA"/>
        </w:rPr>
      </w:pPr>
      <w:r>
        <w:rPr>
          <w:rFonts w:ascii="Times New Roman" w:eastAsia="Times New Roman" w:hAnsi="Times New Roman"/>
          <w:b/>
          <w:color w:val="000000" w:themeColor="text1"/>
          <w:sz w:val="28"/>
          <w:szCs w:val="28"/>
          <w:lang w:eastAsia="ar-SA"/>
        </w:rPr>
        <w:t>3.2. Организация и проведение анализа осуществления главными администраторами средств федерального бюджета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рамках совершенствования анализа деятельности главных администраторов средств федерального бюджета по осуществлению внутреннего финансового контроля и внутреннего финансового аудита </w:t>
      </w:r>
      <w:r>
        <w:rPr>
          <w:rFonts w:ascii="Times New Roman" w:eastAsia="Times New Roman" w:hAnsi="Times New Roman"/>
          <w:color w:val="000000" w:themeColor="text1"/>
          <w:sz w:val="28"/>
          <w:szCs w:val="28"/>
          <w:lang w:eastAsia="ar-SA"/>
        </w:rPr>
        <w:br/>
        <w:t>в 2017 году планируется:</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завершить работы по стандартизации деятельности Федерального казначейства по проведению анализа осуществления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организовать работу Федерального казначейства по проведению анализа в соответствии с новым стандартом;</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подготовить и направить главным администраторам средств федерального бюджета рекомендации по организации ими внутреннего финансового контроля и внутреннего финансового аудита;</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 подготовить и направить в Министерство финансов Российской Федерации доклад о результатах осуществления главными </w:t>
      </w:r>
      <w:r>
        <w:rPr>
          <w:rFonts w:ascii="Times New Roman" w:eastAsia="Times New Roman" w:hAnsi="Times New Roman"/>
          <w:color w:val="000000" w:themeColor="text1"/>
          <w:sz w:val="28"/>
          <w:szCs w:val="28"/>
          <w:lang w:eastAsia="ar-SA"/>
        </w:rPr>
        <w:lastRenderedPageBreak/>
        <w:t>администраторами средств федерального бюджета внутреннего финансового контроля и внутреннего финансового аудита в 2016 году.</w:t>
      </w:r>
    </w:p>
    <w:p>
      <w:pPr>
        <w:suppressAutoHyphens/>
        <w:spacing w:before="120" w:after="120" w:line="240" w:lineRule="auto"/>
        <w:ind w:firstLine="709"/>
        <w:jc w:val="both"/>
        <w:rPr>
          <w:rFonts w:ascii="Times New Roman" w:eastAsia="Times New Roman" w:hAnsi="Times New Roman"/>
          <w:b/>
          <w:color w:val="000000" w:themeColor="text1"/>
          <w:sz w:val="28"/>
          <w:szCs w:val="28"/>
          <w:lang w:eastAsia="ar-SA"/>
        </w:rPr>
      </w:pPr>
      <w:r>
        <w:rPr>
          <w:rFonts w:ascii="Times New Roman" w:eastAsia="Times New Roman" w:hAnsi="Times New Roman"/>
          <w:b/>
          <w:color w:val="000000" w:themeColor="text1"/>
          <w:sz w:val="28"/>
          <w:szCs w:val="28"/>
          <w:lang w:eastAsia="ar-SA"/>
        </w:rPr>
        <w:t>3.3. Организация и проведение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xml:space="preserve">В рамках совершенствования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 </w:t>
      </w:r>
      <w:r>
        <w:rPr>
          <w:rFonts w:ascii="Times New Roman" w:eastAsia="Times New Roman" w:hAnsi="Times New Roman"/>
          <w:color w:val="000000" w:themeColor="text1"/>
          <w:sz w:val="28"/>
          <w:szCs w:val="28"/>
          <w:lang w:eastAsia="ar-SA"/>
        </w:rPr>
        <w:br/>
        <w:t>в 2017 году планируется:</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завершить работы по стандартизации деятельности Федерального казначейства по проведению анализа исполнения бюджетных полномочий;</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организовать работу Федерального казначейства и его территориальных органов по проведению анализа в соответствии с новым стандартом;</w:t>
      </w:r>
    </w:p>
    <w:p>
      <w:pPr>
        <w:suppressAutoHyphens/>
        <w:spacing w:after="0" w:line="360" w:lineRule="atLeast"/>
        <w:ind w:firstLine="709"/>
        <w:jc w:val="both"/>
        <w:rPr>
          <w:rFonts w:ascii="Times New Roman" w:eastAsia="Times New Roman" w:hAnsi="Times New Roman"/>
          <w:color w:val="000000" w:themeColor="text1"/>
          <w:sz w:val="28"/>
          <w:szCs w:val="28"/>
          <w:lang w:eastAsia="ar-SA"/>
        </w:rPr>
      </w:pPr>
      <w:r>
        <w:rPr>
          <w:rFonts w:ascii="Times New Roman" w:eastAsia="Times New Roman" w:hAnsi="Times New Roman"/>
          <w:color w:val="000000" w:themeColor="text1"/>
          <w:sz w:val="28"/>
          <w:szCs w:val="28"/>
          <w:lang w:eastAsia="ar-SA"/>
        </w:rPr>
        <w:t>– подготовить и направить в Министерство финансов Российской Федерации доклад о результатах проведения анализа исполнения бюджетных полномочий органов государственного (муниципального) финансового контроля, являющихся органами (должностными лицами) исполнительной власти субъектов Российской Федерации (местных администраций), в 2016 году.</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3.4. Осуществление и совершенствование функций по внешнему контролю качества работы аудиторских организаций</w:t>
      </w:r>
    </w:p>
    <w:p>
      <w:pPr>
        <w:pStyle w:val="3"/>
        <w:keepNext w:val="0"/>
        <w:keepLines w:val="0"/>
        <w:spacing w:before="0" w:line="240" w:lineRule="auto"/>
        <w:ind w:firstLine="709"/>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3.4.1. Осуществление функции по внешнему контролю качества работы аудиторских организаций</w:t>
      </w:r>
    </w:p>
    <w:p>
      <w:pPr>
        <w:pStyle w:val="a7"/>
        <w:spacing w:line="360" w:lineRule="atLeast"/>
        <w:ind w:firstLine="709"/>
        <w:rPr>
          <w:rFonts w:cs="Times New Roman"/>
          <w:color w:val="000000" w:themeColor="text1"/>
          <w:szCs w:val="28"/>
        </w:rPr>
      </w:pPr>
      <w:r>
        <w:rPr>
          <w:rFonts w:cs="Times New Roman"/>
          <w:color w:val="000000" w:themeColor="text1"/>
          <w:szCs w:val="28"/>
        </w:rPr>
        <w:t xml:space="preserve">Осуществление функции со стороны уполномоченного государственного органа будет продолжено при дальнейшем расширении применения риск-ориентированного подхода, как при составлении планов проведения плановых проверок внешнего контроля качества работы аудиторских организаций, проводящих обязательный аудит бухгалтерской (финансовой) отчетности организаций, указанных в части 3 статьи 5 Федерального закона от 30 декабря 2008 г. № 307-ФЗ «Об аудиторской деятельности» Федерального казначейства и его территориальных органов на 2018 год и последующие годы, так и при осуществлении проверочных мероприятий, в том числе за счет обмена информацией с отраслевыми надзорными органами, обладающими сведениями об организациях, </w:t>
      </w:r>
      <w:r>
        <w:rPr>
          <w:rFonts w:cs="Times New Roman"/>
          <w:color w:val="000000" w:themeColor="text1"/>
          <w:szCs w:val="28"/>
        </w:rPr>
        <w:lastRenderedPageBreak/>
        <w:t>подлежащих обязательному аудиту, недостатках их финансовой (бухгалтерской) отчетности, не выявленных при проведении аудита.</w:t>
      </w:r>
    </w:p>
    <w:p>
      <w:pPr>
        <w:spacing w:after="0" w:line="360" w:lineRule="atLeast"/>
        <w:ind w:firstLine="709"/>
        <w:jc w:val="both"/>
        <w:rPr>
          <w:rFonts w:ascii="Times New Roman" w:hAnsi="Times New Roman"/>
          <w:color w:val="000000" w:themeColor="text1"/>
          <w:sz w:val="28"/>
        </w:rPr>
      </w:pPr>
      <w:r>
        <w:rPr>
          <w:rFonts w:ascii="Times New Roman" w:hAnsi="Times New Roman"/>
          <w:color w:val="000000" w:themeColor="text1"/>
          <w:sz w:val="28"/>
        </w:rPr>
        <w:t xml:space="preserve">Помимо деятельности по выявлению нарушений аудиторскими организациями нормативного регулирования аудиторской деятельности, запланировано продолжение совершенствования механизмов предупреждения нарушений </w:t>
      </w:r>
      <w:r>
        <w:rPr>
          <w:rFonts w:ascii="Times New Roman" w:hAnsi="Times New Roman"/>
          <w:color w:val="000000" w:themeColor="text1"/>
          <w:sz w:val="28"/>
          <w:szCs w:val="28"/>
        </w:rPr>
        <w:t>НПА, регулирующих аудиторскую деятельность, в том числе посредством разъяснения поднадзорным организациям вынесенных мер воздействия.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rPr>
        <w:t>Стратегия осуществления функции ВККР АО предусматривает продолжение аналитической работы, направленной на</w:t>
      </w:r>
      <w:r>
        <w:rPr>
          <w:rFonts w:ascii="Times New Roman" w:hAnsi="Times New Roman"/>
          <w:color w:val="000000" w:themeColor="text1"/>
          <w:sz w:val="28"/>
          <w:szCs w:val="28"/>
        </w:rPr>
        <w:t xml:space="preserve"> повышение </w:t>
      </w:r>
      <w:r>
        <w:rPr>
          <w:rFonts w:ascii="Times New Roman" w:hAnsi="Times New Roman"/>
          <w:color w:val="000000" w:themeColor="text1"/>
          <w:sz w:val="28"/>
          <w:szCs w:val="28"/>
        </w:rPr>
        <w:br/>
        <w:t xml:space="preserve">ее эффективности, снижение дублирующих требований норм правового регулирования за счет развития межведомственного и институционального взаимодействия. Планируется также продолжить работу </w:t>
      </w:r>
      <w:r>
        <w:rPr>
          <w:rFonts w:ascii="Times New Roman" w:hAnsi="Times New Roman"/>
          <w:color w:val="000000" w:themeColor="text1"/>
          <w:sz w:val="28"/>
          <w:szCs w:val="28"/>
        </w:rPr>
        <w:br/>
        <w:t>по совершенствованию информационных систем, содержащих комплексную информацию по различным вопросам аудиторской деятельности, а также по повышению общественной значимости созданного Федеральным казначейством Совета по организации ВККР АО.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Федеральным казначейством в рамках исполнения государственной функции по ВККР АО запланировано дальнейшее развитие международной деятельности. Федеральное казначейство продолжит представлять Российскую Федерацию в Международном форуме независимых регуляторов аудиторской деятельности (IFIAR), принимать участие в работе Рабочей группы при Консультативном комитете </w:t>
      </w:r>
      <w:r>
        <w:rPr>
          <w:rFonts w:ascii="Times New Roman" w:hAnsi="Times New Roman"/>
          <w:color w:val="000000" w:themeColor="text1"/>
          <w:sz w:val="28"/>
          <w:szCs w:val="28"/>
        </w:rPr>
        <w:br/>
        <w:t xml:space="preserve">по финансовым рынкам по разработке проекта Соглашения об аудиторской деятельности на территории Евразийского экономического союза. Работа </w:t>
      </w:r>
      <w:r>
        <w:rPr>
          <w:rFonts w:ascii="Times New Roman" w:hAnsi="Times New Roman"/>
          <w:color w:val="000000" w:themeColor="text1"/>
          <w:sz w:val="28"/>
          <w:szCs w:val="28"/>
        </w:rPr>
        <w:br/>
        <w:t>в данном направлении будет расширяться, в том числе в связи с признанием на территории Российской Федерации Международных стандартов аудиторской деятельности, на основании которых будет усовершенствована методология проведения ВККР АО. В целях совершенствования ВККР АО рассматривается возможность организации взаимодействия с иностранными регуляторами, осуществляющими аудит подразделений российских организаций, ведущих свою деятельность за пределами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Запланировано подписание Многостороннего меморандума </w:t>
      </w:r>
      <w:r>
        <w:rPr>
          <w:rFonts w:ascii="Times New Roman" w:hAnsi="Times New Roman"/>
          <w:color w:val="000000" w:themeColor="text1"/>
          <w:sz w:val="28"/>
          <w:szCs w:val="28"/>
        </w:rPr>
        <w:br/>
        <w:t xml:space="preserve">о взаимопонимании «Укрепление будущего сотрудничества между мировыми регуляторами аудиторской деятельности» с </w:t>
      </w:r>
      <w:r>
        <w:rPr>
          <w:rFonts w:ascii="Times New Roman" w:hAnsi="Times New Roman"/>
          <w:color w:val="000000" w:themeColor="text1"/>
          <w:sz w:val="28"/>
          <w:szCs w:val="28"/>
          <w:lang w:val="en-US"/>
        </w:rPr>
        <w:t>IFIAR</w:t>
      </w:r>
      <w:r>
        <w:rPr>
          <w:rFonts w:ascii="Times New Roman" w:hAnsi="Times New Roman"/>
          <w:color w:val="000000" w:themeColor="text1"/>
          <w:sz w:val="28"/>
          <w:szCs w:val="28"/>
        </w:rPr>
        <w:t xml:space="preserve">, что будет способствовать обмену опытом в сфере ВККР АО и дальнейшему совершенствованию функции по надзору за аудиторской деятельностью </w:t>
      </w:r>
      <w:r>
        <w:rPr>
          <w:rFonts w:ascii="Times New Roman" w:hAnsi="Times New Roman"/>
          <w:color w:val="000000" w:themeColor="text1"/>
          <w:sz w:val="28"/>
          <w:szCs w:val="28"/>
        </w:rPr>
        <w:br/>
        <w:t>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 соответствии с положениями Федерального закона от 27 июля 2004 г. № 79-ФЗ «О государственной гражданской службе Российской Федерации» и, учитывая рекомендации Совета по аудиторской деятельности от 24 марта 2016 года, в 2017 году запланировано повышение квалификации государственных гражданских служащих, занятых проведением внешних проверок качества работы аудиторских организаций по относящейся к приоритетной программе повышения квалификации «Международные стандарты аудита».</w:t>
      </w:r>
    </w:p>
    <w:p>
      <w:pPr>
        <w:pStyle w:val="3"/>
        <w:keepNext w:val="0"/>
        <w:keepLines w:val="0"/>
        <w:spacing w:before="120" w:after="120" w:line="240" w:lineRule="auto"/>
        <w:ind w:firstLine="709"/>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3.4.2. Совершенствование функции по внешнему контролю качества работы аудиторских организаций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rPr>
        <w:t xml:space="preserve">Результаты проведения внешних проверок аудиторских организаций свидетельствуют о положительной динамике осуществления Федеральным казначейством государственной функции, в том числе о повышении </w:t>
      </w:r>
      <w:r>
        <w:rPr>
          <w:rFonts w:ascii="Times New Roman" w:hAnsi="Times New Roman"/>
          <w:color w:val="000000" w:themeColor="text1"/>
          <w:sz w:val="28"/>
        </w:rPr>
        <w:br/>
        <w:t xml:space="preserve">ее эффективности и результативности. Вместе с тем, предстоит большая работа по совершенствованию законодательства Российской Федерации </w:t>
      </w:r>
      <w:r>
        <w:rPr>
          <w:rFonts w:ascii="Times New Roman" w:hAnsi="Times New Roman"/>
          <w:color w:val="000000" w:themeColor="text1"/>
          <w:sz w:val="28"/>
        </w:rPr>
        <w:br/>
        <w:t>в сфере государственного контроля</w:t>
      </w:r>
      <w:r>
        <w:rPr>
          <w:rFonts w:ascii="Times New Roman" w:hAnsi="Times New Roman"/>
          <w:color w:val="000000" w:themeColor="text1"/>
          <w:sz w:val="28"/>
          <w:szCs w:val="28"/>
        </w:rPr>
        <w:t xml:space="preserve">, с учетом выявляемой проблематики </w:t>
      </w:r>
      <w:r>
        <w:rPr>
          <w:rFonts w:ascii="Times New Roman" w:hAnsi="Times New Roman"/>
          <w:color w:val="000000" w:themeColor="text1"/>
          <w:sz w:val="28"/>
          <w:szCs w:val="28"/>
        </w:rPr>
        <w:br/>
        <w:t>и текущего состояния рынка финансовых услуг.</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 на сегодняшний день одной из проблем является уклонение аудиторских организаций от проведения проверок, то есть их выход </w:t>
      </w:r>
      <w:r>
        <w:rPr>
          <w:rFonts w:ascii="Times New Roman" w:hAnsi="Times New Roman"/>
          <w:color w:val="000000" w:themeColor="text1"/>
          <w:sz w:val="28"/>
          <w:szCs w:val="28"/>
        </w:rPr>
        <w:br/>
        <w:t>из состава СРО до проведения или во время проверки, в связи с чем предлагается ввести на законодательном уровне обязательное прохождение внешнего контроля качества работы аудиторских организаций до выхода их СРО, а также создать и вести реестр соответствующих аудиторских организаций.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повышения качества оказания аудиторских услуг </w:t>
      </w:r>
      <w:r>
        <w:rPr>
          <w:rFonts w:ascii="Times New Roman" w:hAnsi="Times New Roman"/>
          <w:color w:val="000000" w:themeColor="text1"/>
          <w:sz w:val="28"/>
          <w:szCs w:val="28"/>
        </w:rPr>
        <w:br/>
        <w:t xml:space="preserve">и ужесточения ответственности аудиторов за выдачу положительного заключения организациям, у которых в последствии была отозвана лицензия или инициирована процедура банкротства, а также за выдачу заведомо ложного аудиторского заключения, необходимо продолжить работу по внесению изменений в </w:t>
      </w:r>
      <w:r>
        <w:rPr>
          <w:rFonts w:ascii="Times New Roman" w:eastAsia="Times New Roman" w:hAnsi="Times New Roman"/>
          <w:color w:val="000000" w:themeColor="text1"/>
          <w:spacing w:val="1"/>
          <w:sz w:val="28"/>
          <w:szCs w:val="28"/>
          <w:lang w:eastAsia="ru-RU"/>
        </w:rPr>
        <w:t>КоАП</w:t>
      </w:r>
      <w:r>
        <w:rPr>
          <w:rFonts w:ascii="Times New Roman" w:hAnsi="Times New Roman"/>
          <w:color w:val="000000" w:themeColor="text1"/>
          <w:sz w:val="28"/>
          <w:szCs w:val="28"/>
        </w:rPr>
        <w:t xml:space="preserve"> и в Уголовный кодекс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целях повышения эффективности ВККР АО </w:t>
      </w:r>
      <w:r>
        <w:rPr>
          <w:rFonts w:ascii="Times New Roman" w:hAnsi="Times New Roman"/>
          <w:color w:val="000000" w:themeColor="text1"/>
          <w:sz w:val="28"/>
          <w:szCs w:val="28"/>
        </w:rPr>
        <w:br/>
        <w:t xml:space="preserve">и прозрачности его результатов, планируется издать приказы о формах документов и об отчетности, составляемых при осуществлении ВККР АО, </w:t>
      </w:r>
      <w:r>
        <w:rPr>
          <w:rFonts w:ascii="Times New Roman" w:hAnsi="Times New Roman"/>
          <w:color w:val="000000" w:themeColor="text1"/>
          <w:sz w:val="28"/>
          <w:szCs w:val="28"/>
        </w:rPr>
        <w:br/>
        <w:t>а также создать Порядок (стандарт) осуществления государственной функции по ВККР АО.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повышения прозрачности принятия решений и возможности досудебного урегулирования споров планируется создать Комиссию </w:t>
      </w:r>
      <w:r>
        <w:rPr>
          <w:rFonts w:ascii="Times New Roman" w:hAnsi="Times New Roman"/>
          <w:color w:val="000000" w:themeColor="text1"/>
          <w:sz w:val="28"/>
          <w:szCs w:val="28"/>
        </w:rPr>
        <w:br/>
        <w:t>по рассмотрению результатов ВККР АО.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Кроме того, в 2017 году планируется доработать Временный классификатор нарушений и недостатков, выявляемых в ходе внешнего контроля качества работы аудиторских организаций, аудиторов в связи </w:t>
      </w:r>
      <w:r>
        <w:rPr>
          <w:rFonts w:ascii="Times New Roman" w:hAnsi="Times New Roman"/>
          <w:color w:val="000000" w:themeColor="text1"/>
          <w:sz w:val="28"/>
          <w:szCs w:val="28"/>
        </w:rPr>
        <w:br/>
        <w:t>с введением в действие на территории Российской Федерации международных стандартов аудита. Принятие классификатора нарушений позволит применять стандартный подход и единообразное описание выявляемых нарушений при проведении внешних проверок аудиторских организаций.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очередном заседании Совета по аудиторской деятельности запланировано рассмотрение подготовленного Федеральным казначейством Порядка применения мер воздействия в отношении аудиторских организаций, допустивших нарушения правил аудиторской деятельности, принятие которого позволит применять стандартный подход </w:t>
      </w:r>
      <w:r>
        <w:rPr>
          <w:rFonts w:ascii="Times New Roman" w:hAnsi="Times New Roman"/>
          <w:color w:val="000000" w:themeColor="text1"/>
          <w:sz w:val="28"/>
          <w:szCs w:val="28"/>
        </w:rPr>
        <w:br/>
        <w:t>при применении мер воздействия.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Также планируется продолжить работу по изменению законодательства Российской Федерации в части введения ответственности аудиторских организаций, саморегулируемых организаций аудиторов </w:t>
      </w:r>
      <w:r>
        <w:rPr>
          <w:rFonts w:ascii="Times New Roman" w:hAnsi="Times New Roman"/>
          <w:color w:val="000000" w:themeColor="text1"/>
          <w:sz w:val="28"/>
          <w:szCs w:val="28"/>
        </w:rPr>
        <w:br/>
        <w:t xml:space="preserve">за </w:t>
      </w:r>
      <w:proofErr w:type="spellStart"/>
      <w:r>
        <w:rPr>
          <w:rFonts w:ascii="Times New Roman" w:hAnsi="Times New Roman"/>
          <w:color w:val="000000" w:themeColor="text1"/>
          <w:sz w:val="28"/>
          <w:szCs w:val="28"/>
        </w:rPr>
        <w:t>непредоставление</w:t>
      </w:r>
      <w:proofErr w:type="spellEnd"/>
      <w:r>
        <w:rPr>
          <w:rFonts w:ascii="Times New Roman" w:hAnsi="Times New Roman"/>
          <w:color w:val="000000" w:themeColor="text1"/>
          <w:sz w:val="28"/>
          <w:szCs w:val="28"/>
        </w:rPr>
        <w:t xml:space="preserve"> сведений об исполнении мер воздействия в отношении аудиторских организаций, допустивших нарушения правил аудиторской деятельности, а также в части введения дополнительных критериев </w:t>
      </w:r>
      <w:r>
        <w:rPr>
          <w:rFonts w:ascii="Times New Roman" w:hAnsi="Times New Roman"/>
          <w:color w:val="000000" w:themeColor="text1"/>
          <w:sz w:val="28"/>
          <w:szCs w:val="28"/>
        </w:rPr>
        <w:br/>
        <w:t>в отношении аудиторских организаций, осуществляющих обязательный аудит общественно значимых хозяйствующих субъектов.</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3.5. Осуществление досудебного рассмотрения жалоб</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2017 году Федеральным казначейством планируется рассмотрение жалоб на решения ТОФК, принимаемые по результатам контрольных мероприятий в финансово-бюджетной сфере, и действия (бездействие) должностных лиц Федерального казначейства в рамках своей компетенции, а также планируется подготовка обзоров по результатам рассмотрения жалоб на представления, предписания ТОФК и на действия (бездействие) должностных лиц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целях совершенствования деятельности Федерального казначейства на 2017 год также запланированы:</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издание приказа Федерального казначейства «Об утверждении Порядка досудебного (внесудебного) рассмотрения руководителями территориальных органов Федерального казначейства жалоб на действия (бездействие) должностных лиц территориальных органов Федерального казначейства»; </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издание приказа Федерального казначейства «Об утверждении Порядка организации работы по обеспечению сохранности, выдачи дел по </w:t>
      </w:r>
      <w:r>
        <w:rPr>
          <w:rFonts w:ascii="Times New Roman" w:eastAsia="Times New Roman" w:hAnsi="Times New Roman"/>
          <w:color w:val="000000" w:themeColor="text1"/>
          <w:sz w:val="28"/>
          <w:szCs w:val="28"/>
          <w:lang w:eastAsia="ru-RU"/>
        </w:rPr>
        <w:lastRenderedPageBreak/>
        <w:t>жалобам на решения территориальных органов Федерального казначейства, принимаемые по результатам контрольных мероприятий в финансово-бюджетной сфере, действия (бездействие) должностных лиц Федерального казначейства, доступа к ним в центральном аппарате Федерального казначейства и назначении ответственных лиц за его выполнение».</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3.6. Производство по делам об административных правонарушениях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2017 году Федеральным казначейством планируется продолжение работы по рассмотрению дел об административных правонарушениях.</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Кроме того, планируется обеспечение методического сопровождения осуществления производства по делам об административных правонарушениях Федеральным казначейством и его территориальными органами, в том числе подготовка обзоров по результатам рассмотрения дел об административных правонарушениях и по результатам пересмотра постановлений по делам об административных правонарушениях, вынесенных ТОФК.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Также планируется разработка и принятие порядка подготовки </w:t>
      </w:r>
      <w:r>
        <w:rPr>
          <w:rFonts w:ascii="Times New Roman" w:eastAsia="Times New Roman" w:hAnsi="Times New Roman"/>
          <w:color w:val="000000" w:themeColor="text1"/>
          <w:sz w:val="28"/>
          <w:szCs w:val="28"/>
          <w:lang w:eastAsia="ru-RU"/>
        </w:rPr>
        <w:br/>
        <w:t>и ведения дел об административных правонарушениях в ТОФК.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Дополнительно информируем о следующих направлениях, </w:t>
      </w:r>
      <w:r>
        <w:rPr>
          <w:rFonts w:ascii="Times New Roman" w:eastAsia="Times New Roman" w:hAnsi="Times New Roman"/>
          <w:color w:val="000000" w:themeColor="text1"/>
          <w:sz w:val="28"/>
          <w:szCs w:val="28"/>
          <w:lang w:eastAsia="ru-RU"/>
        </w:rPr>
        <w:br/>
        <w:t>по которым Федеральным казначейством планируется осуществление своей деятельности: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внесение представлений об устранении причин и условий, способствовавших совершению административных правонарушений, в том числе осуществление контроля за их исполнением;</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 осуществление мониторинга исполнения постановлений </w:t>
      </w:r>
      <w:r>
        <w:rPr>
          <w:rFonts w:ascii="Times New Roman" w:eastAsia="Times New Roman" w:hAnsi="Times New Roman"/>
          <w:color w:val="000000" w:themeColor="text1"/>
          <w:sz w:val="28"/>
          <w:szCs w:val="28"/>
          <w:lang w:eastAsia="ru-RU"/>
        </w:rPr>
        <w:br/>
        <w:t xml:space="preserve">о назначении административных наказаний в виде штрафов, вынесенных Федеральным казначейством, в том числе составление протоколов </w:t>
      </w:r>
      <w:r>
        <w:rPr>
          <w:rFonts w:ascii="Times New Roman" w:eastAsia="Times New Roman" w:hAnsi="Times New Roman"/>
          <w:color w:val="000000" w:themeColor="text1"/>
          <w:sz w:val="28"/>
          <w:szCs w:val="28"/>
          <w:lang w:eastAsia="ru-RU"/>
        </w:rPr>
        <w:br/>
        <w:t>об административных правонарушениях, предусмотренных частью 1 статьи 20.25 КоАП, а также взаимодействие с ФССП России по вопросам, связанным с исполнением постановлений, вынесенных Федеральным казначейством.</w:t>
      </w:r>
    </w:p>
    <w:p>
      <w:pPr>
        <w:pageBreakBefore/>
        <w:tabs>
          <w:tab w:val="left" w:pos="840"/>
        </w:tabs>
        <w:spacing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4. Информационные системы</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4.1 Создание и развитие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pPr>
        <w:spacing w:before="120" w:after="120" w:line="240" w:lineRule="auto"/>
        <w:ind w:firstLine="709"/>
        <w:jc w:val="both"/>
        <w:rPr>
          <w:rFonts w:ascii="Times New Roman" w:hAnsi="Times New Roman"/>
          <w:color w:val="000000" w:themeColor="text1"/>
          <w:sz w:val="28"/>
          <w:szCs w:val="28"/>
          <w:lang w:eastAsia="ru-RU"/>
        </w:rPr>
      </w:pPr>
      <w:r>
        <w:rPr>
          <w:rFonts w:ascii="Times New Roman" w:hAnsi="Times New Roman"/>
          <w:b/>
          <w:color w:val="000000" w:themeColor="text1"/>
          <w:sz w:val="28"/>
          <w:szCs w:val="28"/>
          <w:lang w:eastAsia="ru-RU"/>
        </w:rPr>
        <w:t xml:space="preserve">4.1.1. Проектирование, разработка, опытная эксплуатация </w:t>
      </w:r>
      <w:r>
        <w:rPr>
          <w:rFonts w:ascii="Times New Roman" w:hAnsi="Times New Roman"/>
          <w:b/>
          <w:color w:val="000000" w:themeColor="text1"/>
          <w:sz w:val="28"/>
          <w:szCs w:val="28"/>
          <w:lang w:eastAsia="ru-RU"/>
        </w:rPr>
        <w:br/>
        <w:t xml:space="preserve">и сопровождение </w:t>
      </w:r>
      <w:r>
        <w:rPr>
          <w:rFonts w:ascii="Times New Roman" w:eastAsia="Times New Roman" w:hAnsi="Times New Roman"/>
          <w:b/>
          <w:color w:val="000000" w:themeColor="text1"/>
          <w:sz w:val="28"/>
          <w:szCs w:val="28"/>
          <w:lang w:eastAsia="ru-RU"/>
        </w:rPr>
        <w:t>централизованных</w:t>
      </w:r>
      <w:r>
        <w:rPr>
          <w:rFonts w:ascii="Times New Roman" w:hAnsi="Times New Roman"/>
          <w:b/>
          <w:color w:val="000000" w:themeColor="text1"/>
          <w:sz w:val="28"/>
          <w:szCs w:val="28"/>
          <w:lang w:eastAsia="ru-RU"/>
        </w:rPr>
        <w:t xml:space="preserve">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2017 году Федеральным казначейством создание и развитие ГИИС «Электронный бюджет» планируется осуществлять по следующим основным направлениям: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развитие и эксплуатация подсистемы «Ведение нормативной справочной информации» ГИИС «Электронный бюджет» в части ведения перечня доходных источников, перечня бюджетов, лицевых счетов;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развитие и эксплуатация подсистемы «Ведение нормативной справочной информации» ГИИС «Электронный бюджет» в части ведения Реестра УБП и НУБП;</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rPr>
        <w:t> </w:t>
      </w:r>
      <w:r>
        <w:rPr>
          <w:rFonts w:ascii="Times New Roman" w:hAnsi="Times New Roman"/>
          <w:color w:val="000000" w:themeColor="text1"/>
          <w:sz w:val="28"/>
          <w:szCs w:val="28"/>
        </w:rPr>
        <w:t>обеспечение реализации функционала ведения ведомственных перечней услуг для учреждений, являющихся подведомственными учреждениями Правительства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реализация интеграции ГИИС «Электронный бюджет» </w:t>
      </w:r>
      <w:r>
        <w:rPr>
          <w:rFonts w:ascii="Times New Roman" w:hAnsi="Times New Roman"/>
          <w:color w:val="000000" w:themeColor="text1"/>
          <w:sz w:val="28"/>
          <w:szCs w:val="28"/>
        </w:rPr>
        <w:br/>
        <w:t>с автоматизированными системами управления общественными финансами;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обеспечение возможности применения при формировании информации о государственной (муниципальной) услуге или работе Общероссийского классификатора видов экономической деятельности (ОКВЭД2);</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изменение настроек полномочий пользователей Минфина России для обеспечения процедуры согласования БПГМУ;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улучшение эксплуатационных характеристик процессов обработки процессов формирования и ведения БПГМУ и ВПГМУ в части: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обеспечения автоматической актуализации и индикации актуальности состояния реестровых записей ВПГМУ;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реализации справочников для ввода информации о показателях качества и показателях объема в БПГМУ;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приведение функционала модуля по ведению БПГМУ и ВПГМУ подсистемы «Ведение нормативной справочной информации» ГИИС «Электронный бюджет» в соответствие с постановлением Правительства Российской Федерации от 31 декабря 2016 г. № 1591 </w:t>
      </w:r>
      <w:r>
        <w:rPr>
          <w:rFonts w:ascii="Times New Roman" w:hAnsi="Times New Roman"/>
          <w:color w:val="000000" w:themeColor="text1"/>
          <w:sz w:val="28"/>
          <w:szCs w:val="28"/>
        </w:rPr>
        <w:br/>
      </w:r>
      <w:r>
        <w:rPr>
          <w:rFonts w:ascii="Times New Roman" w:hAnsi="Times New Roman"/>
          <w:color w:val="000000" w:themeColor="text1"/>
          <w:sz w:val="28"/>
          <w:szCs w:val="28"/>
        </w:rPr>
        <w:lastRenderedPageBreak/>
        <w:t>«О внесении изменений в постановление Правительства Российской Федерации от 26 февраля 2014 г. № 151»;</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rPr>
        <w:t> </w:t>
      </w:r>
      <w:r>
        <w:rPr>
          <w:rFonts w:ascii="Times New Roman" w:hAnsi="Times New Roman"/>
          <w:color w:val="000000" w:themeColor="text1"/>
          <w:sz w:val="28"/>
          <w:szCs w:val="28"/>
        </w:rPr>
        <w:t xml:space="preserve">развитие подсистемы «Управление расходами» ГИИС «Электронный бюджет» в части компонента, обеспечивающего доведение бюджетных данных и предельных объемов финансирования </w:t>
      </w:r>
      <w:r>
        <w:rPr>
          <w:rFonts w:ascii="Times New Roman" w:hAnsi="Times New Roman"/>
          <w:color w:val="000000" w:themeColor="text1"/>
          <w:sz w:val="28"/>
          <w:szCs w:val="28"/>
        </w:rPr>
        <w:br/>
        <w:t>в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развитие подсистемы «Управление расходами» ГИИС «Электронный бюджет» в части обеспечения интеграции с внешними информационными системами в целях получения исполнительных документов и решения налоговых органов;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развитие подсистемы «Управление расходами» ГИИС «Электронный бюджет» в части компонента, обеспечивающего ведение лицевых счетов;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проектирование подсистемы «Управление кадрами»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проектирование подсистемы «Управление нефинансовыми активами»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создание подсистемы «Управление денежными средствами»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развитие подсистемы «Управление закупками» ГИИС «Электронный бюджет» в целях проведения контроля в соответствии </w:t>
      </w:r>
      <w:r>
        <w:rPr>
          <w:rFonts w:ascii="Times New Roman" w:hAnsi="Times New Roman"/>
          <w:color w:val="000000" w:themeColor="text1"/>
          <w:sz w:val="28"/>
          <w:szCs w:val="28"/>
        </w:rPr>
        <w:br/>
        <w:t xml:space="preserve">с Федеральным законом № 44-ФЗ в части интеграции с ЕИС и интеграции </w:t>
      </w:r>
      <w:r>
        <w:rPr>
          <w:rFonts w:ascii="Times New Roman" w:hAnsi="Times New Roman"/>
          <w:color w:val="000000" w:themeColor="text1"/>
          <w:sz w:val="28"/>
          <w:szCs w:val="28"/>
        </w:rPr>
        <w:br/>
        <w:t>с подсистемой «Управление расходами»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проектирование подсистемы «Учет и отчетность» ГИИС «Электронный бюджет» в части учета операций финансово-хозяйственной деятельности организаций;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развитие и эксплуатация подсистемы «Учет и отчетность» ГИИС «Электронный бюджет» в части обеспечения централизованного составления, представления, свода и консолидации отчетности </w:t>
      </w:r>
      <w:r>
        <w:rPr>
          <w:rFonts w:ascii="Times New Roman" w:hAnsi="Times New Roman"/>
          <w:color w:val="000000" w:themeColor="text1"/>
          <w:sz w:val="28"/>
          <w:szCs w:val="28"/>
        </w:rPr>
        <w:br/>
        <w:t xml:space="preserve">об исполнении федерального бюджета и бухгалтерской отчетности федеральных бюджетных и автономных учреждений, представления бюджетной отчетности органов управления ГВФ РФ, отчетности </w:t>
      </w:r>
      <w:r>
        <w:rPr>
          <w:rFonts w:ascii="Times New Roman" w:hAnsi="Times New Roman"/>
          <w:color w:val="000000" w:themeColor="text1"/>
          <w:sz w:val="28"/>
          <w:szCs w:val="28"/>
        </w:rPr>
        <w:br/>
        <w:t>об исполнении консолидированного бюджета субъекта Российской Федерации и бюджета территориального государственного внебюджетного фонда, а также обеспечения мониторинга ТОФК информации, представляемой в подсистему «Учет и отчетность»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создание первой очереди подсистемы «Информационно-аналитическое обеспечение»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Основным направлением деятельности Федерального казначейства </w:t>
      </w:r>
      <w:r>
        <w:rPr>
          <w:rFonts w:ascii="Times New Roman" w:hAnsi="Times New Roman"/>
          <w:color w:val="000000" w:themeColor="text1"/>
          <w:sz w:val="28"/>
          <w:szCs w:val="28"/>
        </w:rPr>
        <w:br/>
        <w:t xml:space="preserve">на среднесрочную перспективу в 2017 году в рамках реализации основного мероприятия 9.2. «Создание централизованных технологий хранения </w:t>
      </w:r>
      <w:r>
        <w:rPr>
          <w:rFonts w:ascii="Times New Roman" w:hAnsi="Times New Roman"/>
          <w:color w:val="000000" w:themeColor="text1"/>
          <w:sz w:val="28"/>
          <w:szCs w:val="28"/>
        </w:rPr>
        <w:br/>
        <w:t>и обработки информации в сфере управления общественными финансами»</w:t>
      </w:r>
      <w:r>
        <w:rPr>
          <w:rFonts w:ascii="Times New Roman" w:hAnsi="Times New Roman"/>
          <w:color w:val="000000" w:themeColor="text1"/>
        </w:rPr>
        <w:t xml:space="preserve"> </w:t>
      </w:r>
      <w:r>
        <w:rPr>
          <w:rFonts w:ascii="Times New Roman" w:hAnsi="Times New Roman"/>
          <w:color w:val="000000" w:themeColor="text1"/>
          <w:sz w:val="28"/>
          <w:szCs w:val="28"/>
        </w:rPr>
        <w:t>Госпрограммы № 40 предусмотрено мероприятие 9.2.2. «Проектирование, разработка, опытная эксплуатация и сопровождение технологических</w:t>
      </w:r>
      <w:r>
        <w:rPr>
          <w:rFonts w:ascii="Times New Roman" w:hAnsi="Times New Roman"/>
          <w:color w:val="000000" w:themeColor="text1"/>
          <w:sz w:val="28"/>
          <w:szCs w:val="28"/>
        </w:rPr>
        <w:br/>
        <w:t>и функциональных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 реализации указанного мероприятия в 2017 году предполагается обеспечить:</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внедрение подсистемы «Учет и отчетность» ГИИС «Электронный бюджет» в части компонента представления бюджетной (бухгалтерской) отчетности и формирования сводной (консолидированной) бюджетной (бухгалтерской) отчетности, обеспечивающей работу с отчетными данными, не содержащими сведения, составляющие государственную тайну;</w:t>
      </w:r>
    </w:p>
    <w:p>
      <w:pPr>
        <w:tabs>
          <w:tab w:val="left" w:pos="8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«пилотное» внедрение ведения бюджетного учета бюджетных </w:t>
      </w:r>
      <w:r>
        <w:rPr>
          <w:rFonts w:ascii="Times New Roman" w:hAnsi="Times New Roman"/>
          <w:color w:val="000000" w:themeColor="text1"/>
          <w:sz w:val="28"/>
          <w:szCs w:val="28"/>
        </w:rPr>
        <w:br/>
        <w:t xml:space="preserve">и денежных обязательств получателей средств федерального бюджета </w:t>
      </w:r>
      <w:r>
        <w:rPr>
          <w:rFonts w:ascii="Times New Roman" w:hAnsi="Times New Roman"/>
          <w:color w:val="000000" w:themeColor="text1"/>
          <w:sz w:val="28"/>
          <w:szCs w:val="28"/>
        </w:rPr>
        <w:br/>
        <w:t>и составления соответствующей бюджетной отчетности органами Федерального казначейства в ГИИС «Электронный бюджет».</w:t>
      </w:r>
    </w:p>
    <w:p>
      <w:pPr>
        <w:pStyle w:val="afe"/>
        <w:ind w:firstLine="709"/>
        <w:jc w:val="both"/>
        <w:rPr>
          <w:rFonts w:eastAsia="SimSun"/>
          <w:color w:val="000000" w:themeColor="text1"/>
          <w:sz w:val="28"/>
          <w:szCs w:val="28"/>
        </w:rPr>
      </w:pPr>
      <w:r>
        <w:rPr>
          <w:rFonts w:eastAsia="SimSun"/>
          <w:color w:val="000000" w:themeColor="text1"/>
          <w:sz w:val="28"/>
          <w:szCs w:val="28"/>
        </w:rPr>
        <w:t xml:space="preserve">Обеспечена разработка проекта концепции создания и развития подсистемы «Финансовый контроль» ГИИС «Электронный бюджет». </w:t>
      </w:r>
    </w:p>
    <w:p>
      <w:pPr>
        <w:pStyle w:val="afe"/>
        <w:ind w:firstLine="709"/>
        <w:jc w:val="both"/>
        <w:rPr>
          <w:rFonts w:eastAsia="SimSun"/>
          <w:color w:val="000000" w:themeColor="text1"/>
          <w:sz w:val="28"/>
          <w:szCs w:val="28"/>
        </w:rPr>
      </w:pPr>
      <w:r>
        <w:rPr>
          <w:rFonts w:eastAsia="SimSun"/>
          <w:color w:val="000000" w:themeColor="text1"/>
          <w:sz w:val="28"/>
          <w:szCs w:val="28"/>
        </w:rPr>
        <w:t xml:space="preserve">Письмом Федерального казначейства от 30 декабря 2016 г. </w:t>
      </w:r>
      <w:r>
        <w:rPr>
          <w:rFonts w:eastAsia="SimSun"/>
          <w:color w:val="000000" w:themeColor="text1"/>
          <w:sz w:val="28"/>
          <w:szCs w:val="28"/>
        </w:rPr>
        <w:br/>
        <w:t>№ 07-04-04/06-2204 проект документа направлен в Министерство финансов Российской Федерации для рассмотрения.</w:t>
      </w:r>
    </w:p>
    <w:p>
      <w:pPr>
        <w:pStyle w:val="afe"/>
        <w:ind w:firstLine="709"/>
        <w:jc w:val="both"/>
        <w:rPr>
          <w:color w:val="000000" w:themeColor="text1"/>
          <w:sz w:val="28"/>
          <w:szCs w:val="28"/>
        </w:rPr>
      </w:pPr>
      <w:r>
        <w:rPr>
          <w:color w:val="000000" w:themeColor="text1"/>
          <w:sz w:val="28"/>
          <w:szCs w:val="28"/>
        </w:rPr>
        <w:t xml:space="preserve">В 2017 году будет продолжена работа по созданию Федеральным казначейством функциональности модулей и компонентов подсистемы «Финансовый контроль» ГИИС «Электронный бюджет», а также внедрению результатов данных мероприятий в целях обеспечения ввода </w:t>
      </w:r>
      <w:r>
        <w:rPr>
          <w:color w:val="000000" w:themeColor="text1"/>
          <w:sz w:val="28"/>
          <w:szCs w:val="28"/>
        </w:rPr>
        <w:br/>
        <w:t>в эксплуатацию указанной подсистемы.</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Федеральным казначейством планируется обеспечить в подсистеме «Управление закупками» ГИИС «Электронный бюджет» применение каталога товаров, работ, услуг при подготовке к размещению информации </w:t>
      </w:r>
      <w:r>
        <w:rPr>
          <w:rFonts w:ascii="Times New Roman" w:hAnsi="Times New Roman"/>
          <w:color w:val="000000" w:themeColor="text1"/>
          <w:sz w:val="28"/>
          <w:szCs w:val="28"/>
          <w:lang w:eastAsia="ru-RU"/>
        </w:rPr>
        <w:br/>
        <w:t>в процессе планирования закупок, проведения процедур определения поставщика (подрядчика, исполнителя), а также заключения государственных контрактов.</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Также запланированы мероприятия по обеспечению проведения процедур определения поставщика (подрядчика, исполнителя) </w:t>
      </w:r>
      <w:r>
        <w:rPr>
          <w:rFonts w:ascii="Times New Roman" w:hAnsi="Times New Roman"/>
          <w:color w:val="000000" w:themeColor="text1"/>
          <w:sz w:val="28"/>
          <w:szCs w:val="28"/>
          <w:lang w:eastAsia="ru-RU"/>
        </w:rPr>
        <w:br/>
        <w:t>в электронном виде.</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 xml:space="preserve">Масштабный объем работ предусматривается для обеспечения исполнения поручения Президента Российской Федерации от 10 августа 2016 г. № Пр-1567 в части применения в подсистеме «Управление закупками» ГИИС «Электронный бюджет» сведений, направляемых информационно-аналитической системой мониторинга и контроля в сфере закупок лекарственных препаратов для обеспечения государственных </w:t>
      </w:r>
      <w:r>
        <w:rPr>
          <w:rFonts w:ascii="Times New Roman" w:hAnsi="Times New Roman"/>
          <w:color w:val="000000" w:themeColor="text1"/>
          <w:sz w:val="28"/>
          <w:szCs w:val="28"/>
          <w:lang w:eastAsia="ru-RU"/>
        </w:rPr>
        <w:br/>
        <w:t xml:space="preserve">и муниципальных нужд, при формировании информации о закупках лекарственных средств в таких функциональных модулях и компонентах подсистемы, как модуль формирования и ведения документации </w:t>
      </w:r>
      <w:r>
        <w:rPr>
          <w:rFonts w:ascii="Times New Roman" w:hAnsi="Times New Roman"/>
          <w:color w:val="000000" w:themeColor="text1"/>
          <w:sz w:val="28"/>
          <w:szCs w:val="28"/>
          <w:lang w:eastAsia="ru-RU"/>
        </w:rPr>
        <w:br/>
        <w:t>по планированию, модуль формирования и ведения документации в целях определения поставщика (подрядчика, исполнителя), модуль формирования и ведения реестра контрактов, заключенных заказчиками, предусмотренного Федеральным законом № 44-ФЗ.</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в рамках модуля формирования и ведения реестра контрактов, заключенных заказчиками, предусмотренного Федеральным законом № 44-ФЗ, будут доработаны отдельные функции в том числе </w:t>
      </w:r>
      <w:r>
        <w:rPr>
          <w:rFonts w:ascii="Times New Roman" w:hAnsi="Times New Roman"/>
          <w:color w:val="000000" w:themeColor="text1"/>
          <w:sz w:val="28"/>
          <w:szCs w:val="28"/>
          <w:lang w:eastAsia="ru-RU"/>
        </w:rPr>
        <w:br/>
        <w:t>в части: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указания в составе информации реестра контрактов, заключенных заказчиками, сведений о лекарственном препарате как объекте закупки;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указания в реестре контрактов, заключенных заказчиками, сведений об авансовых платежах;</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указания в реестре контрактов, заключенных заказчиками, сведений гарантийных обязательствах;</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указания в реестре контрактов, заключенных заказчиками, сведений об исполнении обязательств по гарантии качества товара (работы, услуги).</w:t>
      </w:r>
    </w:p>
    <w:p>
      <w:pPr>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Федеральным казначейством осуществляется подготовка к вводу в эксплуатацию функционала формирования сведений </w:t>
      </w:r>
      <w:r>
        <w:rPr>
          <w:rFonts w:ascii="Times New Roman" w:hAnsi="Times New Roman"/>
          <w:color w:val="000000" w:themeColor="text1"/>
          <w:sz w:val="28"/>
          <w:szCs w:val="28"/>
          <w:lang w:eastAsia="ru-RU"/>
        </w:rPr>
        <w:br/>
        <w:t>о принимаемом бюджетном обязательстве, разработанном во исполнение требований Приказа № 221н.</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4.2. Создание и развитие программно-аппаратного комплекса государственной интегрированной информационной системы управления общественными финансами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обеспечения бесперебойного функционирования ГИИС «Электронный бюджет»</w:t>
      </w:r>
      <w:r>
        <w:rPr>
          <w:rFonts w:ascii="Times New Roman" w:hAnsi="Times New Roman"/>
          <w:b/>
          <w:color w:val="000000" w:themeColor="text1"/>
          <w:sz w:val="28"/>
          <w:szCs w:val="28"/>
        </w:rPr>
        <w:t xml:space="preserve"> </w:t>
      </w:r>
      <w:r>
        <w:rPr>
          <w:rFonts w:ascii="Times New Roman" w:hAnsi="Times New Roman"/>
          <w:color w:val="000000" w:themeColor="text1"/>
          <w:sz w:val="28"/>
          <w:szCs w:val="28"/>
        </w:rPr>
        <w:t xml:space="preserve">в 2017 году планируется доукомплектование средствами защиты вычислительных мощностей в региональном центре обработки данных г. Городец, создание резерва на базе вычислительных мощностей регионального центра обработки данных г. Городец. Созданный резерв будет обеспечивать безопасность данных, а также восстановление </w:t>
      </w:r>
      <w:r>
        <w:rPr>
          <w:rFonts w:ascii="Times New Roman" w:hAnsi="Times New Roman"/>
          <w:color w:val="000000" w:themeColor="text1"/>
          <w:sz w:val="28"/>
          <w:szCs w:val="28"/>
        </w:rPr>
        <w:lastRenderedPageBreak/>
        <w:t>сервиса в случае полного выхода из строя центра обработки данных федерального государственного унитарного предприятия «Гознак».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запланированы определение и осуществление масштабирования программно-аппаратных комплексов в соответствие </w:t>
      </w:r>
      <w:r>
        <w:rPr>
          <w:rFonts w:ascii="Times New Roman" w:hAnsi="Times New Roman"/>
          <w:color w:val="000000" w:themeColor="text1"/>
          <w:sz w:val="28"/>
          <w:szCs w:val="28"/>
        </w:rPr>
        <w:br/>
        <w:t>с потребностями и развитием функциональных мощностей.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Развитие инфраструктуры программно-аппаратного комплекса происходит в соответствие с унифицированной архитектурой единой облачной инфраструктуры Федерального казначейства. Применение типовых подходов к организации вычислительной и сетевой инфраструктуры позволяет использовать типовые вычислительные блоки, унификация инфраструктуры позволяет оптимизировать эксплуатационные затраты.</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4.3. Обеспечение функционирования и развитие единого портала бюджетной системы Российской Федерации (www.budget.gov.ru)</w:t>
      </w:r>
    </w:p>
    <w:p>
      <w:pPr>
        <w:spacing w:before="120" w:after="120" w:line="240" w:lineRule="auto"/>
        <w:ind w:firstLine="709"/>
        <w:jc w:val="both"/>
        <w:rPr>
          <w:rFonts w:ascii="Times New Roman" w:hAnsi="Times New Roman"/>
          <w:b/>
          <w:color w:val="000000" w:themeColor="text1"/>
          <w:sz w:val="28"/>
          <w:szCs w:val="28"/>
          <w:lang w:eastAsia="ru-RU"/>
        </w:rPr>
      </w:pPr>
      <w:r>
        <w:rPr>
          <w:rFonts w:ascii="Times New Roman" w:hAnsi="Times New Roman"/>
          <w:b/>
          <w:color w:val="000000" w:themeColor="text1"/>
          <w:sz w:val="28"/>
          <w:szCs w:val="28"/>
          <w:lang w:eastAsia="ru-RU"/>
        </w:rPr>
        <w:t>4.3.1. </w:t>
      </w:r>
      <w:r>
        <w:rPr>
          <w:rFonts w:ascii="Times New Roman" w:eastAsia="Times New Roman" w:hAnsi="Times New Roman"/>
          <w:b/>
          <w:color w:val="000000" w:themeColor="text1"/>
          <w:sz w:val="28"/>
          <w:szCs w:val="28"/>
          <w:lang w:eastAsia="ru-RU"/>
        </w:rPr>
        <w:t>Обеспечение функционирования и развитие единого портала бюджетной системы Российской Федерации (</w:t>
      </w:r>
      <w:hyperlink r:id="rId223" w:history="1">
        <w:r>
          <w:rPr>
            <w:rFonts w:ascii="Times New Roman" w:eastAsia="Times New Roman" w:hAnsi="Times New Roman"/>
            <w:b/>
            <w:color w:val="000000" w:themeColor="text1"/>
            <w:sz w:val="28"/>
            <w:szCs w:val="28"/>
            <w:lang w:eastAsia="ru-RU"/>
          </w:rPr>
          <w:t>www.budget.gov.ru</w:t>
        </w:r>
      </w:hyperlink>
      <w:r>
        <w:rPr>
          <w:rFonts w:ascii="Times New Roman" w:eastAsia="Times New Roman" w:hAnsi="Times New Roman"/>
          <w:b/>
          <w:color w:val="000000" w:themeColor="text1"/>
          <w:sz w:val="28"/>
          <w:szCs w:val="28"/>
          <w:lang w:eastAsia="ru-RU"/>
        </w:rPr>
        <w:t>)</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2017 году Федеральное казначейство планирует дальнейшее развитие и модернизацию Единого портала, в том числе в части: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расширения состава информации, размещаемой на Едином портале </w:t>
      </w:r>
      <w:r>
        <w:rPr>
          <w:rFonts w:ascii="Times New Roman" w:hAnsi="Times New Roman"/>
          <w:color w:val="000000" w:themeColor="text1"/>
          <w:sz w:val="28"/>
          <w:szCs w:val="28"/>
        </w:rPr>
        <w:br/>
        <w:t>в соответствии с изменениями законодательства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развития программно-технических средств Единого портала </w:t>
      </w:r>
      <w:r>
        <w:rPr>
          <w:rFonts w:ascii="Times New Roman" w:hAnsi="Times New Roman"/>
          <w:color w:val="000000" w:themeColor="text1"/>
          <w:sz w:val="28"/>
          <w:szCs w:val="28"/>
        </w:rPr>
        <w:br/>
        <w:t>в соответствии с функциональными требованиями Министерства финансов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разработки мобильной версии Единого портала;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обеспечения возможности публикации информации на Едином портале финансовыми органами субъектов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реализации возможности отображения на карте пространственных сведений, размещенных на Едином портале.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4.4. Участие Федерального казначейства в контрактной системы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участия Федерального казначейства в федеральной контрактной системе на 2017 год запланировано: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внедрение модуля формирования и ведения документации в целях определения поставщика (подрядчика, исполнителя);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внедрение и использование каталога товаров, работ и услуг </w:t>
      </w:r>
      <w:r>
        <w:rPr>
          <w:rFonts w:ascii="Times New Roman" w:hAnsi="Times New Roman"/>
          <w:color w:val="000000" w:themeColor="text1"/>
          <w:sz w:val="28"/>
          <w:szCs w:val="28"/>
        </w:rPr>
        <w:br/>
        <w:t>для обеспечения государственных и муниципальных нужд;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 случае внесения изменений в Федеральный закон № 44-ФЗ, определяющих переход к электронным процедурам, внедрение электронных процедур закупок, в том числе: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регистрация в ЕИС личного кабинета участников закупок, создание </w:t>
      </w:r>
      <w:r>
        <w:rPr>
          <w:rFonts w:ascii="Times New Roman" w:hAnsi="Times New Roman"/>
          <w:color w:val="000000" w:themeColor="text1"/>
          <w:sz w:val="28"/>
          <w:szCs w:val="28"/>
        </w:rPr>
        <w:br/>
        <w:t>в ЕИС их личных кабинетов;</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применения структурированной документации о закупке, структурированного контракта;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заключение контрактов в электронном виде по всем закупкам;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внедрение и использование единого передаточного документа </w:t>
      </w:r>
      <w:r>
        <w:rPr>
          <w:rFonts w:ascii="Times New Roman" w:hAnsi="Times New Roman"/>
          <w:color w:val="000000" w:themeColor="text1"/>
          <w:sz w:val="28"/>
          <w:szCs w:val="28"/>
        </w:rPr>
        <w:br/>
        <w:t>о приемке товаров, работ и услуг по государственным контрактам;</w:t>
      </w:r>
    </w:p>
    <w:p>
      <w:pPr>
        <w:pStyle w:val="a5"/>
        <w:spacing w:after="0" w:line="360" w:lineRule="atLeast"/>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обеспечение взаимодействия с ИАС в целях мониторинга закупок лекарственных средств. </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Развитие функциональных возможностей ЕИС осуществляется </w:t>
      </w:r>
      <w:r>
        <w:rPr>
          <w:rFonts w:ascii="Times New Roman" w:hAnsi="Times New Roman"/>
          <w:color w:val="000000" w:themeColor="text1"/>
          <w:sz w:val="28"/>
          <w:szCs w:val="28"/>
          <w:lang w:eastAsia="ru-RU"/>
        </w:rPr>
        <w:br/>
        <w:t>на основании изменений, вносимых в НПА о контрактной системе в сфере закупок.</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2016 году внесены изменения в отдельные положения, либо добавлены новые положения Федерального закона № 44-ФЗ и Федерального закона № 223-ФЗ, а также иных НПА, вступающих в силу в 2017 </w:t>
      </w:r>
      <w:r>
        <w:rPr>
          <w:rFonts w:ascii="Times New Roman" w:hAnsi="Times New Roman"/>
          <w:color w:val="000000" w:themeColor="text1"/>
          <w:sz w:val="28"/>
          <w:szCs w:val="28"/>
          <w:lang w:eastAsia="ru-RU"/>
        </w:rPr>
        <w:br/>
        <w:t>и последующие годы.</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этой связи Федеральным казначейством запланированы</w:t>
      </w:r>
      <w:r>
        <w:rPr>
          <w:rFonts w:ascii="Times New Roman" w:hAnsi="Times New Roman"/>
          <w:color w:val="000000" w:themeColor="text1"/>
          <w:sz w:val="28"/>
          <w:szCs w:val="28"/>
          <w:lang w:eastAsia="ru-RU"/>
        </w:rPr>
        <w:br/>
        <w:t xml:space="preserve">к выполнению мероприятия, направленные на расширение функциональных возможностей ЕИС, обеспечивающие реализацию новых требований законодательства о контрактной системе. Кроме того, Федеральным казначейством исполняются полномочия, определенные постановлением Правительства Российской Федерации от 30 сентября 2014 г. № 996 </w:t>
      </w:r>
      <w:r>
        <w:rPr>
          <w:rFonts w:ascii="Times New Roman" w:hAnsi="Times New Roman"/>
          <w:color w:val="000000" w:themeColor="text1"/>
          <w:sz w:val="28"/>
          <w:szCs w:val="28"/>
          <w:lang w:eastAsia="ru-RU"/>
        </w:rPr>
        <w:br/>
        <w:t xml:space="preserve">«О распределении полномочий между Министерством экономического развития Российской Федерации и Федеральным казначейством </w:t>
      </w:r>
      <w:r>
        <w:rPr>
          <w:rFonts w:ascii="Times New Roman" w:hAnsi="Times New Roman"/>
          <w:color w:val="000000" w:themeColor="text1"/>
          <w:sz w:val="28"/>
          <w:szCs w:val="28"/>
          <w:lang w:eastAsia="ru-RU"/>
        </w:rPr>
        <w:br/>
        <w:t xml:space="preserve">при создании единой информационной системы в сфере закупок», предусматривающие развитие функциональных возможностей ЕИС </w:t>
      </w:r>
      <w:r>
        <w:rPr>
          <w:rFonts w:ascii="Times New Roman" w:hAnsi="Times New Roman"/>
          <w:color w:val="000000" w:themeColor="text1"/>
          <w:sz w:val="28"/>
          <w:szCs w:val="28"/>
          <w:lang w:eastAsia="ru-RU"/>
        </w:rPr>
        <w:br/>
        <w:t>в соответствии с функциональными требованиями Минэкономразвития России.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 2017 году будет обеспечено в полном объеме исполнение поручения Президента Российской Федерации от 10 августа 2016 г. № Пр-1567 </w:t>
      </w:r>
      <w:r>
        <w:rPr>
          <w:rFonts w:ascii="Times New Roman" w:hAnsi="Times New Roman"/>
          <w:color w:val="000000" w:themeColor="text1"/>
          <w:sz w:val="28"/>
          <w:szCs w:val="28"/>
          <w:lang w:eastAsia="ru-RU"/>
        </w:rPr>
        <w:br/>
        <w:t xml:space="preserve">по вопросам создания информационно-аналитической системы мониторинга и контроля в сфере закупок лекарственных препаратов </w:t>
      </w:r>
      <w:r>
        <w:rPr>
          <w:rFonts w:ascii="Times New Roman" w:hAnsi="Times New Roman"/>
          <w:color w:val="000000" w:themeColor="text1"/>
          <w:sz w:val="28"/>
          <w:szCs w:val="28"/>
          <w:lang w:eastAsia="ru-RU"/>
        </w:rPr>
        <w:br/>
        <w:t>для обеспечения государственных и муниципальных нужд.</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Во исполнение поручения Первого заместителя Председателя Правительства Российской Федерации И.И. Шувалова от 28 октября 2016 г. № 8200п-П10, направленного в виде плана мероприятий по нормативно-правовому регулированию и доработке ЕИС для обеспечения интеграции </w:t>
      </w:r>
      <w:r>
        <w:rPr>
          <w:rFonts w:ascii="Times New Roman" w:hAnsi="Times New Roman"/>
          <w:color w:val="000000" w:themeColor="text1"/>
          <w:sz w:val="28"/>
          <w:szCs w:val="28"/>
          <w:lang w:eastAsia="ru-RU"/>
        </w:rPr>
        <w:br/>
        <w:t xml:space="preserve">с создаваемой ИАС в части структурирования различных характеристик товара (лекарственных препаратов) в едином машиночитаемом формате, Федеральным казначейством будет обеспечена возможность приема </w:t>
      </w:r>
      <w:r>
        <w:rPr>
          <w:rFonts w:ascii="Times New Roman" w:hAnsi="Times New Roman"/>
          <w:color w:val="000000" w:themeColor="text1"/>
          <w:sz w:val="28"/>
          <w:szCs w:val="28"/>
          <w:lang w:eastAsia="ru-RU"/>
        </w:rPr>
        <w:lastRenderedPageBreak/>
        <w:t>информации о лекарственных средствах в ЕИС, с возможностью использования данной информации на всех этапах осуществления закупок лекарственных средств, начиная от планирования закупок и завершая исполнением государственных контрактов.</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в рамках обеспечения проведения процедур </w:t>
      </w:r>
      <w:r>
        <w:rPr>
          <w:rFonts w:ascii="Times New Roman" w:hAnsi="Times New Roman"/>
          <w:color w:val="000000" w:themeColor="text1"/>
          <w:sz w:val="28"/>
          <w:szCs w:val="28"/>
          <w:lang w:eastAsia="ru-RU"/>
        </w:rPr>
        <w:br/>
        <w:t xml:space="preserve">в электронном виде в соответствии с постановлением Правительства Российской Федерации от 31 декабря 2016 г. № 1588 «О внесении изменений в постановление Правительства Российской Федерации </w:t>
      </w:r>
      <w:r>
        <w:rPr>
          <w:rFonts w:ascii="Times New Roman" w:hAnsi="Times New Roman"/>
          <w:color w:val="000000" w:themeColor="text1"/>
          <w:sz w:val="28"/>
          <w:szCs w:val="28"/>
          <w:lang w:eastAsia="ru-RU"/>
        </w:rPr>
        <w:br/>
        <w:t>от 23 января 2015 г. №</w:t>
      </w:r>
      <w:r>
        <w:rPr>
          <w:rFonts w:ascii="Times New Roman" w:hAnsi="Times New Roman"/>
          <w:color w:val="000000" w:themeColor="text1"/>
          <w:sz w:val="24"/>
          <w:szCs w:val="24"/>
          <w:lang w:eastAsia="ru-RU"/>
        </w:rPr>
        <w:t> </w:t>
      </w:r>
      <w:r>
        <w:rPr>
          <w:rFonts w:ascii="Times New Roman" w:hAnsi="Times New Roman"/>
          <w:color w:val="000000" w:themeColor="text1"/>
          <w:sz w:val="28"/>
          <w:szCs w:val="28"/>
          <w:lang w:eastAsia="ru-RU"/>
        </w:rPr>
        <w:t xml:space="preserve">36» на 1 января 2018 года перенесены сроки вступления в силу нормы, устанавливающей необходимость подачи заявок на участие в определении поставщика (подрядчика, исполнителя) посредством функциональных возможностей ЕИС. Вместе с тем, </w:t>
      </w:r>
      <w:r>
        <w:rPr>
          <w:rFonts w:ascii="Times New Roman" w:hAnsi="Times New Roman"/>
          <w:color w:val="000000" w:themeColor="text1"/>
          <w:sz w:val="28"/>
          <w:szCs w:val="28"/>
          <w:lang w:eastAsia="ru-RU"/>
        </w:rPr>
        <w:br/>
        <w:t xml:space="preserve">в настоящее время не утвержден законопроект, предусматривающий внесение изменений в Федеральный закон № 44-ФЗ в части обеспечения проведения процедур в электронном виде, разработанный в соответствии </w:t>
      </w:r>
      <w:r>
        <w:rPr>
          <w:rFonts w:ascii="Times New Roman" w:hAnsi="Times New Roman"/>
          <w:color w:val="000000" w:themeColor="text1"/>
          <w:sz w:val="28"/>
          <w:szCs w:val="28"/>
          <w:lang w:eastAsia="ru-RU"/>
        </w:rPr>
        <w:br/>
        <w:t xml:space="preserve">с поручением Первого заместителя Председателя Правительства Российской Федерации И.И. Шувалова от 13 мая 2015 г. № ИШ-П13-3141. </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При этом, в случае утверждения указанного законопроекта, Федеральным казначейством планируется осуществление доработки функциональных возможностей ЕИС, в том числе, обеспечение интеграционного взаимодействия с электронными площадками</w:t>
      </w:r>
      <w:r>
        <w:rPr>
          <w:rFonts w:ascii="Times New Roman" w:hAnsi="Times New Roman"/>
          <w:color w:val="000000" w:themeColor="text1"/>
          <w:sz w:val="28"/>
          <w:szCs w:val="28"/>
          <w:lang w:eastAsia="ru-RU"/>
        </w:rPr>
        <w:br/>
        <w:t>в соответствии с утвержденными требованиями.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2016 году вступил в силу Федеральный закон от 3 июля 2016 г.</w:t>
      </w:r>
      <w:r>
        <w:rPr>
          <w:rFonts w:ascii="Times New Roman" w:hAnsi="Times New Roman"/>
          <w:color w:val="000000" w:themeColor="text1"/>
          <w:sz w:val="28"/>
          <w:szCs w:val="28"/>
          <w:lang w:eastAsia="ru-RU"/>
        </w:rPr>
        <w:br/>
        <w:t xml:space="preserve">№ 365-ФЗ «О внесении изменений в Федеральный закон «О контрактной системе в сфере закупок товаров, работ, услуг для обеспечения государственных и муниципальных нужд» и отдельные законодательные акты Российской Федерации (далее – Федеральный закон № 365-ФЗ), положения которого определяют особенности осуществления закупки товара, производство которого создается или модернизируется </w:t>
      </w:r>
      <w:r>
        <w:rPr>
          <w:rFonts w:ascii="Times New Roman" w:hAnsi="Times New Roman"/>
          <w:color w:val="000000" w:themeColor="text1"/>
          <w:sz w:val="28"/>
          <w:szCs w:val="28"/>
          <w:lang w:eastAsia="ru-RU"/>
        </w:rPr>
        <w:br/>
        <w:t xml:space="preserve">и (или) осваивается на территории Российской Федерации в соответствии </w:t>
      </w:r>
      <w:r>
        <w:rPr>
          <w:rFonts w:ascii="Times New Roman" w:hAnsi="Times New Roman"/>
          <w:color w:val="000000" w:themeColor="text1"/>
          <w:sz w:val="28"/>
          <w:szCs w:val="28"/>
          <w:lang w:eastAsia="ru-RU"/>
        </w:rPr>
        <w:br/>
        <w:t>со специальным инвестиционным контрактом, а также особенности заключения государственного контракта, предусматривающего встречные инвестиционные обязательства поставщика-инвестора по созданию, модернизации и (или) освоению производства товара на территории субъекта Российской Федерации для обеспечения государственных нужд субъекта Российской Федерации.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Федеральным казначейством запланированы мероприятия </w:t>
      </w:r>
      <w:r>
        <w:rPr>
          <w:rFonts w:ascii="Times New Roman" w:hAnsi="Times New Roman"/>
          <w:color w:val="000000" w:themeColor="text1"/>
          <w:sz w:val="28"/>
          <w:szCs w:val="28"/>
          <w:lang w:eastAsia="ru-RU"/>
        </w:rPr>
        <w:br/>
        <w:t xml:space="preserve">по обеспечению указанных функциональных возможностей, в том числе, планируется к вводу в эксплуатацию реестр единственных поставщиков </w:t>
      </w:r>
      <w:r>
        <w:rPr>
          <w:rFonts w:ascii="Times New Roman" w:hAnsi="Times New Roman"/>
          <w:color w:val="000000" w:themeColor="text1"/>
          <w:sz w:val="28"/>
          <w:szCs w:val="28"/>
          <w:lang w:eastAsia="ru-RU"/>
        </w:rPr>
        <w:lastRenderedPageBreak/>
        <w:t xml:space="preserve">товара, производство которого создается, модернизируется </w:t>
      </w:r>
      <w:r>
        <w:rPr>
          <w:rFonts w:ascii="Times New Roman" w:hAnsi="Times New Roman"/>
          <w:color w:val="000000" w:themeColor="text1"/>
          <w:sz w:val="28"/>
          <w:szCs w:val="28"/>
          <w:lang w:eastAsia="ru-RU"/>
        </w:rPr>
        <w:br/>
        <w:t>и (или) осваивается на территории Российской Федерации.</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Важным и до сих пор не решенным остается вопрос применения каталога товаров, работ, услуг для обеспечения государственных </w:t>
      </w:r>
      <w:r>
        <w:rPr>
          <w:rFonts w:ascii="Times New Roman" w:hAnsi="Times New Roman"/>
          <w:color w:val="000000" w:themeColor="text1"/>
          <w:sz w:val="28"/>
          <w:szCs w:val="28"/>
          <w:lang w:eastAsia="ru-RU"/>
        </w:rPr>
        <w:br/>
        <w:t xml:space="preserve">и муниципальных нужд (далее – Каталог) в ЕИС при формировании объектов закупок в рамках мониторинга государственных и муниципальных закупок. В 2017 году Федеральным казначейством запланированы мероприятия по обеспечению применения Каталога в соответствии </w:t>
      </w:r>
      <w:r>
        <w:rPr>
          <w:rFonts w:ascii="Times New Roman" w:hAnsi="Times New Roman"/>
          <w:color w:val="000000" w:themeColor="text1"/>
          <w:sz w:val="28"/>
          <w:szCs w:val="28"/>
          <w:lang w:eastAsia="ru-RU"/>
        </w:rPr>
        <w:br/>
        <w:t xml:space="preserve">с постановлением Правительства Российской Федерации от 8 февраля 2017 г. № 145 «Об утверждении Правил формирования и ведения в единой информационной системе в сфере закупок каталога товаров, работ, услуг для обеспечения государственных и муниципальных нужд и Правил использования указанного каталога». Расширены функциональные возможности ЕИС в части функций, автоматизирующих деятельность, направленную на обеспечение выполнения работ по капитальному ремонту общего имущества в многоквартирном доме и осуществление закупок товаров, работ, услуг в целях выполнения функций специализированной некоммерческой организации, осуществляющей деятельность, направленную на обеспечение проведения капитального ремонта общего имущества в многоквартирных домах, а также подрядных организаций </w:t>
      </w:r>
      <w:r>
        <w:rPr>
          <w:rFonts w:ascii="Times New Roman" w:hAnsi="Times New Roman"/>
          <w:color w:val="000000" w:themeColor="text1"/>
          <w:sz w:val="28"/>
          <w:szCs w:val="28"/>
          <w:lang w:eastAsia="ru-RU"/>
        </w:rPr>
        <w:br/>
        <w:t>в соответствии с требованиями постановления Правительства Российской Федерации от 1 июля 2016 г. № 615 (далее – Постановление № 615).</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Таким образом, Федеральным казначейством планируется обеспечить: </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регистрацию в ЕИС специализированных некоммерческих организаций, подрядных организаций, осуществляющих деятельность, направленную на обеспечение проведения капитального ремонта общего имущества в многоквартирных домах;</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возможности для формирования (внесения изменений) сведений</w:t>
      </w:r>
      <w:r>
        <w:rPr>
          <w:rFonts w:ascii="Times New Roman" w:hAnsi="Times New Roman"/>
          <w:color w:val="000000" w:themeColor="text1"/>
          <w:sz w:val="28"/>
          <w:szCs w:val="28"/>
          <w:lang w:eastAsia="ru-RU"/>
        </w:rPr>
        <w:br/>
        <w:t>о подрядной организации для включения их в реестр квалифицированных подрядных организаций и сводный реестр квалифицированных подрядных организаций;</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и размещение информации о проведении предварительного отбора подрядных организаций в электронной форме</w:t>
      </w:r>
      <w:r>
        <w:rPr>
          <w:rFonts w:ascii="Times New Roman" w:hAnsi="Times New Roman"/>
          <w:color w:val="000000" w:themeColor="text1"/>
          <w:sz w:val="28"/>
          <w:szCs w:val="28"/>
          <w:lang w:eastAsia="ru-RU"/>
        </w:rPr>
        <w:br/>
        <w:t>в соответствии с требованиями Постановления № 615;</w:t>
      </w:r>
    </w:p>
    <w:p>
      <w:pPr>
        <w:tabs>
          <w:tab w:val="left" w:pos="0"/>
          <w:tab w:val="left" w:pos="1134"/>
        </w:tabs>
        <w:spacing w:after="0" w:line="360" w:lineRule="atLeast"/>
        <w:ind w:firstLine="709"/>
        <w:contextualSpacing/>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сведений об осуществлении закупок специализированными и подрядными организациями путем проведения электронного аукциона в соответствии с особенностями, предусмотренными требованиями Постановления № 615;</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сведений о договоре об оказании услуг</w:t>
      </w:r>
      <w:r>
        <w:rPr>
          <w:rFonts w:ascii="Times New Roman" w:hAnsi="Times New Roman"/>
          <w:color w:val="000000" w:themeColor="text1"/>
          <w:sz w:val="28"/>
          <w:szCs w:val="28"/>
          <w:lang w:eastAsia="ru-RU"/>
        </w:rPr>
        <w:br/>
        <w:t xml:space="preserve">для включения в реестр договоров об оказании услуг, заключенных </w:t>
      </w:r>
      <w:r>
        <w:rPr>
          <w:rFonts w:ascii="Times New Roman" w:hAnsi="Times New Roman"/>
          <w:color w:val="000000" w:themeColor="text1"/>
          <w:sz w:val="28"/>
          <w:szCs w:val="28"/>
          <w:lang w:eastAsia="ru-RU"/>
        </w:rPr>
        <w:lastRenderedPageBreak/>
        <w:t>заказчиком, (далее – Реестр договоров) в соответствии с требованиями Постановления № 615;</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формирование (внесение изменений) информации</w:t>
      </w:r>
      <w:r>
        <w:rPr>
          <w:rFonts w:ascii="Times New Roman" w:hAnsi="Times New Roman"/>
          <w:color w:val="000000" w:themeColor="text1"/>
          <w:sz w:val="28"/>
          <w:szCs w:val="28"/>
          <w:lang w:eastAsia="ru-RU"/>
        </w:rPr>
        <w:br/>
        <w:t>о недобросовестных подрядных организациях для включения их в реестр недобросовестных подрядных организаций.</w:t>
      </w:r>
    </w:p>
    <w:p>
      <w:pPr>
        <w:tabs>
          <w:tab w:val="left" w:pos="0"/>
          <w:tab w:val="left" w:pos="1134"/>
        </w:tabs>
        <w:spacing w:after="0" w:line="360" w:lineRule="atLeast"/>
        <w:ind w:firstLine="709"/>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Кроме того, продолжится реализация функций, обеспечивающих исполнение требований постановления Правительства Российской Федерации от 23 декабря 2015 г. № 1414 «О Порядке функционирования единой информационной системы в сфере закупок», в том числе, в части реализации версии Официального сайта </w:t>
      </w:r>
      <w:hyperlink r:id="rId224" w:history="1">
        <w:r>
          <w:rPr>
            <w:rFonts w:ascii="Times New Roman" w:hAnsi="Times New Roman"/>
            <w:color w:val="000000" w:themeColor="text1"/>
            <w:sz w:val="28"/>
            <w:szCs w:val="28"/>
            <w:lang w:eastAsia="ru-RU"/>
          </w:rPr>
          <w:t>www.zakupki.gov.ru</w:t>
        </w:r>
      </w:hyperlink>
      <w:r>
        <w:rPr>
          <w:rFonts w:ascii="Times New Roman" w:hAnsi="Times New Roman"/>
          <w:color w:val="000000" w:themeColor="text1"/>
          <w:sz w:val="28"/>
          <w:szCs w:val="28"/>
          <w:lang w:eastAsia="ru-RU"/>
        </w:rPr>
        <w:t xml:space="preserve"> для лиц </w:t>
      </w:r>
      <w:r>
        <w:rPr>
          <w:rFonts w:ascii="Times New Roman" w:hAnsi="Times New Roman"/>
          <w:color w:val="000000" w:themeColor="text1"/>
          <w:sz w:val="28"/>
          <w:szCs w:val="28"/>
          <w:lang w:eastAsia="ru-RU"/>
        </w:rPr>
        <w:br/>
        <w:t xml:space="preserve">с ограниченными возможностями (слабовидящих), а также развития функций формирования статистических сведений о посещаемости Официального сайта </w:t>
      </w:r>
      <w:hyperlink r:id="rId225" w:history="1">
        <w:r>
          <w:rPr>
            <w:rFonts w:ascii="Times New Roman" w:hAnsi="Times New Roman"/>
            <w:color w:val="000000" w:themeColor="text1"/>
            <w:sz w:val="28"/>
            <w:szCs w:val="28"/>
            <w:lang w:eastAsia="ru-RU"/>
          </w:rPr>
          <w:t>www.zakupki.gov.ru</w:t>
        </w:r>
      </w:hyperlink>
      <w:r>
        <w:rPr>
          <w:rFonts w:ascii="Times New Roman" w:hAnsi="Times New Roman"/>
          <w:color w:val="000000" w:themeColor="text1"/>
          <w:sz w:val="28"/>
          <w:szCs w:val="28"/>
          <w:lang w:eastAsia="ru-RU"/>
        </w:rPr>
        <w:t xml:space="preserve"> и размещения отчета </w:t>
      </w:r>
      <w:r>
        <w:rPr>
          <w:rFonts w:ascii="Times New Roman" w:hAnsi="Times New Roman"/>
          <w:color w:val="000000" w:themeColor="text1"/>
          <w:sz w:val="28"/>
          <w:szCs w:val="28"/>
          <w:lang w:eastAsia="ru-RU"/>
        </w:rPr>
        <w:br/>
        <w:t xml:space="preserve">о посещаемости на Официальном сайте </w:t>
      </w:r>
      <w:hyperlink r:id="rId226" w:history="1">
        <w:r>
          <w:rPr>
            <w:rFonts w:ascii="Times New Roman" w:hAnsi="Times New Roman"/>
            <w:color w:val="000000" w:themeColor="text1"/>
            <w:sz w:val="28"/>
            <w:szCs w:val="28"/>
            <w:lang w:eastAsia="ru-RU"/>
          </w:rPr>
          <w:t>www.zakupki.gov.ru</w:t>
        </w:r>
      </w:hyperlink>
      <w:r>
        <w:rPr>
          <w:rFonts w:ascii="Times New Roman" w:hAnsi="Times New Roman"/>
          <w:color w:val="000000" w:themeColor="text1"/>
          <w:sz w:val="28"/>
          <w:szCs w:val="28"/>
          <w:lang w:eastAsia="ru-RU"/>
        </w:rPr>
        <w:t>.</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4.5. Развитие государственной автоматизированной информационной системы «Управление»</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соответствии с Постановлением № 1088, Федеральным законом </w:t>
      </w:r>
      <w:r>
        <w:rPr>
          <w:rFonts w:ascii="Times New Roman" w:eastAsia="Times New Roman" w:hAnsi="Times New Roman"/>
          <w:color w:val="000000" w:themeColor="text1"/>
          <w:sz w:val="28"/>
          <w:szCs w:val="28"/>
          <w:lang w:eastAsia="ru-RU"/>
        </w:rPr>
        <w:br/>
        <w:t xml:space="preserve">от 28 июня 2014 г. № 172-ФЗ «О стратегическом планировании </w:t>
      </w:r>
      <w:r>
        <w:rPr>
          <w:rFonts w:ascii="Times New Roman" w:eastAsia="Times New Roman" w:hAnsi="Times New Roman"/>
          <w:color w:val="000000" w:themeColor="text1"/>
          <w:sz w:val="28"/>
          <w:szCs w:val="28"/>
          <w:lang w:eastAsia="ru-RU"/>
        </w:rPr>
        <w:br/>
        <w:t xml:space="preserve">в Российской Федерации», </w:t>
      </w:r>
      <w:r>
        <w:rPr>
          <w:rFonts w:ascii="Times New Roman" w:hAnsi="Times New Roman"/>
          <w:color w:val="000000" w:themeColor="text1"/>
          <w:sz w:val="28"/>
          <w:szCs w:val="28"/>
        </w:rPr>
        <w:t xml:space="preserve">Федеральным законом от 13 июля 2015 г. № 224-ФЗ «О государственно-частном партнерстве, </w:t>
      </w:r>
      <w:proofErr w:type="spellStart"/>
      <w:r>
        <w:rPr>
          <w:rFonts w:ascii="Times New Roman" w:hAnsi="Times New Roman"/>
          <w:color w:val="000000" w:themeColor="text1"/>
          <w:sz w:val="28"/>
          <w:szCs w:val="28"/>
        </w:rPr>
        <w:t>муниципально</w:t>
      </w:r>
      <w:proofErr w:type="spellEnd"/>
      <w:r>
        <w:rPr>
          <w:rFonts w:ascii="Times New Roman" w:hAnsi="Times New Roman"/>
          <w:color w:val="000000" w:themeColor="text1"/>
          <w:sz w:val="28"/>
          <w:szCs w:val="28"/>
        </w:rPr>
        <w:t xml:space="preserve">-частном партнерстве в Российской Федерации и внесении изменений в отдельные законодательные акты Российской Федерации», </w:t>
      </w:r>
      <w:r>
        <w:rPr>
          <w:rFonts w:ascii="Times New Roman" w:hAnsi="Times New Roman"/>
          <w:color w:val="000000" w:themeColor="text1"/>
          <w:sz w:val="28"/>
          <w:szCs w:val="28"/>
          <w:lang w:eastAsia="ru-RU"/>
        </w:rPr>
        <w:t xml:space="preserve">Указом Президента Российской Федерации от 28 апреля 2008 г. № 607 «Об оценке эффективности деятельности органов местного самоуправления городских округов и муниципальных районов», постановлением Правительства Российской Федерации от 17 декабря 2012 г. № 1317 «О мерах </w:t>
      </w:r>
      <w:r>
        <w:rPr>
          <w:rFonts w:ascii="Times New Roman" w:hAnsi="Times New Roman"/>
          <w:color w:val="000000" w:themeColor="text1"/>
          <w:sz w:val="28"/>
          <w:szCs w:val="28"/>
          <w:lang w:eastAsia="ru-RU"/>
        </w:rPr>
        <w:br/>
        <w:t xml:space="preserve">по реализации Указа Президента Российской Федерации от 28 апреля 2008 г. № 607 «Об оценке эффективности деятельности органов местного самоуправления городских округов и муниципальных районов», </w:t>
      </w:r>
      <w:r>
        <w:rPr>
          <w:rFonts w:ascii="Times New Roman" w:hAnsi="Times New Roman"/>
          <w:color w:val="000000" w:themeColor="text1"/>
          <w:sz w:val="28"/>
          <w:szCs w:val="28"/>
        </w:rPr>
        <w:t xml:space="preserve">поручением Президента Российской Федерации от 18 августа 2015 г. № Пр-1659 по повышению эффективности использования бюджетных средств (подпункт «ж» пункта 1), поручением Аппарата Правительства Российской Федерации от 18 марта 2016 г. № П13-12800, поручением первого заместителя Председателя Правительства Российской Федерации И.И. Шувалова от 25 февраля 2016 г. № ИШ-П13-1016 об обеспечении исполнения мероприятий плана-графика реализации мероприятий, предусматривающих завершение инвентаризации объектов незавершенного строительства, создание и совершенствование нормативной правовой базы и методического обеспечения учета объектов незавершенного </w:t>
      </w:r>
      <w:r>
        <w:rPr>
          <w:rFonts w:ascii="Times New Roman" w:hAnsi="Times New Roman"/>
          <w:color w:val="000000" w:themeColor="text1"/>
          <w:sz w:val="28"/>
          <w:szCs w:val="28"/>
        </w:rPr>
        <w:lastRenderedPageBreak/>
        <w:t>строительства, поручением Председателя Правительства Российской Федерации Д.А. Медведева от 29 августа 2015 г. № ДМ-П13-5943,</w:t>
      </w:r>
      <w:r>
        <w:rPr>
          <w:rFonts w:ascii="Times New Roman" w:hAnsi="Times New Roman"/>
          <w:color w:val="000000" w:themeColor="text1"/>
          <w:sz w:val="28"/>
          <w:szCs w:val="28"/>
          <w:lang w:eastAsia="ru-RU"/>
        </w:rPr>
        <w:t xml:space="preserve"> поручением заместителя Председателя Правительства </w:t>
      </w:r>
      <w:r>
        <w:rPr>
          <w:rFonts w:ascii="Times New Roman" w:hAnsi="Times New Roman"/>
          <w:color w:val="000000" w:themeColor="text1"/>
          <w:sz w:val="28"/>
          <w:szCs w:val="28"/>
        </w:rPr>
        <w:t>Российской Федерации</w:t>
      </w:r>
      <w:r>
        <w:rPr>
          <w:rFonts w:ascii="Times New Roman" w:hAnsi="Times New Roman"/>
          <w:color w:val="000000" w:themeColor="text1"/>
          <w:sz w:val="28"/>
          <w:szCs w:val="28"/>
          <w:lang w:eastAsia="ru-RU"/>
        </w:rPr>
        <w:t xml:space="preserve"> Д.Н. Козака от 10 мая 2016 г. № ДК-П36-2728, Указом Президента </w:t>
      </w:r>
      <w:r>
        <w:rPr>
          <w:rFonts w:ascii="Times New Roman" w:hAnsi="Times New Roman"/>
          <w:color w:val="000000" w:themeColor="text1"/>
          <w:sz w:val="28"/>
          <w:szCs w:val="28"/>
        </w:rPr>
        <w:t>Российской Федерации</w:t>
      </w:r>
      <w:r>
        <w:rPr>
          <w:rFonts w:ascii="Times New Roman" w:hAnsi="Times New Roman"/>
          <w:color w:val="000000" w:themeColor="text1"/>
          <w:sz w:val="28"/>
          <w:szCs w:val="28"/>
          <w:lang w:eastAsia="ru-RU"/>
        </w:rPr>
        <w:t xml:space="preserve"> от 10 сентября 2012 г. № 1276 «Об оценке эффективности деятельности руководителей федеральных органов исполнительной власти и высших должностных лиц (руководителей высших исполнительных органов государственной власти) субъектов Российской Федерации по созданию благоприятных условий ведения предпринимательской деятельности», </w:t>
      </w:r>
      <w:r>
        <w:rPr>
          <w:rFonts w:ascii="Times New Roman" w:hAnsi="Times New Roman"/>
          <w:color w:val="000000" w:themeColor="text1"/>
          <w:sz w:val="28"/>
          <w:szCs w:val="28"/>
        </w:rPr>
        <w:t>поручением заместителя Председателя Правительства Российской Федерации – Руководителя Аппарата Правительства Российской Федерации С.Э. Приходько от 18 декабря 2015 г. № СП-П17-8549, п</w:t>
      </w:r>
      <w:r>
        <w:rPr>
          <w:rFonts w:ascii="Times New Roman" w:hAnsi="Times New Roman"/>
          <w:bCs/>
          <w:color w:val="000000" w:themeColor="text1"/>
          <w:sz w:val="28"/>
          <w:szCs w:val="28"/>
        </w:rPr>
        <w:t xml:space="preserve">оручением заместителя Председателя Правительства Российской Федерации Д.О. Рогозина от 16 ноября 2015 г. № РД-П9-7756, а также </w:t>
      </w:r>
      <w:r>
        <w:rPr>
          <w:rFonts w:ascii="Times New Roman" w:eastAsia="Times New Roman" w:hAnsi="Times New Roman"/>
          <w:color w:val="000000" w:themeColor="text1"/>
          <w:sz w:val="28"/>
          <w:szCs w:val="28"/>
          <w:lang w:eastAsia="ru-RU"/>
        </w:rPr>
        <w:t>функциональными требованиями к ГАС «Управление», представленными Минэкономразвития России, Федеральным казначейством в 2017 году запланировано развитие ГАС «Управление» по следующим направлениям:</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w:t>
      </w:r>
      <w:r>
        <w:rPr>
          <w:rFonts w:ascii="Times New Roman" w:eastAsia="Times New Roman" w:hAnsi="Times New Roman"/>
          <w:color w:val="000000" w:themeColor="text1"/>
          <w:sz w:val="28"/>
          <w:szCs w:val="28"/>
          <w:lang w:eastAsia="ru-RU"/>
        </w:rPr>
        <w:t>расширение/увеличение функционала ГАС «Управление», предусматривающего:</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разработку мониторинга оценки эффективности деятельности высших должностных лиц субъектов Российской Федерации по созданию благоприятных условий ведения предпринимательской деятельности;</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создание реестра полномочий (функций) ФОИВ, в том числе переданных для реализации иным органам;</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разработку инструментов сбора сведений о структуре, штатной численности и деятельности подведомственных учреждений ФОИВ;</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реализацию функциональности мониторинга объектов незавершенного строительства, в том числе не включенных в ФАИП, </w:t>
      </w:r>
      <w:r>
        <w:rPr>
          <w:rFonts w:ascii="Times New Roman" w:eastAsia="Times New Roman" w:hAnsi="Times New Roman"/>
          <w:color w:val="000000" w:themeColor="text1"/>
          <w:sz w:val="28"/>
          <w:szCs w:val="28"/>
          <w:lang w:eastAsia="ru-RU"/>
        </w:rPr>
        <w:br/>
        <w:t>а также соответствующих витрин данных;</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разработку процесса мониторинга и контроля реализации документов стратегического планирования;</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разработку функциональности мониторинга проектов государственно-частного партнерства;</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разработку мониторинга эффективности деятельности органов местного самоуправления городских округов и муниципальных районов;</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разработку информационной панели анализа данных, предоставляемых </w:t>
      </w:r>
      <w:r>
        <w:rPr>
          <w:rFonts w:ascii="Times New Roman" w:hAnsi="Times New Roman"/>
          <w:color w:val="000000" w:themeColor="text1"/>
          <w:sz w:val="28"/>
          <w:szCs w:val="28"/>
          <w:lang w:eastAsia="ru-RU"/>
        </w:rPr>
        <w:t>многофункциональными центрами предоставления государственных услуг</w:t>
      </w:r>
      <w:r>
        <w:rPr>
          <w:rFonts w:ascii="Times New Roman" w:eastAsia="Times New Roman" w:hAnsi="Times New Roman"/>
          <w:color w:val="000000" w:themeColor="text1"/>
          <w:sz w:val="28"/>
          <w:szCs w:val="28"/>
          <w:lang w:eastAsia="ru-RU"/>
        </w:rPr>
        <w:t>;</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разработку и внедрение механизма проведения общественного обсуждения и согласования проектов документов стратегического планирования;</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развитие функциональности мониторинга казначейского сопровождения отдельных государственных контрактов, разработка инструментов обеспечения информационной поддержки комбинированного сопровождения отдельных государственных контрактов (контрактов, договоров);</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доработку мониторинга по комплексной оценке степени внедрения </w:t>
      </w:r>
      <w:r>
        <w:rPr>
          <w:rFonts w:ascii="Times New Roman" w:eastAsia="Times New Roman" w:hAnsi="Times New Roman"/>
          <w:color w:val="000000" w:themeColor="text1"/>
          <w:sz w:val="28"/>
          <w:szCs w:val="28"/>
          <w:lang w:eastAsia="ru-RU"/>
        </w:rPr>
        <w:br/>
        <w:t>и эффективности использования спутниковых навигационных технологий на базе системы ГЛОНАСС субъектами Российской Федерации;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w:t>
      </w:r>
      <w:r>
        <w:rPr>
          <w:rFonts w:ascii="Times New Roman" w:eastAsia="Times New Roman" w:hAnsi="Times New Roman"/>
          <w:color w:val="000000" w:themeColor="text1"/>
          <w:sz w:val="28"/>
          <w:szCs w:val="28"/>
          <w:lang w:eastAsia="ru-RU"/>
        </w:rPr>
        <w:t>развитие инструментов сбора регламентированной отчетности:</w:t>
      </w:r>
    </w:p>
    <w:p>
      <w:pPr>
        <w:pStyle w:val="a5"/>
        <w:spacing w:after="0" w:line="360" w:lineRule="atLeast"/>
        <w:ind w:left="0"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color w:val="000000" w:themeColor="text1"/>
          <w:sz w:val="28"/>
          <w:szCs w:val="28"/>
          <w:lang w:eastAsia="ru-RU"/>
        </w:rPr>
        <w:t>доработка инструментов сбора отчетности и комплексного мониторинга в целях расширения сферы их применения;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обеспечение интеграции с информационными системами федеральных, региональных органов власти и органов местного самоуправления;</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совершенствование форм ввода данных;</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hAnsi="Times New Roman"/>
          <w:color w:val="000000" w:themeColor="text1"/>
          <w:sz w:val="28"/>
          <w:szCs w:val="28"/>
        </w:rPr>
        <w:t>– </w:t>
      </w:r>
      <w:r>
        <w:rPr>
          <w:rFonts w:ascii="Times New Roman" w:eastAsia="Times New Roman" w:hAnsi="Times New Roman"/>
          <w:color w:val="000000" w:themeColor="text1"/>
          <w:sz w:val="28"/>
          <w:szCs w:val="28"/>
          <w:lang w:eastAsia="ru-RU"/>
        </w:rPr>
        <w:t>улучшение качества данных в ГАС «Управление» за счет:</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реализации расширенного форматно-логического контроля предоставляемых в ГАС «Управление» данных; </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большего вовлечения ТОФК в обеспечение взаимодействия пользователей с ГАС «Управление» и предоставления им соответствующего инструментария для осуществления контроля;</w:t>
      </w:r>
    </w:p>
    <w:p>
      <w:pPr>
        <w:pStyle w:val="a5"/>
        <w:spacing w:after="0" w:line="360" w:lineRule="atLeast"/>
        <w:ind w:left="0"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реализации процедуры закрытия отчетных периодов;</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реализации нового дизайна портала ГАС «Управление», перегруппировки навигационных элементов, реализации автоматизированной новостной ленты, реализации профилей пользователей.</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 Иная деятельность Федерального казначейства</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5.1. Повышение информационной открытости деятельности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соответствии с протоколом заседания Правительственной комиссии по координации деятельности открытого правительства от 6 декабря 2016 г. № 8 Федеральным казначейством в качестве приоритетных направлений реализации принципов открытости в рамках Ведомственного плана Федерального казначейства по реализации Концепции открытости федеральных органов исполнительной власти на 2017 год запланированы:</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обеспечение работы с открытыми данными;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обеспечение понятности проектов общественно-значимых НПА </w:t>
      </w:r>
      <w:r>
        <w:rPr>
          <w:rFonts w:ascii="Times New Roman" w:hAnsi="Times New Roman"/>
          <w:color w:val="000000" w:themeColor="text1"/>
          <w:sz w:val="28"/>
          <w:szCs w:val="28"/>
        </w:rPr>
        <w:br/>
        <w:t>и внедрение особого порядка их публичного обсуждения;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принятие плана деятельности и ежегодной публичной декларации целей и задач, их общественное обсуждение и экспертное сопровождение;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организация работы с референтными группами;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взаимодействие федерального органа исполнительной власти </w:t>
      </w:r>
      <w:r>
        <w:rPr>
          <w:rFonts w:ascii="Times New Roman" w:hAnsi="Times New Roman"/>
          <w:color w:val="000000" w:themeColor="text1"/>
          <w:sz w:val="28"/>
          <w:szCs w:val="28"/>
        </w:rPr>
        <w:br/>
        <w:t>с общественным советом;</w:t>
      </w:r>
    </w:p>
    <w:p>
      <w:pPr>
        <w:tabs>
          <w:tab w:val="left" w:pos="8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организация независимой антикоррупционной экспертизы </w:t>
      </w:r>
      <w:r>
        <w:rPr>
          <w:rFonts w:ascii="Times New Roman" w:hAnsi="Times New Roman"/>
          <w:color w:val="000000" w:themeColor="text1"/>
          <w:sz w:val="28"/>
          <w:szCs w:val="28"/>
        </w:rPr>
        <w:br/>
        <w:t>и общественного мониторинга правоприменения.</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5.2. Формирование комплексной системы государственного менеджмента в Федеральном казначействе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5.2.1. Результаты контрольно-аудиторской деятельности </w:t>
      </w:r>
      <w:r>
        <w:rPr>
          <w:rFonts w:ascii="Times New Roman" w:hAnsi="Times New Roman"/>
          <w:b/>
          <w:color w:val="000000" w:themeColor="text1"/>
          <w:sz w:val="28"/>
          <w:szCs w:val="28"/>
        </w:rPr>
        <w:br/>
        <w:t>органов Федерального казначейства</w:t>
      </w:r>
    </w:p>
    <w:p>
      <w:pPr>
        <w:spacing w:before="120"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совершенствования системы внутреннего контроля </w:t>
      </w:r>
      <w:r>
        <w:rPr>
          <w:rFonts w:ascii="Times New Roman" w:eastAsia="Times New Roman" w:hAnsi="Times New Roman"/>
          <w:color w:val="000000" w:themeColor="text1"/>
          <w:sz w:val="28"/>
          <w:szCs w:val="28"/>
          <w:lang w:eastAsia="ru-RU"/>
        </w:rPr>
        <w:br/>
        <w:t xml:space="preserve">и внутреннего аудита с учетом риск-ориентированных подходов </w:t>
      </w:r>
      <w:r>
        <w:rPr>
          <w:rFonts w:ascii="Times New Roman" w:eastAsia="Times New Roman" w:hAnsi="Times New Roman"/>
          <w:color w:val="000000" w:themeColor="text1"/>
          <w:sz w:val="28"/>
          <w:szCs w:val="28"/>
          <w:lang w:eastAsia="ru-RU"/>
        </w:rPr>
        <w:br/>
        <w:t>планируется актуализация модели риск-ориентированного внутреннего контроля и внутреннего аудита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Федеральном казначействе традиционно повышенное внимание уделяется доступности и открытости информации о результатах проводимых контрольных мероприятий, в связи с чем, на постоянной основе актуализируется информация на Официальном сайте </w:t>
      </w:r>
      <w:hyperlink r:id="rId227" w:history="1">
        <w:r>
          <w:rPr>
            <w:rFonts w:ascii="Times New Roman" w:eastAsia="Times New Roman" w:hAnsi="Times New Roman"/>
            <w:color w:val="000000" w:themeColor="text1"/>
            <w:sz w:val="28"/>
            <w:szCs w:val="28"/>
            <w:lang w:eastAsia="ru-RU"/>
          </w:rPr>
          <w:t>www.roskazna.ru</w:t>
        </w:r>
      </w:hyperlink>
      <w:r>
        <w:rPr>
          <w:rFonts w:ascii="Times New Roman" w:eastAsia="Times New Roman" w:hAnsi="Times New Roman"/>
          <w:color w:val="000000" w:themeColor="text1"/>
          <w:sz w:val="28"/>
          <w:szCs w:val="28"/>
          <w:lang w:eastAsia="ru-RU"/>
        </w:rPr>
        <w:t>.</w:t>
      </w:r>
    </w:p>
    <w:p>
      <w:pPr>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8"/>
          <w:lang w:eastAsia="ru-RU"/>
        </w:rPr>
        <w:t xml:space="preserve">В целях </w:t>
      </w:r>
      <w:r>
        <w:rPr>
          <w:rFonts w:ascii="Times New Roman" w:hAnsi="Times New Roman"/>
          <w:color w:val="000000" w:themeColor="text1"/>
          <w:sz w:val="28"/>
          <w:szCs w:val="28"/>
          <w:lang w:eastAsia="ru-RU"/>
        </w:rPr>
        <w:t>кадрового обеспечения контрольных и аудиторских мероприятий, назначаемых ЦАФК,</w:t>
      </w:r>
      <w:r>
        <w:rPr>
          <w:rFonts w:ascii="Times New Roman" w:eastAsia="Times New Roman" w:hAnsi="Times New Roman"/>
          <w:color w:val="000000" w:themeColor="text1"/>
          <w:sz w:val="28"/>
          <w:szCs w:val="28"/>
          <w:lang w:eastAsia="ru-RU"/>
        </w:rPr>
        <w:t xml:space="preserve"> планируется актуализация пула контролеров и аудиторов, а</w:t>
      </w:r>
      <w:r>
        <w:rPr>
          <w:rFonts w:ascii="Times New Roman" w:eastAsia="Times New Roman" w:hAnsi="Times New Roman"/>
          <w:color w:val="000000" w:themeColor="text1"/>
          <w:sz w:val="28"/>
          <w:szCs w:val="24"/>
          <w:lang w:eastAsia="ru-RU"/>
        </w:rPr>
        <w:t xml:space="preserve"> так же доведение численности пула контролеров и аудиторов до 450 сотрудников ТОФК, </w:t>
      </w:r>
      <w:r>
        <w:rPr>
          <w:rFonts w:ascii="Times New Roman" w:eastAsia="Times New Roman" w:hAnsi="Times New Roman"/>
          <w:color w:val="000000" w:themeColor="text1"/>
          <w:sz w:val="28"/>
          <w:szCs w:val="28"/>
          <w:lang w:eastAsia="ru-RU"/>
        </w:rPr>
        <w:t>ФКУ «ЦОКР»</w:t>
      </w:r>
      <w:r>
        <w:rPr>
          <w:rFonts w:ascii="Times New Roman" w:eastAsia="Times New Roman" w:hAnsi="Times New Roman"/>
          <w:color w:val="000000" w:themeColor="text1"/>
          <w:sz w:val="28"/>
          <w:szCs w:val="24"/>
          <w:lang w:eastAsia="ru-RU"/>
        </w:rPr>
        <w:t xml:space="preserve"> </w:t>
      </w:r>
      <w:r>
        <w:rPr>
          <w:rFonts w:ascii="Times New Roman" w:eastAsia="Times New Roman" w:hAnsi="Times New Roman"/>
          <w:color w:val="000000" w:themeColor="text1"/>
          <w:sz w:val="28"/>
          <w:szCs w:val="24"/>
          <w:lang w:eastAsia="ru-RU"/>
        </w:rPr>
        <w:br/>
        <w:t>и ЦАФК.</w:t>
      </w:r>
    </w:p>
    <w:p>
      <w:pPr>
        <w:spacing w:after="0" w:line="360" w:lineRule="atLeast"/>
        <w:ind w:firstLine="709"/>
        <w:jc w:val="both"/>
        <w:rPr>
          <w:rFonts w:ascii="Times New Roman" w:eastAsia="Times New Roman" w:hAnsi="Times New Roman"/>
          <w:color w:val="000000" w:themeColor="text1"/>
          <w:sz w:val="28"/>
          <w:szCs w:val="24"/>
          <w:lang w:eastAsia="ru-RU"/>
        </w:rPr>
      </w:pPr>
      <w:r>
        <w:rPr>
          <w:rFonts w:ascii="Times New Roman" w:eastAsia="Times New Roman" w:hAnsi="Times New Roman"/>
          <w:color w:val="000000" w:themeColor="text1"/>
          <w:sz w:val="28"/>
          <w:szCs w:val="24"/>
          <w:lang w:eastAsia="ru-RU"/>
        </w:rPr>
        <w:t>В указанный период планируется организация</w:t>
      </w:r>
      <w:r>
        <w:rPr>
          <w:rFonts w:ascii="Times New Roman" w:eastAsia="Times New Roman" w:hAnsi="Times New Roman"/>
          <w:color w:val="000000" w:themeColor="text1"/>
          <w:sz w:val="28"/>
          <w:szCs w:val="28"/>
          <w:lang w:eastAsia="ru-RU"/>
        </w:rPr>
        <w:t xml:space="preserve"> обеспечения проведения не менее 70 % контрольных и аудиторских мероприятий деятельности </w:t>
      </w:r>
      <w:r>
        <w:rPr>
          <w:rFonts w:ascii="Times New Roman" w:eastAsia="Times New Roman" w:hAnsi="Times New Roman"/>
          <w:color w:val="000000" w:themeColor="text1"/>
          <w:sz w:val="28"/>
          <w:szCs w:val="24"/>
          <w:lang w:eastAsia="ru-RU"/>
        </w:rPr>
        <w:t xml:space="preserve">ТОФК и </w:t>
      </w:r>
      <w:r>
        <w:rPr>
          <w:rFonts w:ascii="Times New Roman" w:eastAsia="Times New Roman" w:hAnsi="Times New Roman"/>
          <w:color w:val="000000" w:themeColor="text1"/>
          <w:sz w:val="28"/>
          <w:szCs w:val="28"/>
          <w:lang w:eastAsia="ru-RU"/>
        </w:rPr>
        <w:t>ФКУ «ЦОКР» сотрудниками из состава пула контролеров и аудиторов.</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целях минимизации нарушений (недостатков) в деятельности </w:t>
      </w:r>
      <w:r>
        <w:rPr>
          <w:rFonts w:ascii="Times New Roman" w:eastAsia="Times New Roman" w:hAnsi="Times New Roman"/>
          <w:color w:val="000000" w:themeColor="text1"/>
          <w:sz w:val="28"/>
          <w:szCs w:val="24"/>
          <w:lang w:eastAsia="ru-RU"/>
        </w:rPr>
        <w:t xml:space="preserve">ТОФК и </w:t>
      </w:r>
      <w:r>
        <w:rPr>
          <w:rFonts w:ascii="Times New Roman" w:eastAsia="Times New Roman" w:hAnsi="Times New Roman"/>
          <w:color w:val="000000" w:themeColor="text1"/>
          <w:sz w:val="28"/>
          <w:szCs w:val="28"/>
          <w:lang w:eastAsia="ru-RU"/>
        </w:rPr>
        <w:t xml:space="preserve">ФКУ «ЦОКР» планируется осуществление подготовки и направления </w:t>
      </w:r>
      <w:r>
        <w:rPr>
          <w:rFonts w:ascii="Times New Roman" w:eastAsia="Times New Roman" w:hAnsi="Times New Roman"/>
          <w:color w:val="000000" w:themeColor="text1"/>
          <w:sz w:val="28"/>
          <w:szCs w:val="28"/>
          <w:lang w:eastAsia="ru-RU"/>
        </w:rPr>
        <w:br/>
        <w:t>в ТОФК</w:t>
      </w:r>
      <w:r>
        <w:rPr>
          <w:rFonts w:ascii="Times New Roman" w:eastAsia="Times New Roman" w:hAnsi="Times New Roman"/>
          <w:color w:val="000000" w:themeColor="text1"/>
          <w:sz w:val="28"/>
          <w:szCs w:val="24"/>
          <w:lang w:eastAsia="ru-RU"/>
        </w:rPr>
        <w:t xml:space="preserve"> и </w:t>
      </w:r>
      <w:r>
        <w:rPr>
          <w:rFonts w:ascii="Times New Roman" w:eastAsia="Times New Roman" w:hAnsi="Times New Roman"/>
          <w:color w:val="000000" w:themeColor="text1"/>
          <w:sz w:val="28"/>
          <w:szCs w:val="28"/>
          <w:lang w:eastAsia="ru-RU"/>
        </w:rPr>
        <w:t>ФКУ «ЦОКР» перечней основных нарушений, выявленных УВК(А)</w:t>
      </w:r>
      <w:proofErr w:type="spellStart"/>
      <w:r>
        <w:rPr>
          <w:rFonts w:ascii="Times New Roman" w:eastAsia="Times New Roman" w:hAnsi="Times New Roman"/>
          <w:color w:val="000000" w:themeColor="text1"/>
          <w:sz w:val="28"/>
          <w:szCs w:val="28"/>
          <w:lang w:eastAsia="ru-RU"/>
        </w:rPr>
        <w:t>иОЭД</w:t>
      </w:r>
      <w:proofErr w:type="spellEnd"/>
      <w:r>
        <w:rPr>
          <w:rFonts w:ascii="Times New Roman" w:eastAsia="Times New Roman" w:hAnsi="Times New Roman"/>
          <w:color w:val="000000" w:themeColor="text1"/>
          <w:sz w:val="28"/>
          <w:szCs w:val="28"/>
          <w:lang w:eastAsia="ru-RU"/>
        </w:rPr>
        <w:t xml:space="preserve"> в ходе проверок деятельности ТОФК</w:t>
      </w:r>
      <w:r>
        <w:rPr>
          <w:rFonts w:ascii="Times New Roman" w:eastAsia="Times New Roman" w:hAnsi="Times New Roman"/>
          <w:color w:val="000000" w:themeColor="text1"/>
          <w:sz w:val="28"/>
          <w:szCs w:val="24"/>
          <w:lang w:eastAsia="ru-RU"/>
        </w:rPr>
        <w:t xml:space="preserve"> и </w:t>
      </w:r>
      <w:r>
        <w:rPr>
          <w:rFonts w:ascii="Times New Roman" w:eastAsia="Times New Roman" w:hAnsi="Times New Roman"/>
          <w:color w:val="000000" w:themeColor="text1"/>
          <w:sz w:val="28"/>
          <w:szCs w:val="28"/>
          <w:lang w:eastAsia="ru-RU"/>
        </w:rPr>
        <w:t xml:space="preserve">ФКУ «ЦОКР» </w:t>
      </w:r>
      <w:r>
        <w:rPr>
          <w:rFonts w:ascii="Times New Roman" w:eastAsia="Times New Roman" w:hAnsi="Times New Roman"/>
          <w:color w:val="000000" w:themeColor="text1"/>
          <w:sz w:val="28"/>
          <w:szCs w:val="28"/>
          <w:lang w:eastAsia="ru-RU"/>
        </w:rPr>
        <w:br/>
        <w:t>по исполнению государственных функций и полномочий.</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Планируется проведение 100 % плановых контрольных и аудиторских мероприятий Федерального казначейства в формате комбинированных </w:t>
      </w:r>
      <w:r>
        <w:rPr>
          <w:rFonts w:ascii="Times New Roman" w:eastAsia="Times New Roman" w:hAnsi="Times New Roman"/>
          <w:color w:val="000000" w:themeColor="text1"/>
          <w:sz w:val="28"/>
          <w:szCs w:val="28"/>
          <w:lang w:eastAsia="ru-RU"/>
        </w:rPr>
        <w:br/>
        <w:t>и камеральных проверок.</w:t>
      </w:r>
    </w:p>
    <w:p>
      <w:pPr>
        <w:spacing w:before="120" w:after="120" w:line="240" w:lineRule="auto"/>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lastRenderedPageBreak/>
        <w:t>5.2.2. Организация информационного взаимодействия с органами государственного и муниципального финансового контроля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целях расширения взаимодействия органов внешнего муниципального финансового контроля и органов местного самоуправления Федерального казначейства в 2017 году будет продолжена работа</w:t>
      </w:r>
      <w:r>
        <w:rPr>
          <w:rFonts w:ascii="Times New Roman" w:hAnsi="Times New Roman"/>
          <w:color w:val="000000" w:themeColor="text1"/>
          <w:sz w:val="28"/>
          <w:szCs w:val="28"/>
        </w:rPr>
        <w:br/>
        <w:t>по проведению мониторинга хода заключения ТОФК соглашений</w:t>
      </w:r>
      <w:r>
        <w:rPr>
          <w:rFonts w:ascii="Times New Roman" w:hAnsi="Times New Roman"/>
          <w:color w:val="000000" w:themeColor="text1"/>
          <w:sz w:val="28"/>
          <w:szCs w:val="28"/>
        </w:rPr>
        <w:br/>
        <w:t>об информационном взаимодействии с контрольно-счетными органами муниципальных образований.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Расширение информационного взаимодействия с органами государственного и муниципального финансового контроля позволяет решить следующие задачи: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осуществлять информационный обмен в структурированных форматах, с использованием информационных систем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обеспечивать оперативное представление заинтересованным органам актуальной информации об общественных финансах;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создавать условия для оперативного принятия органами государственного и муниципального контроля мер процессуального характера, направленных на установление фактов нарушений в сфере бюджетных правоотношений и привлечения к ответственности лиц, допустивших такие нарушения;</w:t>
      </w:r>
    </w:p>
    <w:p>
      <w:pPr>
        <w:spacing w:after="0" w:line="360" w:lineRule="atLeast"/>
        <w:ind w:firstLine="709"/>
        <w:jc w:val="both"/>
        <w:rPr>
          <w:rFonts w:ascii="Times New Roman" w:hAnsi="Times New Roman"/>
          <w:color w:val="000000" w:themeColor="text1"/>
        </w:rPr>
      </w:pPr>
      <w:r>
        <w:rPr>
          <w:rFonts w:ascii="Times New Roman" w:hAnsi="Times New Roman"/>
          <w:color w:val="000000" w:themeColor="text1"/>
          <w:sz w:val="28"/>
          <w:szCs w:val="28"/>
        </w:rPr>
        <w:t xml:space="preserve">обеспечивать своевременное получение достоверной информации </w:t>
      </w:r>
      <w:r>
        <w:rPr>
          <w:rFonts w:ascii="Times New Roman" w:hAnsi="Times New Roman"/>
          <w:color w:val="000000" w:themeColor="text1"/>
          <w:sz w:val="28"/>
          <w:szCs w:val="28"/>
        </w:rPr>
        <w:br/>
        <w:t>о результатах контрольных и экспертно-аналитических мероприятий, проводимых органами государственного контроля в органах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2017 году запланировано заключение соглашения </w:t>
      </w:r>
      <w:r>
        <w:rPr>
          <w:rFonts w:ascii="Times New Roman" w:hAnsi="Times New Roman"/>
          <w:color w:val="000000" w:themeColor="text1"/>
          <w:sz w:val="28"/>
          <w:szCs w:val="28"/>
        </w:rPr>
        <w:br/>
        <w:t>о сотрудничестве между Федеральным казначейством и Счетной палатой Российской Федерации в соответствии с Федеральным законом от 5 апреля 2013 г. № 41-ФЗ «О Счетной палате Российской Федерации».</w:t>
      </w:r>
    </w:p>
    <w:p>
      <w:pPr>
        <w:spacing w:before="120" w:after="120" w:line="240" w:lineRule="auto"/>
        <w:ind w:firstLine="709"/>
        <w:jc w:val="both"/>
        <w:rPr>
          <w:rFonts w:ascii="Times New Roman" w:hAnsi="Times New Roman"/>
          <w:color w:val="000000" w:themeColor="text1"/>
          <w:sz w:val="28"/>
          <w:szCs w:val="28"/>
        </w:rPr>
      </w:pPr>
      <w:r>
        <w:rPr>
          <w:rFonts w:ascii="Times New Roman" w:hAnsi="Times New Roman"/>
          <w:b/>
          <w:color w:val="000000" w:themeColor="text1"/>
          <w:sz w:val="28"/>
          <w:szCs w:val="28"/>
        </w:rPr>
        <w:t xml:space="preserve">5.2.3. Совершенствование ведомственных правовых актов </w:t>
      </w:r>
      <w:r>
        <w:rPr>
          <w:rFonts w:ascii="Times New Roman" w:hAnsi="Times New Roman"/>
          <w:b/>
          <w:color w:val="000000" w:themeColor="text1"/>
          <w:sz w:val="28"/>
          <w:szCs w:val="28"/>
        </w:rPr>
        <w:br/>
        <w:t>в области внутреннего контроля и внутреннего аудита, управления внутренними (операционными) казначейскими рисками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решения задачи развития механизмов внутреннего контроля и внутреннего аудита Федерального казначейства и системы управления внутренними (операционными) казначейскими рисками в 2017 году будет продолжено совершенствование ведомственной правовой базы по вопросам осуществления внутреннего контроля, внутреннего аудита и управления внутренними (операционными) казначейскими рисками.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частности, запланировано: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утверждение Стандартов внутреннего контроля и внутреннего аудита Федерального казначейства, применяемых контрольно-аудиторскими подразделениями Федерального казначейства при осуществлении ими контрольной и аудиторской деятельности, в новой редакции с учетом практики их применения в 2016 году, а также в связи с дополнением указанного документа положениями, регламентирующими вопросы проведения в Федеральном казначействе экспертно-аналитических мероприятий;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актуализация перечней вопросов типовой проверки деятельности ТОФК, а также классификаторов внутренних (операционных) рисков, возникающих в системе Федерального казначейства, с учетом произошедших изменений документов, регламентирующих осуществление функций и выполнение полномочий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актуализация перечня показателей осуществления последующего оперативного внутреннего автоматизированного контроля в ТОФК;</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утверждение порядка управления внутренними (операционными) казначейскими рисками в Федеральном казначействе.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течение 2017 года будет обеспечено проведение анализа практики применения правовых актов по внутреннему контролю и внутреннему аудиту в Федеральном казначействе и его территориальных органах, </w:t>
      </w:r>
      <w:r>
        <w:rPr>
          <w:rFonts w:ascii="Times New Roman" w:hAnsi="Times New Roman"/>
          <w:color w:val="000000" w:themeColor="text1"/>
          <w:sz w:val="28"/>
          <w:szCs w:val="28"/>
        </w:rPr>
        <w:br/>
        <w:t xml:space="preserve">ФКУ «ЦОКР», по результатам которого при необходимости будут также подготовлены предложения по их дальнейшему совершенствованию. </w:t>
      </w:r>
      <w:r>
        <w:rPr>
          <w:rFonts w:ascii="Times New Roman" w:hAnsi="Times New Roman"/>
          <w:color w:val="000000" w:themeColor="text1"/>
          <w:sz w:val="28"/>
          <w:szCs w:val="28"/>
        </w:rPr>
        <w:br/>
        <w:t xml:space="preserve">При этом в целях эффективной реализации в Федеральном казначействе, ТОФК, ФКУ «ЦОКР» подходов к осуществлению внутреннего контроля </w:t>
      </w:r>
      <w:r>
        <w:rPr>
          <w:rFonts w:ascii="Times New Roman" w:hAnsi="Times New Roman"/>
          <w:color w:val="000000" w:themeColor="text1"/>
          <w:sz w:val="28"/>
          <w:szCs w:val="28"/>
        </w:rPr>
        <w:br/>
        <w:t>и внутреннего аудита и соответствия их деятельности требованиям правовых актов Федерального казначейства в данной сфере будет обеспечена доработка соответствующего ППО.</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Кроме того, в связи с передачей с 1 января 2017 года ФКУ «ЦОКР» функций Федерального казначейства по осуществлению планирования, начисления и перечисления оплаты труда и других выплат сотрудникам Федерального казначейства и его территориальных органов, расчетов </w:t>
      </w:r>
      <w:r>
        <w:rPr>
          <w:rFonts w:ascii="Times New Roman" w:hAnsi="Times New Roman"/>
          <w:color w:val="000000" w:themeColor="text1"/>
          <w:sz w:val="28"/>
          <w:szCs w:val="28"/>
        </w:rPr>
        <w:br/>
        <w:t xml:space="preserve">с подотчетными лицами в плановом периоде планируется актуализация Перечня структурных подразделений центрального аппарата Федерального казначейства, выполняющих внутренние процедуры составления </w:t>
      </w:r>
      <w:r>
        <w:rPr>
          <w:rFonts w:ascii="Times New Roman" w:hAnsi="Times New Roman"/>
          <w:color w:val="000000" w:themeColor="text1"/>
          <w:sz w:val="28"/>
          <w:szCs w:val="28"/>
        </w:rPr>
        <w:br/>
        <w:t xml:space="preserve">и исполнения федерального бюджета, ведения бюджетного учета </w:t>
      </w:r>
      <w:r>
        <w:rPr>
          <w:rFonts w:ascii="Times New Roman" w:hAnsi="Times New Roman"/>
          <w:color w:val="000000" w:themeColor="text1"/>
          <w:sz w:val="28"/>
          <w:szCs w:val="28"/>
        </w:rPr>
        <w:br/>
        <w:t xml:space="preserve">и составления бюджетной отчетности по главе 100 «Федеральное казначейство», утвержденного приказом Федерального казначейства </w:t>
      </w:r>
      <w:r>
        <w:rPr>
          <w:rFonts w:ascii="Times New Roman" w:hAnsi="Times New Roman"/>
          <w:color w:val="000000" w:themeColor="text1"/>
          <w:sz w:val="28"/>
          <w:szCs w:val="28"/>
        </w:rPr>
        <w:br/>
        <w:t>от 28 мая 2015 г. № 111.</w:t>
      </w:r>
    </w:p>
    <w:p>
      <w:pPr>
        <w:autoSpaceDE w:val="0"/>
        <w:autoSpaceDN w:val="0"/>
        <w:adjustRightInd w:val="0"/>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Одновременно в целях организации предварительного контроля </w:t>
      </w:r>
      <w:r>
        <w:rPr>
          <w:rFonts w:ascii="Times New Roman" w:hAnsi="Times New Roman"/>
          <w:color w:val="000000" w:themeColor="text1"/>
          <w:sz w:val="28"/>
          <w:szCs w:val="28"/>
        </w:rPr>
        <w:br/>
        <w:t xml:space="preserve">в сфере закупок товаров, работ, услуг для обеспечения нужд Федерального </w:t>
      </w:r>
      <w:r>
        <w:rPr>
          <w:rFonts w:ascii="Times New Roman" w:hAnsi="Times New Roman"/>
          <w:color w:val="000000" w:themeColor="text1"/>
          <w:sz w:val="28"/>
          <w:szCs w:val="28"/>
        </w:rPr>
        <w:lastRenderedPageBreak/>
        <w:t xml:space="preserve">казначейства в сфере информационных технологий в 2017 году запланировано утверждение методики </w:t>
      </w:r>
      <w:r>
        <w:rPr>
          <w:rFonts w:ascii="Times New Roman" w:eastAsia="SimSun" w:hAnsi="Times New Roman"/>
          <w:color w:val="000000" w:themeColor="text1"/>
          <w:sz w:val="28"/>
          <w:szCs w:val="28"/>
        </w:rPr>
        <w:t>проведения мониторинга закупок ППО для нужд Федерального казначейства</w:t>
      </w:r>
      <w:r>
        <w:rPr>
          <w:rFonts w:ascii="Times New Roman" w:hAnsi="Times New Roman"/>
          <w:color w:val="000000" w:themeColor="text1"/>
          <w:sz w:val="28"/>
          <w:szCs w:val="28"/>
        </w:rPr>
        <w:t>.</w:t>
      </w:r>
    </w:p>
    <w:p>
      <w:pPr>
        <w:autoSpaceDE w:val="0"/>
        <w:autoSpaceDN w:val="0"/>
        <w:adjustRightInd w:val="0"/>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5.2.4.</w:t>
      </w:r>
      <w:r>
        <w:rPr>
          <w:rFonts w:ascii="Times New Roman" w:hAnsi="Times New Roman"/>
          <w:color w:val="000000" w:themeColor="text1"/>
        </w:rPr>
        <w:t> </w:t>
      </w:r>
      <w:r>
        <w:rPr>
          <w:rFonts w:ascii="Times New Roman" w:hAnsi="Times New Roman"/>
          <w:b/>
          <w:color w:val="000000" w:themeColor="text1"/>
          <w:sz w:val="28"/>
          <w:szCs w:val="28"/>
        </w:rPr>
        <w:t>Совершенствование и внедрение программно-целевой деятельности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В рамках обеспечения реализации государственных программ Российской Федерации, участником которых является Федеральное казначейство, в 2017 году планируется обеспечить внедрение риск-ориентированного подхода к управлению реализацией государственных программ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планируется обеспечить полномасштабное внедрение подсистемы «ППМД ФК» СУЭ 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На периодической основе в пределах компетенции Федерального казначейства осуществляется подготовка предложений по доработке государственных программ Российской Федерации, участником которых является Федеральное казначейство, по разработке планов реализации </w:t>
      </w:r>
      <w:r>
        <w:rPr>
          <w:rFonts w:ascii="Times New Roman" w:hAnsi="Times New Roman"/>
          <w:color w:val="000000" w:themeColor="text1"/>
          <w:sz w:val="28"/>
          <w:szCs w:val="28"/>
        </w:rPr>
        <w:br/>
        <w:t>и детальных планов-графиков реализации государственных программ Российской Федерации, участником которых является Федеральное казначейство, а также внесению в них изменений.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Помимо этого на периодической основе обеспечивается подготовка отчетности по исполнению государственных программ Российской Федерации, участником которых является Федеральное казначейство,</w:t>
      </w:r>
      <w:r>
        <w:rPr>
          <w:rFonts w:ascii="Times New Roman" w:hAnsi="Times New Roman"/>
          <w:color w:val="000000" w:themeColor="text1"/>
          <w:sz w:val="28"/>
          <w:szCs w:val="28"/>
        </w:rPr>
        <w:br/>
        <w:t>а также ответов на запросы ответственных исполнителей по указанным государственным программам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Кроме того, на 2017 год запланированы следующие мероприятия: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Итогового доклада о результатах деятельности Федерального казначейства за 2016 год и основных направлениях деятельности на среднесрочную перспективу;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согласование и издание Буклета «О результатах работы Федерального казначейства в 2016 году и основных направлениях деятельности на среднесрочную перспективу»;</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согласование и утверждение Отчета о результатах выполнения Плана деятельности Федерального казначейства на 2016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и согласование Плана деятельности Федерального казначейства на 2018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и представление в Минфин России отчетов</w:t>
      </w:r>
      <w:r>
        <w:rPr>
          <w:rFonts w:ascii="Times New Roman" w:hAnsi="Times New Roman"/>
          <w:color w:val="000000" w:themeColor="text1"/>
          <w:sz w:val="28"/>
          <w:szCs w:val="28"/>
        </w:rPr>
        <w:br/>
        <w:t>о деятельности Казначейства России за 2016 год, I квартал, I полугодие</w:t>
      </w:r>
      <w:r>
        <w:rPr>
          <w:rFonts w:ascii="Times New Roman" w:hAnsi="Times New Roman"/>
          <w:color w:val="000000" w:themeColor="text1"/>
          <w:sz w:val="28"/>
          <w:szCs w:val="28"/>
        </w:rPr>
        <w:br/>
        <w:t>и 9 месяцев 2017 года, а также отчетов о результатах выполнения Плана деятельности Федерального казначейства на 2017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подготовка, согласование и утверждение Типового плана </w:t>
      </w:r>
      <w:r>
        <w:rPr>
          <w:rFonts w:ascii="Times New Roman" w:hAnsi="Times New Roman"/>
          <w:color w:val="000000" w:themeColor="text1"/>
          <w:sz w:val="28"/>
          <w:szCs w:val="28"/>
        </w:rPr>
        <w:br/>
        <w:t>по исполнению территориальным органом Федерального казначейства, подведомственным Федеральному казначейству учреждением Плана деятельности Федерального казначейства на 2017 год и Основных мероприятий на 2017 год по реализации Стратегической карты Казначейства России;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согласование и утверждение Реестра документов планирования деятельности Федерального казначейства на 2018 год;</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подготовка материалов в рамках компетенции Федерального казначейства для включения в проект отчета о результатах деятельности Правительства Российской Федерации за 2016 год.</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5.2.5. Система оценки эффективности деятельности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реализации Основного мероприятия № 12.3. «Применение </w:t>
      </w:r>
      <w:r>
        <w:rPr>
          <w:rFonts w:ascii="Times New Roman" w:hAnsi="Times New Roman"/>
          <w:color w:val="000000" w:themeColor="text1"/>
          <w:sz w:val="28"/>
          <w:szCs w:val="28"/>
        </w:rPr>
        <w:br/>
        <w:t xml:space="preserve">и развитие системы оценки эффективности деятельности органов Федерального казначейства» Стратегической карты Казначейства России </w:t>
      </w:r>
      <w:r>
        <w:rPr>
          <w:rFonts w:ascii="Times New Roman" w:hAnsi="Times New Roman"/>
          <w:color w:val="000000" w:themeColor="text1"/>
          <w:sz w:val="28"/>
          <w:szCs w:val="28"/>
        </w:rPr>
        <w:br/>
        <w:t>и в рамках текущей деятельности в 2017 году будут осуществляться следующие мероприятия.</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 Подготовка аналитических материалов по результатам: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оценки результативности деятельности сотрудников ЦАФК;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оценки результативности деятельности отделов ЦАФК;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оценки результативности деятельности ТОФК;</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внешней оценки деятельности Федерального казначейства;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оценки результативности профессиональной служебной деятельности руководителей ТОФК и директора ФКУ «ЦОКР».</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2. Обеспечение осуществления автоматизированной оценки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ЦАФК, его территориальных органах.</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Обеспечение организации проведения и обработки результатов оценки качества сервисов и информационных каналов, созданных </w:t>
      </w:r>
      <w:r>
        <w:rPr>
          <w:rFonts w:ascii="Times New Roman" w:hAnsi="Times New Roman"/>
          <w:color w:val="000000" w:themeColor="text1"/>
          <w:sz w:val="28"/>
          <w:szCs w:val="28"/>
        </w:rPr>
        <w:br/>
        <w:t xml:space="preserve">для обратной связи (взаимодействия) с разными референтными группами, </w:t>
      </w:r>
      <w:r>
        <w:rPr>
          <w:rFonts w:ascii="Times New Roman" w:hAnsi="Times New Roman"/>
          <w:color w:val="000000" w:themeColor="text1"/>
          <w:sz w:val="28"/>
          <w:szCs w:val="28"/>
        </w:rPr>
        <w:br/>
        <w:t xml:space="preserve">а также членами экспертных и консультативных органов Федерального казначейства.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Разработка и поддержание в актуальном состоянии нормативной </w:t>
      </w:r>
      <w:r>
        <w:rPr>
          <w:rFonts w:ascii="Times New Roman" w:hAnsi="Times New Roman"/>
          <w:color w:val="000000" w:themeColor="text1"/>
          <w:sz w:val="28"/>
          <w:szCs w:val="28"/>
        </w:rPr>
        <w:br/>
        <w:t xml:space="preserve">и методической базы, регламентирующей вопросы оценки эффективности </w:t>
      </w:r>
      <w:r>
        <w:rPr>
          <w:rFonts w:ascii="Times New Roman" w:hAnsi="Times New Roman"/>
          <w:color w:val="000000" w:themeColor="text1"/>
          <w:sz w:val="28"/>
          <w:szCs w:val="28"/>
        </w:rPr>
        <w:br/>
        <w:t xml:space="preserve">и результативности деятельности Федерального казначейства, в том числе доработка и утверждение единого порядка оценки результативности деятельности органов Федерального казначейства, их структурных </w:t>
      </w:r>
      <w:r>
        <w:rPr>
          <w:rFonts w:ascii="Times New Roman" w:hAnsi="Times New Roman"/>
          <w:color w:val="000000" w:themeColor="text1"/>
          <w:sz w:val="28"/>
          <w:szCs w:val="28"/>
        </w:rPr>
        <w:lastRenderedPageBreak/>
        <w:t xml:space="preserve">подразделений и государственных гражданских служащих, а также дальнейшая разработка и применение порядков, регламентирующих вопросы оценки эффективности деятельности Федерального казначейства </w:t>
      </w:r>
      <w:r>
        <w:rPr>
          <w:rFonts w:ascii="Times New Roman" w:hAnsi="Times New Roman"/>
          <w:color w:val="000000" w:themeColor="text1"/>
          <w:sz w:val="28"/>
          <w:szCs w:val="28"/>
        </w:rPr>
        <w:br/>
        <w:t xml:space="preserve">со стороны вышестоящих федеральных органов исполнительной власти </w:t>
      </w:r>
      <w:r>
        <w:rPr>
          <w:rFonts w:ascii="Times New Roman" w:hAnsi="Times New Roman"/>
          <w:color w:val="000000" w:themeColor="text1"/>
          <w:sz w:val="28"/>
          <w:szCs w:val="28"/>
        </w:rPr>
        <w:br/>
        <w:t>и со стороны руководства Федерального казначейства.</w:t>
      </w:r>
    </w:p>
    <w:p>
      <w:pPr>
        <w:tabs>
          <w:tab w:val="left" w:pos="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 Обеспечение функционирования и развитие информационных систем и технологий Федерального казначейства</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5.3.1. </w:t>
      </w:r>
      <w:r>
        <w:rPr>
          <w:rFonts w:ascii="Times New Roman" w:hAnsi="Times New Roman"/>
          <w:b/>
          <w:color w:val="000000" w:themeColor="text1"/>
          <w:sz w:val="28"/>
          <w:szCs w:val="28"/>
        </w:rPr>
        <w:t>Развитие государственной автоматизированной информационной системы «Управление»</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Основными задачами на 2017 год являются реализация процесса внесения изменений в зарегистрированные документы стратегического планирования, процессов разработки, общественного обсуждения</w:t>
      </w:r>
      <w:r>
        <w:rPr>
          <w:rFonts w:ascii="Times New Roman" w:eastAsiaTheme="minorHAnsi" w:hAnsi="Times New Roman"/>
          <w:color w:val="000000" w:themeColor="text1"/>
          <w:sz w:val="28"/>
          <w:szCs w:val="28"/>
        </w:rPr>
        <w:br/>
        <w:t xml:space="preserve">и согласования проектов документов стратегического планирования, </w:t>
      </w:r>
      <w:r>
        <w:rPr>
          <w:rFonts w:ascii="Times New Roman" w:eastAsiaTheme="minorHAnsi" w:hAnsi="Times New Roman"/>
          <w:color w:val="000000" w:themeColor="text1"/>
          <w:sz w:val="28"/>
          <w:szCs w:val="28"/>
        </w:rPr>
        <w:br/>
        <w:t>а также процесса мониторинга и контроля реализации документов стратегического планирования.</w:t>
      </w:r>
    </w:p>
    <w:p>
      <w:pPr>
        <w:spacing w:before="120" w:after="120" w:line="240" w:lineRule="auto"/>
        <w:ind w:firstLine="709"/>
        <w:jc w:val="both"/>
        <w:rPr>
          <w:rFonts w:ascii="Times New Roman" w:hAnsi="Times New Roman"/>
          <w:b/>
          <w:color w:val="000000" w:themeColor="text1"/>
          <w:sz w:val="28"/>
          <w:szCs w:val="28"/>
          <w:u w:val="single"/>
        </w:rPr>
      </w:pPr>
      <w:r>
        <w:rPr>
          <w:rFonts w:ascii="Times New Roman" w:eastAsia="Times New Roman" w:hAnsi="Times New Roman"/>
          <w:b/>
          <w:color w:val="000000" w:themeColor="text1"/>
          <w:sz w:val="28"/>
          <w:szCs w:val="28"/>
          <w:lang w:eastAsia="ru-RU"/>
        </w:rPr>
        <w:t xml:space="preserve">5.3.2. Развитие </w:t>
      </w:r>
      <w:r>
        <w:rPr>
          <w:rFonts w:ascii="Times New Roman" w:hAnsi="Times New Roman"/>
          <w:b/>
          <w:color w:val="000000" w:themeColor="text1"/>
          <w:sz w:val="28"/>
          <w:szCs w:val="28"/>
          <w:lang w:eastAsia="ar-SA"/>
        </w:rPr>
        <w:t xml:space="preserve">официального сайта Российской Федерации </w:t>
      </w:r>
      <w:r>
        <w:rPr>
          <w:rFonts w:ascii="Times New Roman" w:hAnsi="Times New Roman"/>
          <w:b/>
          <w:color w:val="000000" w:themeColor="text1"/>
          <w:sz w:val="28"/>
          <w:szCs w:val="28"/>
          <w:lang w:eastAsia="ar-SA"/>
        </w:rPr>
        <w:br/>
        <w:t xml:space="preserve">в информационно-телекоммуникационной сети «Интернет» </w:t>
      </w:r>
      <w:r>
        <w:rPr>
          <w:rFonts w:ascii="Times New Roman" w:hAnsi="Times New Roman"/>
          <w:b/>
          <w:color w:val="000000" w:themeColor="text1"/>
          <w:sz w:val="28"/>
          <w:szCs w:val="28"/>
          <w:lang w:eastAsia="ar-SA"/>
        </w:rPr>
        <w:br/>
        <w:t>для размещения информации о государственных (муниципальных) учреждениях (www.</w:t>
      </w:r>
      <w:hyperlink r:id="rId228" w:history="1">
        <w:r>
          <w:rPr>
            <w:rFonts w:ascii="Times New Roman" w:hAnsi="Times New Roman"/>
            <w:b/>
            <w:color w:val="000000" w:themeColor="text1"/>
            <w:sz w:val="28"/>
            <w:szCs w:val="28"/>
            <w:lang w:eastAsia="ar-SA"/>
          </w:rPr>
          <w:t>bus.gov.ru</w:t>
        </w:r>
      </w:hyperlink>
      <w:r>
        <w:rPr>
          <w:rFonts w:ascii="Times New Roman" w:hAnsi="Times New Roman"/>
          <w:b/>
          <w:color w:val="000000" w:themeColor="text1"/>
          <w:sz w:val="28"/>
          <w:szCs w:val="28"/>
          <w:lang w:eastAsia="ar-SA"/>
        </w:rPr>
        <w:t>)</w:t>
      </w:r>
    </w:p>
    <w:p>
      <w:pPr>
        <w:spacing w:after="0" w:line="360" w:lineRule="atLeast"/>
        <w:ind w:firstLine="709"/>
        <w:jc w:val="both"/>
        <w:rPr>
          <w:rFonts w:ascii="Times New Roman" w:eastAsiaTheme="minorEastAsia" w:hAnsi="Times New Roman"/>
          <w:color w:val="000000" w:themeColor="text1"/>
          <w:kern w:val="24"/>
          <w:sz w:val="28"/>
          <w:szCs w:val="28"/>
          <w:lang w:eastAsia="ru-RU"/>
        </w:rPr>
      </w:pPr>
      <w:r>
        <w:rPr>
          <w:rFonts w:ascii="Times New Roman" w:eastAsiaTheme="minorEastAsia" w:hAnsi="Times New Roman"/>
          <w:color w:val="000000" w:themeColor="text1"/>
          <w:kern w:val="24"/>
          <w:sz w:val="28"/>
          <w:szCs w:val="28"/>
          <w:lang w:eastAsia="ru-RU"/>
        </w:rPr>
        <w:t xml:space="preserve">В 2017 году </w:t>
      </w:r>
      <w:r>
        <w:rPr>
          <w:rFonts w:ascii="Times New Roman" w:eastAsiaTheme="minorHAnsi" w:hAnsi="Times New Roman"/>
          <w:color w:val="000000" w:themeColor="text1"/>
          <w:sz w:val="28"/>
          <w:szCs w:val="28"/>
        </w:rPr>
        <w:t>планируется осуществление следующих мероприятий</w:t>
      </w:r>
      <w:r>
        <w:rPr>
          <w:rFonts w:ascii="Times New Roman" w:eastAsiaTheme="minorEastAsia" w:hAnsi="Times New Roman"/>
          <w:color w:val="000000" w:themeColor="text1"/>
          <w:kern w:val="24"/>
          <w:sz w:val="28"/>
          <w:szCs w:val="28"/>
          <w:lang w:eastAsia="ru-RU"/>
        </w:rPr>
        <w:t>:</w:t>
      </w:r>
    </w:p>
    <w:p>
      <w:pPr>
        <w:spacing w:after="0" w:line="360" w:lineRule="atLeast"/>
        <w:ind w:firstLine="709"/>
        <w:jc w:val="both"/>
        <w:rPr>
          <w:rFonts w:ascii="Times New Roman" w:eastAsiaTheme="minorEastAsia" w:hAnsi="Times New Roman"/>
          <w:i/>
          <w:color w:val="000000" w:themeColor="text1"/>
          <w:kern w:val="24"/>
          <w:sz w:val="24"/>
          <w:szCs w:val="24"/>
          <w:lang w:eastAsia="ru-RU"/>
        </w:rPr>
      </w:pPr>
      <w:r>
        <w:rPr>
          <w:rFonts w:ascii="Times New Roman" w:eastAsiaTheme="minorHAnsi" w:hAnsi="Times New Roman"/>
          <w:color w:val="000000" w:themeColor="text1"/>
          <w:sz w:val="28"/>
          <w:szCs w:val="28"/>
        </w:rPr>
        <w:t>– </w:t>
      </w:r>
      <w:r>
        <w:rPr>
          <w:rFonts w:ascii="Times New Roman" w:eastAsiaTheme="minorEastAsia" w:hAnsi="Times New Roman"/>
          <w:color w:val="000000" w:themeColor="text1"/>
          <w:kern w:val="24"/>
          <w:sz w:val="28"/>
          <w:szCs w:val="28"/>
          <w:lang w:eastAsia="ru-RU"/>
        </w:rPr>
        <w:t xml:space="preserve">технологическое обеспечение по распространению размещенных сведений о независимой оценке по запросам внешних систем в разрезе сфер деятельности, периода проведения оценки публично-правовых образований; </w:t>
      </w:r>
    </w:p>
    <w:p>
      <w:pPr>
        <w:spacing w:after="0" w:line="360" w:lineRule="atLeast"/>
        <w:ind w:firstLine="709"/>
        <w:jc w:val="both"/>
        <w:rPr>
          <w:rFonts w:ascii="Times New Roman" w:eastAsiaTheme="minorEastAsia" w:hAnsi="Times New Roman"/>
          <w:color w:val="000000" w:themeColor="text1"/>
          <w:kern w:val="24"/>
          <w:sz w:val="28"/>
          <w:szCs w:val="28"/>
          <w:lang w:eastAsia="ru-RU"/>
        </w:rPr>
      </w:pPr>
      <w:r>
        <w:rPr>
          <w:rFonts w:ascii="Times New Roman" w:eastAsiaTheme="minorHAnsi" w:hAnsi="Times New Roman"/>
          <w:color w:val="000000" w:themeColor="text1"/>
          <w:sz w:val="28"/>
          <w:szCs w:val="28"/>
        </w:rPr>
        <w:t>– </w:t>
      </w:r>
      <w:r>
        <w:rPr>
          <w:rFonts w:ascii="Times New Roman" w:eastAsiaTheme="minorEastAsia" w:hAnsi="Times New Roman"/>
          <w:color w:val="000000" w:themeColor="text1"/>
          <w:kern w:val="24"/>
          <w:sz w:val="28"/>
          <w:szCs w:val="28"/>
          <w:lang w:eastAsia="ru-RU"/>
        </w:rPr>
        <w:t xml:space="preserve">реализация доработки статистических и аналитических отчетов, </w:t>
      </w:r>
      <w:r>
        <w:rPr>
          <w:rFonts w:ascii="Times New Roman" w:eastAsiaTheme="minorEastAsia" w:hAnsi="Times New Roman"/>
          <w:color w:val="000000" w:themeColor="text1"/>
          <w:kern w:val="24"/>
          <w:sz w:val="28"/>
          <w:szCs w:val="28"/>
          <w:lang w:eastAsia="ru-RU"/>
        </w:rPr>
        <w:br/>
        <w:t>а также рейтингов по Независимой оценке качества;</w:t>
      </w:r>
    </w:p>
    <w:p>
      <w:pPr>
        <w:spacing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heme="minorHAnsi" w:hAnsi="Times New Roman"/>
          <w:color w:val="000000" w:themeColor="text1"/>
          <w:sz w:val="28"/>
          <w:szCs w:val="28"/>
        </w:rPr>
        <w:t>– </w:t>
      </w:r>
      <w:r>
        <w:rPr>
          <w:rFonts w:ascii="Times New Roman" w:eastAsiaTheme="minorEastAsia" w:hAnsi="Times New Roman"/>
          <w:color w:val="000000" w:themeColor="text1"/>
          <w:kern w:val="24"/>
          <w:sz w:val="28"/>
          <w:szCs w:val="28"/>
        </w:rPr>
        <w:t xml:space="preserve">обновление дизайна мобильной версии </w:t>
      </w:r>
      <w:r>
        <w:rPr>
          <w:rFonts w:ascii="Times New Roman" w:eastAsiaTheme="minorHAnsi" w:hAnsi="Times New Roman"/>
          <w:color w:val="000000" w:themeColor="text1"/>
          <w:sz w:val="28"/>
          <w:szCs w:val="28"/>
        </w:rPr>
        <w:t>Официального сайта ГМУ</w:t>
      </w:r>
      <w:r>
        <w:rPr>
          <w:rFonts w:ascii="Times New Roman" w:eastAsiaTheme="minorEastAsia" w:hAnsi="Times New Roman"/>
          <w:color w:val="000000" w:themeColor="text1"/>
          <w:kern w:val="24"/>
          <w:sz w:val="28"/>
          <w:szCs w:val="28"/>
        </w:rPr>
        <w:t xml:space="preserve"> </w:t>
      </w:r>
      <w:r>
        <w:rPr>
          <w:rFonts w:ascii="Times New Roman" w:eastAsiaTheme="minorEastAsia" w:hAnsi="Times New Roman"/>
          <w:color w:val="000000" w:themeColor="text1"/>
          <w:kern w:val="24"/>
          <w:sz w:val="28"/>
          <w:szCs w:val="28"/>
        </w:rPr>
        <w:br/>
        <w:t>и доработка функциональности в части отображения сведений о проведении Независимой оценки качества.</w:t>
      </w:r>
    </w:p>
    <w:p>
      <w:pPr>
        <w:spacing w:before="120" w:after="120" w:line="240" w:lineRule="auto"/>
        <w:ind w:firstLine="709"/>
        <w:jc w:val="both"/>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 xml:space="preserve">5.3.3. Развитие Государственной информационной системы </w:t>
      </w:r>
      <w:r>
        <w:rPr>
          <w:rFonts w:ascii="Times New Roman" w:eastAsia="Times New Roman" w:hAnsi="Times New Roman"/>
          <w:b/>
          <w:color w:val="000000" w:themeColor="text1"/>
          <w:sz w:val="28"/>
          <w:szCs w:val="28"/>
          <w:lang w:eastAsia="ru-RU"/>
        </w:rPr>
        <w:br/>
        <w:t>о государственных и муниципальных платежах</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EastAsia" w:hAnsi="Times New Roman"/>
          <w:color w:val="000000" w:themeColor="text1"/>
          <w:kern w:val="24"/>
          <w:sz w:val="28"/>
          <w:szCs w:val="28"/>
          <w:lang w:eastAsia="ru-RU"/>
        </w:rPr>
        <w:t>В 2017 году</w:t>
      </w:r>
      <w:r>
        <w:rPr>
          <w:rFonts w:ascii="Times New Roman" w:eastAsiaTheme="minorHAnsi" w:hAnsi="Times New Roman"/>
          <w:color w:val="000000" w:themeColor="text1"/>
          <w:sz w:val="28"/>
          <w:szCs w:val="28"/>
        </w:rPr>
        <w:t xml:space="preserve"> планируется осуществление следующих мероприятий:</w:t>
      </w:r>
    </w:p>
    <w:p>
      <w:pPr>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xml:space="preserve">– совершенствование технологии предоставления сведений </w:t>
      </w:r>
      <w:r>
        <w:rPr>
          <w:rFonts w:ascii="Times New Roman" w:eastAsiaTheme="minorHAnsi" w:hAnsi="Times New Roman"/>
          <w:color w:val="000000" w:themeColor="text1"/>
          <w:sz w:val="28"/>
          <w:szCs w:val="28"/>
        </w:rPr>
        <w:br/>
        <w:t>о государственных и муниципальных платежах юридических и физических лиц, в рамках которой будет обеспечена возможность взаимодействия с ГИС ГМП в соответствии с требованиями СМЭВ версии 3.х;</w:t>
      </w:r>
    </w:p>
    <w:p>
      <w:pPr>
        <w:spacing w:after="0" w:line="360" w:lineRule="atLeast"/>
        <w:ind w:firstLine="709"/>
        <w:jc w:val="both"/>
        <w:rPr>
          <w:rFonts w:ascii="Times New Roman" w:hAnsi="Times New Roman"/>
          <w:color w:val="000000" w:themeColor="text1"/>
          <w:sz w:val="28"/>
          <w:szCs w:val="28"/>
        </w:rPr>
      </w:pPr>
      <w:r>
        <w:rPr>
          <w:rFonts w:ascii="Times New Roman" w:eastAsiaTheme="minorHAnsi" w:hAnsi="Times New Roman"/>
          <w:color w:val="000000" w:themeColor="text1"/>
          <w:sz w:val="28"/>
          <w:szCs w:val="28"/>
        </w:rPr>
        <w:t>– обеспечение инфраструктурной связанности при модернизации механизмов криптографической защиты в части интеграции с компонентом разграничения доступа и компонентом юридической значимости системы обеспечения безопасности информации в Единой облачной инфраструктуре.</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 xml:space="preserve">5.3.4. Технологическое обеспечение контроля и надзора </w:t>
      </w:r>
      <w:r>
        <w:rPr>
          <w:rFonts w:ascii="Times New Roman" w:hAnsi="Times New Roman"/>
          <w:b/>
          <w:color w:val="000000" w:themeColor="text1"/>
          <w:sz w:val="28"/>
          <w:szCs w:val="28"/>
        </w:rPr>
        <w:br/>
        <w:t>в финансово-бюджетной сфере</w:t>
      </w:r>
    </w:p>
    <w:p>
      <w:pPr>
        <w:pStyle w:val="ConsPlusTitle"/>
        <w:spacing w:line="360" w:lineRule="atLeast"/>
        <w:ind w:firstLine="709"/>
        <w:jc w:val="both"/>
        <w:rPr>
          <w:rFonts w:ascii="Times New Roman" w:eastAsiaTheme="minorHAnsi" w:hAnsi="Times New Roman" w:cs="Times New Roman"/>
          <w:b w:val="0"/>
          <w:color w:val="000000" w:themeColor="text1"/>
          <w:sz w:val="28"/>
          <w:szCs w:val="28"/>
          <w:lang w:eastAsia="en-US"/>
        </w:rPr>
      </w:pPr>
      <w:r>
        <w:rPr>
          <w:rFonts w:ascii="Times New Roman" w:hAnsi="Times New Roman" w:cs="Times New Roman"/>
          <w:b w:val="0"/>
          <w:color w:val="000000" w:themeColor="text1"/>
          <w:sz w:val="28"/>
          <w:szCs w:val="28"/>
        </w:rPr>
        <w:t xml:space="preserve">В соответствии с Планом мероприятий по развитию ГИИС «Электронный бюджет» на 2016–2018 годы, утвержденным 18 января 2016 года Первым заместителем Министра финансов Российской Федерации Т.Г. Нестеренко, в 2017 году Федеральным казначейством </w:t>
      </w:r>
      <w:r>
        <w:rPr>
          <w:rFonts w:ascii="Times New Roman" w:hAnsi="Times New Roman" w:cs="Times New Roman"/>
          <w:b w:val="0"/>
          <w:color w:val="000000" w:themeColor="text1"/>
          <w:sz w:val="28"/>
          <w:szCs w:val="28"/>
        </w:rPr>
        <w:br/>
        <w:t xml:space="preserve">и Минфином России в рамках мероприятия по созданию и внедрению </w:t>
      </w:r>
      <w:r>
        <w:rPr>
          <w:rFonts w:ascii="Times New Roman" w:eastAsiaTheme="minorHAnsi" w:hAnsi="Times New Roman" w:cs="Times New Roman"/>
          <w:b w:val="0"/>
          <w:color w:val="000000" w:themeColor="text1"/>
          <w:sz w:val="28"/>
          <w:szCs w:val="28"/>
          <w:lang w:eastAsia="en-US"/>
        </w:rPr>
        <w:t xml:space="preserve">подсистемы «Финансовый контроль» должен быть обеспечен ввод </w:t>
      </w:r>
      <w:r>
        <w:rPr>
          <w:rFonts w:ascii="Times New Roman" w:eastAsiaTheme="minorHAnsi" w:hAnsi="Times New Roman" w:cs="Times New Roman"/>
          <w:b w:val="0"/>
          <w:color w:val="000000" w:themeColor="text1"/>
          <w:sz w:val="28"/>
          <w:szCs w:val="28"/>
          <w:lang w:eastAsia="en-US"/>
        </w:rPr>
        <w:br/>
        <w:t>в эксплуатацию соответствующего компонента (модуля) подсистемы «Финансовый контроль».</w:t>
      </w:r>
    </w:p>
    <w:p>
      <w:pPr>
        <w:pStyle w:val="ConsPlusTitle"/>
        <w:spacing w:line="360" w:lineRule="atLeast"/>
        <w:ind w:firstLine="709"/>
        <w:jc w:val="both"/>
        <w:rPr>
          <w:rFonts w:ascii="Times New Roman" w:hAnsi="Times New Roman" w:cs="Times New Roman"/>
          <w:b w:val="0"/>
          <w:color w:val="000000" w:themeColor="text1"/>
          <w:sz w:val="28"/>
          <w:szCs w:val="28"/>
        </w:rPr>
      </w:pPr>
      <w:r>
        <w:rPr>
          <w:rFonts w:ascii="Times New Roman" w:hAnsi="Times New Roman" w:cs="Times New Roman"/>
          <w:b w:val="0"/>
          <w:color w:val="000000" w:themeColor="text1"/>
          <w:sz w:val="28"/>
          <w:szCs w:val="28"/>
        </w:rPr>
        <w:t>Мероприятия по развитию и обеспечению интеграции подсистемы «Финансовый контроль» ГИИС «Электронный бюджет»</w:t>
      </w:r>
      <w:r>
        <w:rPr>
          <w:rFonts w:ascii="Times New Roman" w:hAnsi="Times New Roman" w:cs="Times New Roman"/>
          <w:color w:val="000000" w:themeColor="text1"/>
          <w:sz w:val="28"/>
          <w:szCs w:val="28"/>
        </w:rPr>
        <w:t xml:space="preserve"> </w:t>
      </w:r>
      <w:r>
        <w:rPr>
          <w:rFonts w:ascii="Times New Roman" w:hAnsi="Times New Roman" w:cs="Times New Roman"/>
          <w:b w:val="0"/>
          <w:color w:val="000000" w:themeColor="text1"/>
          <w:sz w:val="28"/>
          <w:szCs w:val="28"/>
        </w:rPr>
        <w:t>с иными подсистемами ГИИС «Электронный бюджет» запланированы на период 2017–2018 годов. В рамках исполнения установленных мероприятий Федеральным казначейством ведутся работы по формированию концепции создания и развития подсистемы «Финансовый контроль»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5.3.5. Развитие подсистемы «Нормативно-справочная информация» ГИИС «Электронный бюджет»</w:t>
      </w:r>
    </w:p>
    <w:p>
      <w:pPr>
        <w:spacing w:after="0" w:line="360" w:lineRule="atLeast"/>
        <w:ind w:firstLine="709"/>
        <w:jc w:val="both"/>
        <w:rPr>
          <w:rFonts w:ascii="Times New Roman" w:eastAsiaTheme="minorEastAsia" w:hAnsi="Times New Roman"/>
          <w:i/>
          <w:color w:val="000000" w:themeColor="text1"/>
          <w:kern w:val="24"/>
          <w:sz w:val="24"/>
          <w:szCs w:val="24"/>
        </w:rPr>
      </w:pPr>
      <w:r>
        <w:rPr>
          <w:rFonts w:ascii="Times New Roman" w:hAnsi="Times New Roman"/>
          <w:color w:val="000000" w:themeColor="text1"/>
          <w:sz w:val="28"/>
          <w:szCs w:val="28"/>
        </w:rPr>
        <w:t xml:space="preserve">Основными задачами развития подсистемы «Нормативно-справочная информация» ГИИС «Электронный бюджет» является технологическое обеспечение развития Реестра УБП и НУБП, справочников </w:t>
      </w:r>
      <w:r>
        <w:rPr>
          <w:rFonts w:ascii="Times New Roman" w:hAnsi="Times New Roman"/>
          <w:color w:val="000000" w:themeColor="text1"/>
          <w:sz w:val="28"/>
          <w:szCs w:val="28"/>
        </w:rPr>
        <w:br/>
        <w:t>и классификаторов, ведение которых осуществляется Федеральным казначейством.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будет обеспечено использование Реестра УБП и НУБП </w:t>
      </w:r>
      <w:r>
        <w:rPr>
          <w:rFonts w:ascii="Times New Roman" w:hAnsi="Times New Roman"/>
          <w:color w:val="000000" w:themeColor="text1"/>
          <w:sz w:val="28"/>
          <w:szCs w:val="28"/>
        </w:rPr>
        <w:br/>
        <w:t>в информационных системах, оператором которых является Федеральное казначейство: ГИС ГМП, ГАС «Управление».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Планируются к проведению мероприятия по технологическому обеспечению перевода информационных систем, оператором которых, является Федеральное казначейство и Минфин России, </w:t>
      </w:r>
      <w:r>
        <w:rPr>
          <w:rFonts w:ascii="Times New Roman" w:hAnsi="Times New Roman"/>
          <w:color w:val="000000" w:themeColor="text1"/>
          <w:sz w:val="28"/>
          <w:szCs w:val="28"/>
        </w:rPr>
        <w:br/>
        <w:t>на централизованную подсистему «Нормативно-справочная информация» ГИИС «Электронный бюджет». Осуществлена централизация ведения лицевых счетов в указанной подсистеме.</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соответствии с общей стратегией централизации и перевода функциональных процессов в ГИИС «Электронный бюджет» выполнены работы по обеспечению возможности ведения карточек лицевых счетов </w:t>
      </w:r>
      <w:r>
        <w:rPr>
          <w:rFonts w:ascii="Times New Roman" w:hAnsi="Times New Roman"/>
          <w:color w:val="000000" w:themeColor="text1"/>
          <w:sz w:val="28"/>
          <w:szCs w:val="28"/>
        </w:rPr>
        <w:br/>
        <w:t>в ГИИС «Электронный бюджет».</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w:t>
      </w:r>
      <w:r>
        <w:rPr>
          <w:rFonts w:ascii="Times New Roman" w:hAnsi="Times New Roman"/>
          <w:color w:val="000000" w:themeColor="text1"/>
          <w:sz w:val="28"/>
          <w:szCs w:val="28"/>
          <w:lang w:val="en-US"/>
        </w:rPr>
        <w:t>I</w:t>
      </w:r>
      <w:r>
        <w:rPr>
          <w:rFonts w:ascii="Times New Roman" w:hAnsi="Times New Roman"/>
          <w:color w:val="000000" w:themeColor="text1"/>
          <w:sz w:val="28"/>
          <w:szCs w:val="28"/>
        </w:rPr>
        <w:t xml:space="preserve"> квартале 2017 года запланировано внедрение в эксплуатацию реализованных процессов ведения лицевых счетов, которое будет </w:t>
      </w:r>
      <w:r>
        <w:rPr>
          <w:rFonts w:ascii="Times New Roman" w:hAnsi="Times New Roman"/>
          <w:color w:val="000000" w:themeColor="text1"/>
          <w:sz w:val="28"/>
          <w:szCs w:val="28"/>
        </w:rPr>
        <w:lastRenderedPageBreak/>
        <w:t>осуществляться по схеме «пилотирования» и последующего тиражирования перевода в ГИИС «Электронный бюджет».</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5.3.6. Система комплексного информационно-аналитического обеспечения деятельности Федерального казначейства</w:t>
      </w:r>
    </w:p>
    <w:p>
      <w:pPr>
        <w:widowControl w:val="0"/>
        <w:tabs>
          <w:tab w:val="left" w:pos="142"/>
          <w:tab w:val="left" w:pos="851"/>
          <w:tab w:val="left" w:pos="1418"/>
        </w:tabs>
        <w:spacing w:after="0" w:line="360" w:lineRule="atLeast"/>
        <w:ind w:firstLine="567"/>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2017 году запланировано развитие СКИАО в части:</w:t>
      </w:r>
    </w:p>
    <w:p>
      <w:pPr>
        <w:widowControl w:val="0"/>
        <w:tabs>
          <w:tab w:val="left" w:pos="142"/>
          <w:tab w:val="left" w:pos="851"/>
          <w:tab w:val="left" w:pos="1418"/>
        </w:tabs>
        <w:spacing w:after="0" w:line="360" w:lineRule="atLeast"/>
        <w:ind w:firstLine="567"/>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интеграции СКИАО с компонентами безопасности для обеспечения разграничения доступа и обеспечения юридической значимости электронных документов в информационных системах Федерального казначейства и государственных информационных системах, оператором которых является Федеральное казначейство;</w:t>
      </w:r>
    </w:p>
    <w:p>
      <w:pPr>
        <w:widowControl w:val="0"/>
        <w:tabs>
          <w:tab w:val="left" w:pos="142"/>
          <w:tab w:val="left" w:pos="851"/>
          <w:tab w:val="left" w:pos="1418"/>
        </w:tabs>
        <w:spacing w:after="0" w:line="360" w:lineRule="atLeast"/>
        <w:ind w:firstLine="567"/>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автоматизации сбора и обработки данных многострочных многоуровневых форм в подсистеме «Сбор произвольных данных» СКИАО;</w:t>
      </w:r>
    </w:p>
    <w:p>
      <w:pPr>
        <w:widowControl w:val="0"/>
        <w:tabs>
          <w:tab w:val="left" w:pos="142"/>
          <w:tab w:val="left" w:pos="851"/>
          <w:tab w:val="left" w:pos="1418"/>
        </w:tabs>
        <w:spacing w:after="0" w:line="360" w:lineRule="atLeast"/>
        <w:ind w:firstLine="567"/>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 создания функционала по оценке результативности деятельности директора ФКУ «ЦОКР» в подсистеме «Оценка результативности деятельности территориальных органов Федерального казначейства, отделов управлений центрального аппарата Федерального казначейства, руководителей территориальных органов Федерального казначейства» СКИАО.</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5.3.7. Развитие информационной системы Федерального казначейства «Управление ликвидностью единого счета федерального бюджета»</w:t>
      </w:r>
    </w:p>
    <w:p>
      <w:pPr>
        <w:widowControl w:val="0"/>
        <w:tabs>
          <w:tab w:val="left" w:pos="142"/>
          <w:tab w:val="left" w:pos="851"/>
          <w:tab w:val="left" w:pos="1418"/>
        </w:tabs>
        <w:spacing w:after="0" w:line="360" w:lineRule="atLeast"/>
        <w:ind w:firstLine="709"/>
        <w:jc w:val="both"/>
        <w:rPr>
          <w:rFonts w:ascii="Times New Roman" w:eastAsiaTheme="minorHAnsi" w:hAnsi="Times New Roman"/>
          <w:color w:val="000000" w:themeColor="text1"/>
          <w:sz w:val="28"/>
          <w:szCs w:val="28"/>
        </w:rPr>
      </w:pPr>
      <w:r>
        <w:rPr>
          <w:rFonts w:ascii="Times New Roman" w:eastAsiaTheme="minorHAnsi" w:hAnsi="Times New Roman"/>
          <w:color w:val="000000" w:themeColor="text1"/>
          <w:sz w:val="28"/>
          <w:szCs w:val="28"/>
        </w:rPr>
        <w:t>В 2017 году запланировано развитие системы Федерального казначейства ЛЕКС в части:</w:t>
      </w:r>
    </w:p>
    <w:p>
      <w:pPr>
        <w:widowControl w:val="0"/>
        <w:tabs>
          <w:tab w:val="left" w:pos="142"/>
          <w:tab w:val="left" w:pos="851"/>
          <w:tab w:val="left" w:pos="1418"/>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изменения алгоритмов аналитического учета, формирования отчетности, процедур загрузки и хранения сведений и документов </w:t>
      </w:r>
      <w:r>
        <w:rPr>
          <w:rFonts w:ascii="Times New Roman" w:eastAsia="Times New Roman" w:hAnsi="Times New Roman"/>
          <w:color w:val="000000" w:themeColor="text1"/>
          <w:sz w:val="28"/>
          <w:szCs w:val="28"/>
        </w:rPr>
        <w:br/>
        <w:t>при размещении средств федерального бюджета на банковских депозитах при проведении операций покупки (продажи) ценных бумах по договорам репо, при пополнении остатков средств федерального бюджета на счетах бюджетов субъектов Российской Федерации (местных бюджетов) за счет предоставления бюджетных кредитов при осуществлении операций</w:t>
      </w:r>
      <w:r>
        <w:rPr>
          <w:rFonts w:ascii="Times New Roman" w:eastAsia="Times New Roman" w:hAnsi="Times New Roman"/>
          <w:color w:val="000000" w:themeColor="text1"/>
          <w:sz w:val="28"/>
          <w:szCs w:val="28"/>
        </w:rPr>
        <w:br/>
        <w:t>по покупке (продаже) иностранной валюты в функциональных компонентах – комплексах задач ЛЕКС;</w:t>
      </w:r>
    </w:p>
    <w:p>
      <w:pPr>
        <w:widowControl w:val="0"/>
        <w:tabs>
          <w:tab w:val="left" w:pos="142"/>
          <w:tab w:val="left" w:pos="851"/>
          <w:tab w:val="left" w:pos="1418"/>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интеграции с подсистемами ГИИС «Электронный бюджет»;</w:t>
      </w:r>
    </w:p>
    <w:p>
      <w:pPr>
        <w:widowControl w:val="0"/>
        <w:tabs>
          <w:tab w:val="left" w:pos="142"/>
          <w:tab w:val="left" w:pos="851"/>
          <w:tab w:val="left" w:pos="1418"/>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создания новых отчетных форм и процедур информационного обмена с внешними информационными системами при проведении операций по управлению остатками на ЕСФБ;</w:t>
      </w:r>
    </w:p>
    <w:p>
      <w:pPr>
        <w:widowControl w:val="0"/>
        <w:tabs>
          <w:tab w:val="left" w:pos="142"/>
          <w:tab w:val="left" w:pos="851"/>
          <w:tab w:val="left" w:pos="1418"/>
        </w:tabs>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создания новых функциональных компонентов – комплексов задач ЛЕКС для реализации новых видов операций по управлению остатками средств на ЕСФБ.</w:t>
      </w:r>
    </w:p>
    <w:p>
      <w:pPr>
        <w:pStyle w:val="21"/>
        <w:tabs>
          <w:tab w:val="left" w:pos="0"/>
          <w:tab w:val="left" w:pos="993"/>
          <w:tab w:val="left" w:pos="1276"/>
        </w:tabs>
        <w:spacing w:before="120" w:line="240" w:lineRule="auto"/>
        <w:ind w:firstLine="709"/>
        <w:jc w:val="both"/>
        <w:rPr>
          <w:rFonts w:eastAsia="Calibri"/>
          <w:b/>
          <w:color w:val="000000" w:themeColor="text1"/>
          <w:sz w:val="28"/>
          <w:szCs w:val="28"/>
          <w:lang w:eastAsia="en-US"/>
        </w:rPr>
      </w:pPr>
      <w:r>
        <w:rPr>
          <w:rFonts w:eastAsia="Calibri"/>
          <w:b/>
          <w:color w:val="000000" w:themeColor="text1"/>
          <w:sz w:val="28"/>
          <w:szCs w:val="28"/>
          <w:lang w:eastAsia="en-US"/>
        </w:rPr>
        <w:lastRenderedPageBreak/>
        <w:t>5.3.8. Обеспечение безопасности информации в Федеральном казначействе</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целях обеспечения функционирования объектов информатизации органов Федерального казначейства, предназначенных для обработки информации, содержащей сведения, составляющие государственную, служебную и иную, охраняемую законом, тайну в соответствии </w:t>
      </w:r>
      <w:r>
        <w:rPr>
          <w:rFonts w:ascii="Times New Roman" w:eastAsia="Times New Roman" w:hAnsi="Times New Roman"/>
          <w:color w:val="000000" w:themeColor="text1"/>
          <w:sz w:val="28"/>
          <w:szCs w:val="28"/>
        </w:rPr>
        <w:br/>
        <w:t xml:space="preserve">с требованиями законодательства и НПА органов государственной власти Российской Федерации, регулирующих вопросы защиты информации </w:t>
      </w:r>
      <w:r>
        <w:rPr>
          <w:rFonts w:ascii="Times New Roman" w:eastAsia="Times New Roman" w:hAnsi="Times New Roman"/>
          <w:color w:val="000000" w:themeColor="text1"/>
          <w:sz w:val="28"/>
          <w:szCs w:val="28"/>
        </w:rPr>
        <w:br/>
        <w:t>в 2017 году, планируется:</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актуализировать и утвердить типовые организационно-распорядительные документы Федерального казначейства по вопросам защиты информации;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обеспечить координацию и методологическое руководство </w:t>
      </w:r>
      <w:r>
        <w:rPr>
          <w:rFonts w:ascii="Times New Roman" w:eastAsia="Times New Roman" w:hAnsi="Times New Roman"/>
          <w:color w:val="000000" w:themeColor="text1"/>
          <w:sz w:val="28"/>
          <w:szCs w:val="28"/>
        </w:rPr>
        <w:br/>
        <w:t>за деятельностью ТОФК по вопросам защиты информации;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обеспечить ведомственный контроль за деятельностью ТОФК </w:t>
      </w:r>
      <w:r>
        <w:rPr>
          <w:rFonts w:ascii="Times New Roman" w:eastAsia="Times New Roman" w:hAnsi="Times New Roman"/>
          <w:color w:val="000000" w:themeColor="text1"/>
          <w:sz w:val="28"/>
          <w:szCs w:val="28"/>
        </w:rPr>
        <w:br/>
        <w:t>по вопросам защиты информации, в том числе защиты государственной тайны;</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осуществить централизацию и реализовать использование единых подходов и принципов обеспечения защиты информации в Федеральном казначействе;</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обеспечить взаимодействие с органами государственной власти, регулирующими деятельность по защите информации в Российской Федерации.</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целях выполнения требований по обеспечению информационной безопасности в государственных информационных системах, оператором которых является Федеральное казначейство, при централизации информационных систем Федерального казначейства в центрах обработки данных планируется обеспечить функционирование средств и систем защиты информации, выполнение требований нормативно-регулирующих документов по защите информации в информационных системах Федерального казначейства и государственных информационных системах, оператором которых является Федеральное казначейство.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части развития и модернизации системы оперативного обмена информацией, содержащей сведения, составляющие государственную тайну, планируются работы по модернизации системы оперативного обмена информацией с целью гарантированной, бесперебойной доставки оперативной информации, содержащей сведения, составляющие государственную тайну для руководства Федерального казначейства </w:t>
      </w:r>
      <w:r>
        <w:rPr>
          <w:rFonts w:ascii="Times New Roman" w:eastAsia="Times New Roman" w:hAnsi="Times New Roman"/>
          <w:color w:val="000000" w:themeColor="text1"/>
          <w:sz w:val="28"/>
          <w:szCs w:val="28"/>
        </w:rPr>
        <w:br/>
        <w:t xml:space="preserve">и ТОФК посредством специальной документальной связи. Вместе с тем </w:t>
      </w:r>
      <w:r>
        <w:rPr>
          <w:rFonts w:ascii="Times New Roman" w:eastAsia="Times New Roman" w:hAnsi="Times New Roman"/>
          <w:color w:val="000000" w:themeColor="text1"/>
          <w:sz w:val="28"/>
          <w:szCs w:val="28"/>
        </w:rPr>
        <w:lastRenderedPageBreak/>
        <w:t>планируется обеспечить повышение устойчивости системы оперативного обмена информацией, содержащей сведения, составляющие государственную тайну, обеспечить продление сроков эксплуатации аппаратуры специальной документальной связи в Федеральном казначействе.</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В 2017 году планируется продолжить работу по организации </w:t>
      </w:r>
      <w:r>
        <w:rPr>
          <w:rFonts w:ascii="Times New Roman" w:eastAsia="Times New Roman" w:hAnsi="Times New Roman"/>
          <w:color w:val="000000" w:themeColor="text1"/>
          <w:sz w:val="28"/>
          <w:szCs w:val="28"/>
        </w:rPr>
        <w:br/>
        <w:t>и обеспечению повышения квалификации сотрудников органов Федерального казначейства по вопросам защиты информации.</w:t>
      </w:r>
    </w:p>
    <w:p>
      <w:pPr>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Федеральным казначейством в целях развития СОБИ в 2017 году запланированы работы по обеспечению развития подсистемы «Межсетевое экранирование» СОБИ, в частности будет необходимо: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осуществить внедрение типовой схемы включения сегментов сетей ТОФК и настройки на базе «пилотных» ТОФК типовых правил фильтрации на межсетевом экране;</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осуществить перевод в эксплуатацию компонентов централизованной системы межсетевого экранирования в информационно-телекоммуникационной инфраструктуре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Кроме того, в 2017 году в части выполнения функций режимно-секретного подразделения в ЦАФК и ФКУ «ЦОКР» планируется продолжить работы по обеспечению:</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соблюдения режима секретности в ЦАФК;</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rPr>
        <w:t>– ведения секретного делопроизводства в ЦАФК и ФКУ «ЦОКР».</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5.3.9. Развитие Удостоверяющего центра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В 2017 году в Федеральном казначействе в рамках развития УЦ ФК планируется осуществить работы по: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обеспечению выполнения функций аккредитованного УЦ ФК;</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обеспечению соблюдения правовых условий признания юридической силы электронных документов, подписанных электронной подписью, в информационных системах, оператором/владельцем которых является Федеральное казначейство;</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проведению модернизации информационной системы «Удостоверяющий центр Федерального казначейства»;</w:t>
      </w:r>
    </w:p>
    <w:p>
      <w:pPr>
        <w:spacing w:after="0" w:line="360" w:lineRule="atLeast"/>
        <w:ind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осуществлению автоматизации взаимодействия подсистем информационной системы УЦ ФК с клиентами.</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5.3.10. Взаимодействие с Евразийским экономическим союзом</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2017 году запланировано выполнение подключения информационных систем Федерального казначейства к национальному </w:t>
      </w:r>
      <w:r>
        <w:rPr>
          <w:rFonts w:ascii="Times New Roman" w:hAnsi="Times New Roman"/>
          <w:color w:val="000000" w:themeColor="text1"/>
          <w:sz w:val="28"/>
          <w:szCs w:val="28"/>
        </w:rPr>
        <w:lastRenderedPageBreak/>
        <w:t>сегменту Российской Федерации в рамках интегрированной информационной системы Евразийского экономического союза.</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обеспечения электронной формы взаимодействия между Федеральным казначейством и уполномоченными органами других государств-членов Евразийского экономического союза и комиссией Евразийского экономического союза предусмотрена доработка информационных систем Федерального казначейства в соответствии </w:t>
      </w:r>
      <w:r>
        <w:rPr>
          <w:rFonts w:ascii="Times New Roman" w:hAnsi="Times New Roman"/>
          <w:color w:val="000000" w:themeColor="text1"/>
          <w:sz w:val="28"/>
          <w:szCs w:val="28"/>
        </w:rPr>
        <w:br/>
        <w:t>с определенными указанной комиссией технологическими документами.</w:t>
      </w:r>
    </w:p>
    <w:p>
      <w:pPr>
        <w:tabs>
          <w:tab w:val="left" w:pos="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 Совершенствование деятельности Федерального казначейства</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5.4.1. Финансовое обеспечение деятельности Федерального казначейства</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Федеральным законом № 415-ФЗ Федеральному казначейству утверждены бюджетные ассигнования в размере:</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2017 год – 38 127,8 млн рублей;</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2018 год – 35 875,9 млн рублей;</w:t>
      </w:r>
    </w:p>
    <w:p>
      <w:pPr>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2019 год – 34 842,0 млн рублей.</w:t>
      </w:r>
    </w:p>
    <w:p>
      <w:pPr>
        <w:spacing w:after="0" w:line="360" w:lineRule="atLeast"/>
        <w:ind w:firstLine="709"/>
        <w:contextualSpacing/>
        <w:jc w:val="both"/>
        <w:rPr>
          <w:rFonts w:ascii="Times New Roman" w:eastAsia="Times New Roman" w:hAnsi="Times New Roman"/>
          <w:color w:val="000000" w:themeColor="text1"/>
          <w:spacing w:val="-7"/>
          <w:sz w:val="28"/>
          <w:szCs w:val="28"/>
          <w:lang w:eastAsia="ru-RU"/>
        </w:rPr>
      </w:pPr>
      <w:r>
        <w:rPr>
          <w:rFonts w:ascii="Times New Roman" w:eastAsia="Times New Roman" w:hAnsi="Times New Roman"/>
          <w:color w:val="000000" w:themeColor="text1"/>
          <w:spacing w:val="-7"/>
          <w:sz w:val="28"/>
          <w:szCs w:val="28"/>
          <w:lang w:eastAsia="ru-RU"/>
        </w:rPr>
        <w:t xml:space="preserve">По Госпрограмме по главе 100 «Федеральное казначейство» предусмотрены бюджетные ассигнования </w:t>
      </w:r>
      <w:r>
        <w:rPr>
          <w:rFonts w:ascii="Times New Roman" w:eastAsia="Times New Roman" w:hAnsi="Times New Roman"/>
          <w:color w:val="000000" w:themeColor="text1"/>
          <w:sz w:val="28"/>
          <w:szCs w:val="28"/>
          <w:lang w:eastAsia="ru-RU"/>
        </w:rPr>
        <w:t>на 2017 год – 38 117,4 млн рублей, на 2018 год – 35 864,9 млн рублей, на 2019 год – 34 830,6 млн рублей</w:t>
      </w:r>
      <w:r>
        <w:rPr>
          <w:rFonts w:ascii="Times New Roman" w:eastAsia="Times New Roman" w:hAnsi="Times New Roman"/>
          <w:color w:val="000000" w:themeColor="text1"/>
          <w:spacing w:val="-7"/>
          <w:sz w:val="28"/>
          <w:szCs w:val="28"/>
          <w:lang w:eastAsia="ru-RU"/>
        </w:rPr>
        <w:t>, которые будут направлены на следующее:</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выплаты по оплате труда работников ЦАФК в размере 1 345,7 млн рублей ежегодно;</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выплаты по оплате труда работников ТОФК в размере 16 263,2 млн рублей ежегодно;</w:t>
      </w:r>
    </w:p>
    <w:p>
      <w:pPr>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 иные выплаты работникам ЦАФК и ТОФК, в том числе </w:t>
      </w:r>
      <w:r>
        <w:rPr>
          <w:rFonts w:ascii="Times New Roman" w:eastAsia="Times New Roman" w:hAnsi="Times New Roman"/>
          <w:color w:val="000000" w:themeColor="text1"/>
          <w:sz w:val="28"/>
          <w:szCs w:val="28"/>
          <w:lang w:eastAsia="ru-RU"/>
        </w:rPr>
        <w:br/>
        <w:t>на командировочные расходы и компенсационные выплаты при увольнении на 2017 год – 234,4 млн рублей, на 2018 год – 215,5 млн рублей, на 2019 год – 200,8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 закупку товаров, работ, услуг в сфере информационно-коммуникационных технологий на 2017 год – 12 355,6 млн рублей </w:t>
      </w:r>
      <w:r>
        <w:rPr>
          <w:rFonts w:ascii="Times New Roman" w:eastAsia="Times New Roman" w:hAnsi="Times New Roman"/>
          <w:color w:val="000000" w:themeColor="text1"/>
          <w:sz w:val="28"/>
          <w:szCs w:val="28"/>
          <w:lang w:eastAsia="ru-RU"/>
        </w:rPr>
        <w:br/>
        <w:t xml:space="preserve">(из них на создание и развитие ГИИС «Электронный бюджет» – 785,5 млн рублей), на 2018 год – 10 330,4 млн рублей (из них 760,6 млн рублей – на создание и развитие ГИИС «Электронный бюджет»), </w:t>
      </w:r>
      <w:r>
        <w:rPr>
          <w:rFonts w:ascii="Times New Roman" w:eastAsia="Times New Roman" w:hAnsi="Times New Roman"/>
          <w:color w:val="000000" w:themeColor="text1"/>
          <w:sz w:val="28"/>
          <w:szCs w:val="28"/>
          <w:lang w:eastAsia="ru-RU"/>
        </w:rPr>
        <w:br/>
        <w:t xml:space="preserve">на 2019 год – 9 398,0 млн рублей (из них 744,1 млн рублей – на создание </w:t>
      </w:r>
      <w:r>
        <w:rPr>
          <w:rFonts w:ascii="Times New Roman" w:eastAsia="Times New Roman" w:hAnsi="Times New Roman"/>
          <w:color w:val="000000" w:themeColor="text1"/>
          <w:sz w:val="28"/>
          <w:szCs w:val="28"/>
          <w:lang w:eastAsia="ru-RU"/>
        </w:rPr>
        <w:br/>
        <w:t>и развитие ГИИС «Электронный бюджет»);</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закупку товаров, работ, услуг в целях капитального ремонта государственного (муниципального) имущества на 2017 год – 1 221,2 млн рублей, на 2018 год – 550,2 млн рублей, на 2019 год – 250,0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 на прочую закупку товаров, работ и услуг для обеспечения государственных (муниципальных) нужд на 2017 год – 2 598,1 млн рублей, на 2018 год – 3 026,5 млн рублей, на 2019 год – 3 194,5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уплату налогов, сборов и иных платежей на 2017 год – 569,6 млн рублей, на 2018 год – 564 млн рублей, на 2019 год – 560,3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на исполнение судебных актов в размере 0,1 млн рублей ежегодно;</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 компенсацию расходов на оплату стоимости проезда и провоза багажа к месту использования отпуска и обратно работникам ТОФК, расположенных в районах Крайнего Севера и приравненных </w:t>
      </w:r>
      <w:r>
        <w:rPr>
          <w:rFonts w:ascii="Times New Roman" w:eastAsia="Times New Roman" w:hAnsi="Times New Roman"/>
          <w:color w:val="000000" w:themeColor="text1"/>
          <w:sz w:val="28"/>
          <w:szCs w:val="28"/>
          <w:lang w:eastAsia="ru-RU"/>
        </w:rPr>
        <w:br/>
        <w:t>к ним местностях, предусмотрено на 2017 год 103,4 млн рублей, на 2018 год – 99,7 млн рублей, на 2019 год – 99,6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 ежемесячные компенсационные выплаты матерям (или другим родственникам, фактически осуществляющим уход за ребенком), состоящим в трудовых отношениях на условиях найма с организациями, </w:t>
      </w:r>
      <w:r>
        <w:rPr>
          <w:rFonts w:ascii="Times New Roman" w:eastAsia="Times New Roman" w:hAnsi="Times New Roman"/>
          <w:color w:val="000000" w:themeColor="text1"/>
          <w:sz w:val="28"/>
          <w:szCs w:val="28"/>
          <w:lang w:eastAsia="ru-RU"/>
        </w:rPr>
        <w:br/>
        <w:t xml:space="preserve">и женщинам-военнослужащим, находящимся в отпуске по уходу </w:t>
      </w:r>
      <w:r>
        <w:rPr>
          <w:rFonts w:ascii="Times New Roman" w:eastAsia="Times New Roman" w:hAnsi="Times New Roman"/>
          <w:color w:val="000000" w:themeColor="text1"/>
          <w:sz w:val="28"/>
          <w:szCs w:val="28"/>
          <w:lang w:eastAsia="ru-RU"/>
        </w:rPr>
        <w:br/>
        <w:t>за ребенком, предусмотрено на 2017 год 2,1 млн рублей, на 2018 год – 2,0 млн рублей, на 2019 год – 1,9 млн рублей;</w:t>
      </w:r>
    </w:p>
    <w:p>
      <w:pPr>
        <w:tabs>
          <w:tab w:val="num" w:pos="0"/>
        </w:tabs>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на обеспечение деятельности (оказание услуг) ФКУ «ЦОКР» предусмотрены на 2017 год – 3 423,9 млн рублей, на 2018 год – 3 467,2 млн рублей, на 2019 год – 3 516,3 млн рублей, в том числе </w:t>
      </w:r>
      <w:r>
        <w:rPr>
          <w:rFonts w:ascii="Times New Roman" w:eastAsia="Times New Roman" w:hAnsi="Times New Roman"/>
          <w:color w:val="000000" w:themeColor="text1"/>
          <w:sz w:val="28"/>
          <w:szCs w:val="28"/>
          <w:lang w:eastAsia="ru-RU"/>
        </w:rPr>
        <w:br/>
        <w:t>на выплаты по оплате труда – 3 188,7 млн рублей ежегодно.</w:t>
      </w:r>
    </w:p>
    <w:p>
      <w:pPr>
        <w:autoSpaceDE w:val="0"/>
        <w:autoSpaceDN w:val="0"/>
        <w:adjustRightInd w:val="0"/>
        <w:spacing w:after="0" w:line="360" w:lineRule="atLeast"/>
        <w:ind w:firstLine="709"/>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непрограммному направлению расходов по главе 100 «Федеральное казначейство» бюджетные ассигнования предусмотрены </w:t>
      </w:r>
      <w:r>
        <w:rPr>
          <w:rFonts w:ascii="Times New Roman" w:eastAsia="Times New Roman" w:hAnsi="Times New Roman"/>
          <w:color w:val="000000" w:themeColor="text1"/>
          <w:sz w:val="28"/>
          <w:szCs w:val="28"/>
          <w:lang w:eastAsia="ru-RU"/>
        </w:rPr>
        <w:br/>
        <w:t>на содержание специальных</w:t>
      </w:r>
      <w:r>
        <w:rPr>
          <w:rFonts w:ascii="Times New Roman" w:eastAsia="Times New Roman" w:hAnsi="Times New Roman"/>
          <w:i/>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объектов на 2017 год в размере </w:t>
      </w:r>
      <w:r>
        <w:rPr>
          <w:rFonts w:ascii="Times New Roman" w:eastAsia="Times New Roman" w:hAnsi="Times New Roman"/>
          <w:color w:val="000000" w:themeColor="text1"/>
          <w:sz w:val="28"/>
          <w:szCs w:val="28"/>
          <w:lang w:eastAsia="ru-RU"/>
        </w:rPr>
        <w:br/>
        <w:t>10,4 млн рублей, на 2018 год – 10,9 млн рублей, на 2019 год – 11,4 млн рублей.</w:t>
      </w:r>
    </w:p>
    <w:p>
      <w:pPr>
        <w:spacing w:after="0" w:line="360" w:lineRule="atLeast"/>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Кроме того, сводной бюджетной росписью федерального бюджета на 2017 финансовый год и на плановый период 2018 и 2019 годов Федеральному казначейству предусмотрены бюджетные ассигнования </w:t>
      </w:r>
      <w:r>
        <w:rPr>
          <w:rFonts w:ascii="Times New Roman" w:eastAsia="Times New Roman" w:hAnsi="Times New Roman"/>
          <w:color w:val="000000" w:themeColor="text1"/>
          <w:sz w:val="28"/>
          <w:szCs w:val="28"/>
          <w:lang w:eastAsia="ru-RU"/>
        </w:rPr>
        <w:br/>
        <w:t>на осуществление операций по компенсационным выплатам по вкладам (взносам) в организациях государственного страхования (ПАО «Российская государственная страховая компания» и обществах системы Росгосстраха)» на сумму 500,0 млн рублей ежегодно.</w:t>
      </w:r>
    </w:p>
    <w:p>
      <w:pPr>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5.4.2. Профилактика коррупционных и иных правонарушений</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С целью совершенствования деятельности Федерального казначейства в сфере профилактики коррупционных и иных правонарушений основными направлениями деятельности Федерального казначейства в данной сфере на среднесрочную перспективу являются:</w:t>
      </w:r>
    </w:p>
    <w:p>
      <w:pPr>
        <w:spacing w:after="0" w:line="360" w:lineRule="atLeast"/>
        <w:ind w:firstLine="709"/>
        <w:jc w:val="both"/>
        <w:rPr>
          <w:rFonts w:ascii="Times New Roman" w:hAnsi="Times New Roman"/>
          <w:color w:val="000000" w:themeColor="text1"/>
          <w:spacing w:val="3"/>
          <w:sz w:val="28"/>
          <w:szCs w:val="28"/>
        </w:rPr>
      </w:pPr>
      <w:r>
        <w:rPr>
          <w:rFonts w:ascii="Times New Roman" w:hAnsi="Times New Roman"/>
          <w:color w:val="000000" w:themeColor="text1"/>
          <w:spacing w:val="3"/>
          <w:sz w:val="28"/>
          <w:szCs w:val="28"/>
        </w:rPr>
        <w:lastRenderedPageBreak/>
        <w:t>– повышение эффективности деятельности Федерального казначейства по противодействию коррупции,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pacing w:val="3"/>
          <w:sz w:val="28"/>
          <w:szCs w:val="28"/>
        </w:rPr>
        <w:t>– </w:t>
      </w:r>
      <w:r>
        <w:rPr>
          <w:rFonts w:ascii="Times New Roman" w:hAnsi="Times New Roman"/>
          <w:color w:val="000000" w:themeColor="text1"/>
          <w:spacing w:val="-2"/>
          <w:sz w:val="28"/>
          <w:szCs w:val="28"/>
        </w:rPr>
        <w:t xml:space="preserve">обеспечение </w:t>
      </w:r>
      <w:r>
        <w:rPr>
          <w:rFonts w:ascii="Times New Roman" w:hAnsi="Times New Roman"/>
          <w:color w:val="000000" w:themeColor="text1"/>
          <w:sz w:val="28"/>
          <w:szCs w:val="28"/>
        </w:rPr>
        <w:t xml:space="preserve">соблюдения государственными гражданскими служащими Федерального казначейства ограничений и запретов, требований о предотвращении или урегулировании конфликта интересов, исполнения ими обязанностей, установленных законодательством Российской Федерации о противодействии коррупции,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расширение системы правового просвещения федеральных государственных гражданских служащих Федерального казначейства, </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дальнейшее развитие правовой основы Федерального казначейства </w:t>
      </w:r>
      <w:r>
        <w:rPr>
          <w:rFonts w:ascii="Times New Roman" w:hAnsi="Times New Roman"/>
          <w:color w:val="000000" w:themeColor="text1"/>
          <w:sz w:val="28"/>
          <w:szCs w:val="28"/>
        </w:rPr>
        <w:br/>
        <w:t>в сфере противодействия коррупции в соответствии с законодательством Российской Федерации,</w:t>
      </w:r>
    </w:p>
    <w:p>
      <w:pPr>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повышение значимости комиссий по соблюдению требований </w:t>
      </w:r>
      <w:r>
        <w:rPr>
          <w:rFonts w:ascii="Times New Roman" w:hAnsi="Times New Roman"/>
          <w:color w:val="000000" w:themeColor="text1"/>
          <w:sz w:val="28"/>
          <w:szCs w:val="28"/>
        </w:rPr>
        <w:br/>
        <w:t>к служебному поведению федеральными государственными гражданскими служащими Федерального казначейства и урегулированию конфликта интересов.</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5.4.3. Оптимизация структуры территориальных органов Федерального казначейства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Проведение мероприятий, направленных на продолжение оптимизации штатной численности, структуры и имущественного комплекса ТОФК, включающие в себя следующие этапы:</w:t>
      </w:r>
    </w:p>
    <w:p>
      <w:pPr>
        <w:tabs>
          <w:tab w:val="left" w:pos="840"/>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сокращение количества отделов, созданных для осуществления функций УФК на соответствующей территории;</w:t>
      </w:r>
    </w:p>
    <w:p>
      <w:pPr>
        <w:tabs>
          <w:tab w:val="left" w:pos="840"/>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усовершенствование организационно-штатной структуры и функций структурных подразделений ТОФК, в том числе с учетом передачи </w:t>
      </w:r>
      <w:r>
        <w:rPr>
          <w:rFonts w:ascii="Times New Roman" w:eastAsia="Times New Roman" w:hAnsi="Times New Roman"/>
          <w:color w:val="000000" w:themeColor="text1"/>
          <w:sz w:val="28"/>
          <w:szCs w:val="28"/>
          <w:lang w:eastAsia="ru-RU"/>
        </w:rPr>
        <w:br/>
        <w:t xml:space="preserve">с 2017 года обеспечивающих функций (эксплуатация отдельных </w:t>
      </w:r>
      <w:r>
        <w:rPr>
          <w:rFonts w:ascii="Times New Roman" w:eastAsia="Times New Roman" w:hAnsi="Times New Roman"/>
          <w:color w:val="000000" w:themeColor="text1"/>
          <w:sz w:val="28"/>
          <w:szCs w:val="28"/>
          <w:lang w:val="en-US" w:eastAsia="ru-RU"/>
        </w:rPr>
        <w:t>IT</w:t>
      </w:r>
      <w:r>
        <w:rPr>
          <w:rFonts w:ascii="Times New Roman" w:eastAsia="Times New Roman" w:hAnsi="Times New Roman"/>
          <w:color w:val="000000" w:themeColor="text1"/>
          <w:sz w:val="28"/>
          <w:szCs w:val="28"/>
          <w:lang w:eastAsia="ru-RU"/>
        </w:rPr>
        <w:t>-сервисов, финансовое обеспечение по главе 100 «Федеральное казначейство», контрактная служба) на исполнение ФКУ «ЦОКР»;</w:t>
      </w:r>
    </w:p>
    <w:p>
      <w:pPr>
        <w:tabs>
          <w:tab w:val="left" w:pos="840"/>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сокращение объема средств, затрачиваемых на содержание имущественного комплекса ТОФК.</w:t>
      </w:r>
    </w:p>
    <w:p>
      <w:pPr>
        <w:pageBreakBefore/>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5.4.4. Международное сотрудничество</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в сфере международной деятельности предполагается дальнейшее расширение географии взаимодействия Федерального казначейства с зарубежными партнерами в соответствии с рекомендациями МИД России. Как ожидается, будет заключен ряд Меморандумов </w:t>
      </w:r>
      <w:r>
        <w:rPr>
          <w:rFonts w:ascii="Times New Roman" w:eastAsia="Times New Roman" w:hAnsi="Times New Roman"/>
          <w:color w:val="000000" w:themeColor="text1"/>
          <w:sz w:val="28"/>
          <w:szCs w:val="28"/>
          <w:lang w:eastAsia="ru-RU"/>
        </w:rPr>
        <w:br/>
        <w:t xml:space="preserve">о техническом сотрудничестве между Федеральным казначейством </w:t>
      </w:r>
      <w:r>
        <w:rPr>
          <w:rFonts w:ascii="Times New Roman" w:eastAsia="Times New Roman" w:hAnsi="Times New Roman"/>
          <w:color w:val="000000" w:themeColor="text1"/>
          <w:sz w:val="28"/>
          <w:szCs w:val="28"/>
          <w:lang w:eastAsia="ru-RU"/>
        </w:rPr>
        <w:br/>
        <w:t xml:space="preserve">и казначейскими структурами таких стран как Киргизия, Вьетнам, Лаос, </w:t>
      </w:r>
      <w:r>
        <w:rPr>
          <w:rFonts w:ascii="Times New Roman" w:eastAsia="Times New Roman" w:hAnsi="Times New Roman"/>
          <w:color w:val="000000" w:themeColor="text1"/>
          <w:sz w:val="28"/>
          <w:szCs w:val="28"/>
          <w:lang w:eastAsia="ru-RU"/>
        </w:rPr>
        <w:br/>
        <w:t>а также возобновлен Меморандум с Республикой Индонезия. Следует отметить, что указанные Соглашения будут заключаться бессрочными.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Будет продолжено активное участие в работе международных финансовых организаций – партнеров Федерального казначейства, таких как Азиатско-Тихоокеанское экономическое сотрудничество, </w:t>
      </w:r>
      <w:r>
        <w:rPr>
          <w:rFonts w:ascii="Times New Roman" w:eastAsia="Times New Roman" w:hAnsi="Times New Roman"/>
          <w:color w:val="000000" w:themeColor="text1"/>
          <w:sz w:val="28"/>
          <w:szCs w:val="28"/>
          <w:lang w:val="en-US" w:eastAsia="ru-RU"/>
        </w:rPr>
        <w:t>PEMPAL</w:t>
      </w:r>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val="en-US" w:eastAsia="ru-RU"/>
        </w:rPr>
        <w:t>PEMNA</w:t>
      </w:r>
      <w:r>
        <w:rPr>
          <w:rFonts w:ascii="Times New Roman" w:eastAsia="Times New Roman" w:hAnsi="Times New Roman"/>
          <w:color w:val="000000" w:themeColor="text1"/>
          <w:sz w:val="28"/>
          <w:szCs w:val="28"/>
          <w:lang w:eastAsia="ru-RU"/>
        </w:rPr>
        <w:t xml:space="preserve">, Международный Валютный Фонд и Всемирный банк. Федеральное казначейство ведет регулярную деловую переписку </w:t>
      </w:r>
      <w:r>
        <w:rPr>
          <w:rFonts w:ascii="Times New Roman" w:eastAsia="Times New Roman" w:hAnsi="Times New Roman"/>
          <w:color w:val="000000" w:themeColor="text1"/>
          <w:sz w:val="28"/>
          <w:szCs w:val="28"/>
          <w:lang w:eastAsia="ru-RU"/>
        </w:rPr>
        <w:br/>
        <w:t>с представителями вышеуказанных организаций, оперативно получая актуальную информацию о проводимых мероприятиях. В случае необходимости и по указанию руководства Федерального казначейства обеспечивается организация выезда за рубеж сотрудников Федерального казначейства для представления Российской Федерации на международных мероприятиях либо осуществляется их участие в указанных мероприятиях, проводимых на территории Российской Федерации.</w:t>
      </w:r>
    </w:p>
    <w:p>
      <w:pPr>
        <w:tabs>
          <w:tab w:val="left" w:pos="840"/>
        </w:tabs>
        <w:spacing w:after="0" w:line="360" w:lineRule="atLeast"/>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Для достижения наиболее успешных результатов сотрудники Федерального казначейства также будут направляться на стажировки </w:t>
      </w:r>
      <w:r>
        <w:rPr>
          <w:rFonts w:ascii="Times New Roman" w:eastAsia="Times New Roman" w:hAnsi="Times New Roman"/>
          <w:color w:val="000000" w:themeColor="text1"/>
          <w:sz w:val="28"/>
          <w:szCs w:val="28"/>
          <w:lang w:eastAsia="ru-RU"/>
        </w:rPr>
        <w:br/>
        <w:t>с целью обучения инновациям в области экономики и финансов, дальнейшей их переработки и применения в системе Федерального казначейства.</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t>5.4.5. Информационная поддержка деятельности Федерального казначейства и взаимодействие со СМИ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Федеральное казначейство стремится к повышению доступности </w:t>
      </w:r>
      <w:r>
        <w:rPr>
          <w:rFonts w:ascii="Times New Roman" w:eastAsia="Times New Roman" w:hAnsi="Times New Roman"/>
          <w:color w:val="000000" w:themeColor="text1"/>
          <w:sz w:val="28"/>
          <w:szCs w:val="28"/>
          <w:lang w:eastAsia="ru-RU"/>
        </w:rPr>
        <w:br/>
        <w:t xml:space="preserve">и прозрачности информации о своей деятельности. Это определяет направленность ведомства на комплексное повышение качества Официального сайта </w:t>
      </w:r>
      <w:hyperlink r:id="rId229" w:history="1">
        <w:r>
          <w:rPr>
            <w:rFonts w:ascii="Times New Roman" w:eastAsia="Times New Roman" w:hAnsi="Times New Roman"/>
            <w:color w:val="000000" w:themeColor="text1"/>
            <w:sz w:val="28"/>
            <w:szCs w:val="28"/>
            <w:lang w:eastAsia="ru-RU"/>
          </w:rPr>
          <w:t>www.roskazna.</w:t>
        </w:r>
        <w:proofErr w:type="spellStart"/>
        <w:r>
          <w:rPr>
            <w:rFonts w:ascii="Times New Roman" w:eastAsia="Times New Roman" w:hAnsi="Times New Roman"/>
            <w:color w:val="000000" w:themeColor="text1"/>
            <w:sz w:val="28"/>
            <w:szCs w:val="28"/>
            <w:lang w:val="en-US" w:eastAsia="ru-RU"/>
          </w:rPr>
          <w:t>ru</w:t>
        </w:r>
        <w:proofErr w:type="spellEnd"/>
      </w:hyperlink>
      <w:r>
        <w:rPr>
          <w:rFonts w:ascii="Times New Roman" w:eastAsia="Times New Roman" w:hAnsi="Times New Roman"/>
          <w:color w:val="000000" w:themeColor="text1"/>
          <w:sz w:val="28"/>
          <w:szCs w:val="28"/>
          <w:lang w:eastAsia="ru-RU"/>
        </w:rPr>
        <w:t xml:space="preserve">, работа которого построена </w:t>
      </w:r>
      <w:r>
        <w:rPr>
          <w:rFonts w:ascii="Times New Roman" w:eastAsia="Times New Roman" w:hAnsi="Times New Roman"/>
          <w:color w:val="000000" w:themeColor="text1"/>
          <w:sz w:val="28"/>
          <w:szCs w:val="28"/>
          <w:lang w:eastAsia="ru-RU"/>
        </w:rPr>
        <w:br/>
        <w:t xml:space="preserve">на принципе информационной открытости. </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2017 году в части взаимодействия с представителями СМИ запланировано проведения ряда мероприятий, способствующих формированию позитивного имиджа казначейской системы </w:t>
      </w:r>
      <w:r>
        <w:rPr>
          <w:rFonts w:ascii="Times New Roman" w:eastAsia="Times New Roman" w:hAnsi="Times New Roman"/>
          <w:color w:val="000000" w:themeColor="text1"/>
          <w:sz w:val="28"/>
          <w:szCs w:val="28"/>
          <w:lang w:eastAsia="ru-RU"/>
        </w:rPr>
        <w:br/>
        <w:t xml:space="preserve">и ее сотрудников. Реализация указанных мероприятий будет способствовать формированию объективной оценки работы Федерального казначейства </w:t>
      </w:r>
      <w:r>
        <w:rPr>
          <w:rFonts w:ascii="Times New Roman" w:eastAsia="Times New Roman" w:hAnsi="Times New Roman"/>
          <w:color w:val="000000" w:themeColor="text1"/>
          <w:sz w:val="28"/>
          <w:szCs w:val="28"/>
          <w:lang w:eastAsia="ru-RU"/>
        </w:rPr>
        <w:br/>
        <w:t xml:space="preserve">в области кредитования, ведения информационных систем, </w:t>
      </w:r>
      <w:r>
        <w:rPr>
          <w:rFonts w:ascii="Times New Roman" w:eastAsia="Times New Roman" w:hAnsi="Times New Roman"/>
          <w:color w:val="000000" w:themeColor="text1"/>
          <w:sz w:val="28"/>
          <w:szCs w:val="28"/>
          <w:lang w:eastAsia="ru-RU"/>
        </w:rPr>
        <w:lastRenderedPageBreak/>
        <w:t>распространению достоверной информации о деятельности Казначейства России и его территориальных органов, а также разъяснений государственной политики в сфере исполнения государственных финансов.</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Для реализации поставленных целей и задач планируется проведение следующих мероприятий:</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1. Повышение активности работы со СМИ – встречи с журналистами, проведение интервью, подготовка комментариев по наиболее актуальным темам, ответов на запросы о деятельности Федерального казначейства </w:t>
      </w:r>
      <w:r>
        <w:rPr>
          <w:rFonts w:ascii="Times New Roman" w:eastAsia="Times New Roman" w:hAnsi="Times New Roman"/>
          <w:color w:val="000000" w:themeColor="text1"/>
          <w:sz w:val="28"/>
          <w:szCs w:val="28"/>
          <w:lang w:eastAsia="ru-RU"/>
        </w:rPr>
        <w:br/>
        <w:t>и его территориальных органов.</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2. Осуществление пресс-мониторингов (подбор и анализ материалов </w:t>
      </w:r>
      <w:r>
        <w:rPr>
          <w:rFonts w:ascii="Times New Roman" w:eastAsia="Times New Roman" w:hAnsi="Times New Roman"/>
          <w:color w:val="000000" w:themeColor="text1"/>
          <w:sz w:val="28"/>
          <w:szCs w:val="28"/>
          <w:lang w:eastAsia="ru-RU"/>
        </w:rPr>
        <w:br/>
        <w:t>в СМИ о Федеральном казначействе), контент-анализ прессы (где, кем и как часто упоминается о деятельности казначейской системы, в каком контексте), подготовка регулярных отчетов о публикациях в СМИ, качество которых зависит от объема выборки и оперативности предоставления материалов. Для этого, начиная с 2017 года, Федеральное казначейство планирует продолжить сотрудничество с информационно-аналитической системой «</w:t>
      </w:r>
      <w:proofErr w:type="spellStart"/>
      <w:r>
        <w:rPr>
          <w:rFonts w:ascii="Times New Roman" w:eastAsia="Times New Roman" w:hAnsi="Times New Roman"/>
          <w:color w:val="000000" w:themeColor="text1"/>
          <w:sz w:val="28"/>
          <w:szCs w:val="28"/>
          <w:lang w:eastAsia="ru-RU"/>
        </w:rPr>
        <w:t>Медиалогия</w:t>
      </w:r>
      <w:proofErr w:type="spellEnd"/>
      <w:r>
        <w:rPr>
          <w:rFonts w:ascii="Times New Roman" w:eastAsia="Times New Roman" w:hAnsi="Times New Roman"/>
          <w:color w:val="000000" w:themeColor="text1"/>
          <w:sz w:val="28"/>
          <w:szCs w:val="28"/>
          <w:lang w:eastAsia="ru-RU"/>
        </w:rPr>
        <w:t>».</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3. Предусмотреть возможность проведения корпоративных мероприятий с участием прессы.</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4. Подготовка фото-, аудио- и видео-релизов, их распространение </w:t>
      </w:r>
      <w:r>
        <w:rPr>
          <w:rFonts w:ascii="Times New Roman" w:eastAsia="Times New Roman" w:hAnsi="Times New Roman"/>
          <w:color w:val="000000" w:themeColor="text1"/>
          <w:sz w:val="28"/>
          <w:szCs w:val="28"/>
          <w:lang w:eastAsia="ru-RU"/>
        </w:rPr>
        <w:br/>
        <w:t>и подготовка публикаций в СМИ.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5. Активное привлечение отраслевых СМИ к освещению деятельности Федерального казначейства. Итоговая цель – создание собственного пула Федерального казначейства. В настоящий момент </w:t>
      </w:r>
      <w:r>
        <w:rPr>
          <w:rFonts w:ascii="Times New Roman" w:eastAsia="Times New Roman" w:hAnsi="Times New Roman"/>
          <w:color w:val="000000" w:themeColor="text1"/>
          <w:sz w:val="28"/>
          <w:szCs w:val="28"/>
          <w:lang w:eastAsia="ru-RU"/>
        </w:rPr>
        <w:br/>
        <w:t>все крупные и значимые мероприятия Федерального казначейства обеспечены в том числе и информационной поддержкой пула Министерства финансов Российской Федерации (при содействии пресс-службы Минфина России).</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6. Дальнейшее развитие </w:t>
      </w:r>
      <w:r>
        <w:rPr>
          <w:rFonts w:ascii="Times New Roman" w:hAnsi="Times New Roman"/>
          <w:color w:val="000000" w:themeColor="text1"/>
          <w:sz w:val="28"/>
          <w:szCs w:val="28"/>
        </w:rPr>
        <w:t xml:space="preserve">Официального сайта </w:t>
      </w:r>
      <w:hyperlink r:id="rId230" w:history="1">
        <w:r>
          <w:rPr>
            <w:rFonts w:ascii="Times New Roman" w:hAnsi="Times New Roman"/>
            <w:color w:val="000000" w:themeColor="text1"/>
            <w:sz w:val="28"/>
            <w:szCs w:val="28"/>
          </w:rPr>
          <w:t>www.roskazna.ru</w:t>
        </w:r>
      </w:hyperlink>
      <w:r>
        <w:rPr>
          <w:rFonts w:ascii="Times New Roman" w:eastAsia="Times New Roman" w:hAnsi="Times New Roman"/>
          <w:color w:val="000000" w:themeColor="text1"/>
          <w:sz w:val="28"/>
          <w:szCs w:val="28"/>
          <w:lang w:eastAsia="ru-RU"/>
        </w:rPr>
        <w:t xml:space="preserve"> как официального достоверного источника информации о деятельности Федерального казначейства.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7. Организация и проведение интересных и доступных для населения лекций об основных направлениях деятельности Федерального казначейств, его роли в структуре органов государственной власти.</w:t>
      </w:r>
    </w:p>
    <w:p>
      <w:pPr>
        <w:tabs>
          <w:tab w:val="left" w:pos="840"/>
        </w:tabs>
        <w:spacing w:after="0" w:line="360" w:lineRule="atLeast"/>
        <w:ind w:firstLine="720"/>
        <w:jc w:val="both"/>
        <w:rPr>
          <w:rFonts w:ascii="Times New Roman" w:eastAsia="Times New Roman" w:hAnsi="Times New Roman"/>
          <w:b/>
          <w:color w:val="000000" w:themeColor="text1"/>
          <w:sz w:val="28"/>
          <w:szCs w:val="28"/>
          <w:lang w:eastAsia="ru-RU"/>
        </w:rPr>
      </w:pPr>
      <w:r>
        <w:rPr>
          <w:rFonts w:ascii="Times New Roman" w:eastAsia="Times New Roman" w:hAnsi="Times New Roman"/>
          <w:color w:val="000000" w:themeColor="text1"/>
          <w:sz w:val="28"/>
          <w:szCs w:val="28"/>
          <w:lang w:eastAsia="ru-RU"/>
        </w:rPr>
        <w:t>Также представляются эффективными альтернативные методы, такие, как создание социальных реклам, видеороликов, которые повысят финансовую грамотность населения, дадут им уверенность в защите казной, казначейством.</w:t>
      </w:r>
    </w:p>
    <w:p>
      <w:pPr>
        <w:tabs>
          <w:tab w:val="left" w:pos="840"/>
        </w:tabs>
        <w:spacing w:before="120" w:after="120" w:line="240" w:lineRule="auto"/>
        <w:ind w:firstLine="709"/>
        <w:jc w:val="both"/>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5.4.6. Совершенствование организации деятельности Федерального казначейства</w:t>
      </w:r>
    </w:p>
    <w:p>
      <w:pPr>
        <w:tabs>
          <w:tab w:val="left" w:pos="840"/>
        </w:tabs>
        <w:spacing w:after="0" w:line="360" w:lineRule="atLeast"/>
        <w:ind w:firstLine="720"/>
        <w:jc w:val="both"/>
        <w:rPr>
          <w:rFonts w:ascii="Times New Roman" w:eastAsia="Times New Roman" w:hAnsi="Times New Roman"/>
          <w:b/>
          <w:color w:val="000000" w:themeColor="text1"/>
          <w:sz w:val="28"/>
          <w:szCs w:val="28"/>
          <w:lang w:eastAsia="ru-RU"/>
        </w:rPr>
      </w:pPr>
      <w:r>
        <w:rPr>
          <w:rFonts w:ascii="Times New Roman" w:eastAsia="Times New Roman" w:hAnsi="Times New Roman"/>
          <w:color w:val="000000" w:themeColor="text1"/>
          <w:sz w:val="28"/>
          <w:szCs w:val="28"/>
          <w:lang w:eastAsia="ru-RU"/>
        </w:rPr>
        <w:t>1. Обеспечение функционирования в полном объеме в рамках переданных полномочий ТОФК через ФКУ «ЦОКР».</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2. Организация работы в головном учреждении, 9 Межрегиональных филиалах, 2 филиалах по обеспечению функционирования ТОФК. Организация работы по начислению и выплате заработной платы: сотрудникам ЦАФК, ТОФК, работникам филиалов в отделах централизованного начисления оплаты труда и других выплат головного учреждения, филиалов.</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4. Создание и организация работы отделов ФКУ «ЦОКР» </w:t>
      </w:r>
      <w:r>
        <w:rPr>
          <w:rFonts w:ascii="Times New Roman" w:eastAsia="Times New Roman" w:hAnsi="Times New Roman"/>
          <w:color w:val="000000" w:themeColor="text1"/>
          <w:sz w:val="28"/>
          <w:szCs w:val="28"/>
          <w:lang w:eastAsia="ru-RU"/>
        </w:rPr>
        <w:br/>
        <w:t>для проведения обеспечения экспертиз в целях реализации контрольных полномочий Федерального казначейства (проектно-сметной документации, объемов выполненных работ, материаловедческой).</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5. Организация защиты (охраны) территориальных отделов </w:t>
      </w:r>
      <w:r>
        <w:rPr>
          <w:rFonts w:ascii="Times New Roman" w:eastAsia="Times New Roman" w:hAnsi="Times New Roman"/>
          <w:color w:val="000000" w:themeColor="text1"/>
          <w:sz w:val="28"/>
          <w:szCs w:val="28"/>
          <w:lang w:eastAsia="ru-RU"/>
        </w:rPr>
        <w:br/>
        <w:t>и удаленных рабочих мест ТОФК.</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6. Организация работы, связанной с передачей автотранспортных средств и иного парко-хозяйственного имущества ТОФК на баланс ФКУ «ЦОКР».</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7. Разработка и утверждение НПА по обслуживанию функции административно-хозяйственного обеспечения Федерального казначейства, ТОФК в ФКУ «ЦОКР»:</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Регламент взаимодействия территориальных органов Федерального казначейства и федерального казенного учреждения «Центр </w:t>
      </w:r>
      <w:r>
        <w:rPr>
          <w:rFonts w:ascii="Times New Roman" w:eastAsia="Times New Roman" w:hAnsi="Times New Roman"/>
          <w:color w:val="000000" w:themeColor="text1"/>
          <w:sz w:val="28"/>
          <w:szCs w:val="28"/>
          <w:lang w:eastAsia="ru-RU"/>
        </w:rPr>
        <w:br/>
        <w:t xml:space="preserve">по обеспечению деятельности Казначейства России» (филиала) </w:t>
      </w:r>
      <w:r>
        <w:rPr>
          <w:rFonts w:ascii="Times New Roman" w:eastAsia="Times New Roman" w:hAnsi="Times New Roman"/>
          <w:color w:val="000000" w:themeColor="text1"/>
          <w:sz w:val="28"/>
          <w:szCs w:val="28"/>
          <w:lang w:eastAsia="ru-RU"/>
        </w:rPr>
        <w:br/>
        <w:t xml:space="preserve">при осуществлении федеральным казенным учреждением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 (филиалом) полномочий по планированию и осуществлению закупок товаров, работ, услуг для нужд ТОФК;</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внесение изменений в приказ ФКУ «ЦОКР» от 30 июня 2015 г. № 48 «Об утверждении Показателей оценки результативности деятельности структурных подразделений Федерального казенного учреждения «Центр по обеспечению деятельности Казначейства России» и Порядка </w:t>
      </w:r>
      <w:r>
        <w:rPr>
          <w:rFonts w:ascii="Times New Roman" w:eastAsia="Times New Roman" w:hAnsi="Times New Roman"/>
          <w:color w:val="000000" w:themeColor="text1"/>
          <w:sz w:val="28"/>
          <w:szCs w:val="28"/>
          <w:lang w:eastAsia="ru-RU"/>
        </w:rPr>
        <w:br/>
        <w:t xml:space="preserve">их формирования» (в связи с созданием отделов по обеспечению услугами </w:t>
      </w:r>
      <w:r>
        <w:rPr>
          <w:rFonts w:ascii="Times New Roman" w:eastAsia="Times New Roman" w:hAnsi="Times New Roman"/>
          <w:color w:val="000000" w:themeColor="text1"/>
          <w:sz w:val="28"/>
          <w:szCs w:val="28"/>
          <w:lang w:eastAsia="ru-RU"/>
        </w:rPr>
        <w:br/>
        <w:t>в области информационных технологий и отдела охраны труда);</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внесение изменений в приказ ФКУ «ЦОКР» от 31 декабря 2014 г. № 166 «Об утверждении Регламента взаимодействия Федерального казенного учреждения «Центр по обеспечению деятельности Казначейства </w:t>
      </w:r>
      <w:r>
        <w:rPr>
          <w:rFonts w:ascii="Times New Roman" w:eastAsia="Times New Roman" w:hAnsi="Times New Roman"/>
          <w:color w:val="000000" w:themeColor="text1"/>
          <w:sz w:val="28"/>
          <w:szCs w:val="28"/>
          <w:lang w:eastAsia="ru-RU"/>
        </w:rPr>
        <w:lastRenderedPageBreak/>
        <w:t xml:space="preserve">России» и филиалов Федерального казенного учреждения «Центр </w:t>
      </w:r>
      <w:r>
        <w:rPr>
          <w:rFonts w:ascii="Times New Roman" w:eastAsia="Times New Roman" w:hAnsi="Times New Roman"/>
          <w:color w:val="000000" w:themeColor="text1"/>
          <w:sz w:val="28"/>
          <w:szCs w:val="28"/>
          <w:lang w:eastAsia="ru-RU"/>
        </w:rPr>
        <w:br/>
        <w:t>по обеспечению деятельности Казначейства России».</w:t>
      </w:r>
    </w:p>
    <w:p>
      <w:pPr>
        <w:tabs>
          <w:tab w:val="left" w:pos="840"/>
        </w:tabs>
        <w:spacing w:after="0" w:line="360"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Обеспечение функционирования контрактной службы </w:t>
      </w:r>
      <w:r>
        <w:rPr>
          <w:rFonts w:ascii="Times New Roman" w:hAnsi="Times New Roman"/>
          <w:color w:val="000000" w:themeColor="text1"/>
          <w:sz w:val="28"/>
          <w:szCs w:val="28"/>
        </w:rPr>
        <w:br/>
        <w:t>по осуществлению закупок в ФКУ «ЦОКР» в 2017 году.</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Создание отделов внутреннего контроля и аудита в Межрегиональных филиалах ФКУ «ЦОКР» и организация их работы.</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Анализ внутреннего контроля и оценки результативности деятельности структурных подразделений ФКУ «ЦОКР».</w:t>
      </w:r>
    </w:p>
    <w:p>
      <w:pPr>
        <w:tabs>
          <w:tab w:val="left" w:pos="840"/>
        </w:tabs>
        <w:spacing w:after="0" w:line="360" w:lineRule="atLeast"/>
        <w:ind w:firstLine="720"/>
        <w:jc w:val="both"/>
        <w:rPr>
          <w:rFonts w:ascii="Times New Roman" w:eastAsia="Times New Roman" w:hAnsi="Times New Roman"/>
          <w:b/>
          <w:color w:val="000000" w:themeColor="text1"/>
          <w:sz w:val="28"/>
          <w:szCs w:val="28"/>
          <w:lang w:eastAsia="ru-RU"/>
        </w:rPr>
      </w:pPr>
      <w:r>
        <w:rPr>
          <w:rFonts w:ascii="Times New Roman" w:eastAsia="Times New Roman" w:hAnsi="Times New Roman"/>
          <w:color w:val="000000" w:themeColor="text1"/>
          <w:sz w:val="28"/>
          <w:szCs w:val="28"/>
          <w:lang w:eastAsia="ru-RU"/>
        </w:rPr>
        <w:t>Обеспечение мониторинга оценки результативности деятельности директора ФКУ «ЦОКР».</w:t>
      </w:r>
    </w:p>
    <w:p>
      <w:pPr>
        <w:tabs>
          <w:tab w:val="left" w:pos="840"/>
        </w:tabs>
        <w:spacing w:after="0" w:line="360" w:lineRule="atLeast"/>
        <w:ind w:firstLine="72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Проведение 11 проверок структурных подразделений согласно Годовому плану внутреннего контроля и внутреннего аудита ФКУ «ЦОКР».</w:t>
      </w:r>
    </w:p>
    <w:sectPr>
      <w:pgSz w:w="11906" w:h="16838" w:code="9"/>
      <w:pgMar w:top="1418" w:right="992" w:bottom="993"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Open Sans Condensed Light">
    <w:altName w:val="Times New Roman"/>
    <w:panose1 w:val="00000000000000000000"/>
    <w:charset w:val="00"/>
    <w:family w:val="roman"/>
    <w:notTrueType/>
    <w:pitch w:val="default"/>
  </w:font>
  <w:font w:name="Open Sans Condensed">
    <w:altName w:val="Times New Roman"/>
    <w:panose1 w:val="00000000000000000000"/>
    <w:charset w:val="00"/>
    <w:family w:val="roman"/>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line="240" w:lineRule="auto"/>
      </w:pPr>
      <w:r>
        <w:separator/>
      </w:r>
    </w:p>
  </w:footnote>
  <w:footnote w:type="continuationSeparator" w:id="0">
    <w:p>
      <w:pPr>
        <w:spacing w:after="0" w:line="240" w:lineRule="auto"/>
      </w:pPr>
      <w:r>
        <w:continuationSeparator/>
      </w:r>
    </w:p>
  </w:footnote>
  <w:footnote w:id="1">
    <w:p>
      <w:pPr>
        <w:spacing w:after="0" w:line="240" w:lineRule="auto"/>
        <w:jc w:val="both"/>
        <w:rPr>
          <w:rFonts w:ascii="Times New Roman" w:hAnsi="Times New Roman"/>
          <w:sz w:val="24"/>
          <w:szCs w:val="24"/>
        </w:rPr>
      </w:pPr>
      <w:r>
        <w:rPr>
          <w:rFonts w:ascii="Times New Roman" w:hAnsi="Times New Roman"/>
          <w:sz w:val="24"/>
          <w:szCs w:val="24"/>
          <w:vertAlign w:val="superscript"/>
        </w:rPr>
        <w:sym w:font="Symbol" w:char="F02A"/>
      </w:r>
      <w:r>
        <w:rPr>
          <w:rFonts w:ascii="Times New Roman" w:hAnsi="Times New Roman"/>
          <w:sz w:val="24"/>
          <w:szCs w:val="24"/>
        </w:rPr>
        <w:t> Информация приведена по состоянию на 1 июля 2016 года.</w:t>
      </w:r>
    </w:p>
  </w:footnote>
  <w:footnote w:id="2">
    <w:p>
      <w:pPr>
        <w:spacing w:after="0" w:line="240" w:lineRule="auto"/>
        <w:jc w:val="both"/>
        <w:rPr>
          <w:rFonts w:ascii="Times New Roman" w:hAnsi="Times New Roman"/>
          <w:sz w:val="24"/>
          <w:szCs w:val="24"/>
        </w:rPr>
      </w:pPr>
      <w:r>
        <w:rPr>
          <w:rFonts w:ascii="Times New Roman" w:hAnsi="Times New Roman"/>
          <w:sz w:val="24"/>
          <w:szCs w:val="24"/>
          <w:vertAlign w:val="superscript"/>
        </w:rPr>
        <w:sym w:font="Symbol" w:char="F02A"/>
      </w:r>
      <w:r>
        <w:rPr>
          <w:rFonts w:ascii="Times New Roman" w:hAnsi="Times New Roman"/>
          <w:sz w:val="24"/>
          <w:szCs w:val="24"/>
        </w:rPr>
        <w:t> Информация приведена по состоянию на 1 июля 2016 года.</w:t>
      </w:r>
    </w:p>
  </w:footnote>
  <w:footnote w:id="3">
    <w:p>
      <w:pPr>
        <w:pStyle w:val="af1"/>
        <w:jc w:val="both"/>
      </w:pPr>
      <w:r>
        <w:rPr>
          <w:rStyle w:val="af3"/>
          <w:sz w:val="18"/>
          <w:szCs w:val="18"/>
        </w:rPr>
        <w:sym w:font="Symbol" w:char="F02A"/>
      </w:r>
      <w:r>
        <w:t xml:space="preserve"> В соответствии с указами Президента Российской Федерации от 21 июля 2015 г. № 373 «О некоторых вопросах государственного управления и контроля в сфере антимонопольного и тарифного регулирования», от 15 июля 2015 г. № 368 «Об упразднении Министерства Российской Федерации</w:t>
      </w:r>
      <w:r>
        <w:br/>
        <w:t>по делам Крыма и Государственной комиссии по вопросам социально-экономического развития Республики Крым и г. Севастополя»,</w:t>
      </w:r>
      <w:r>
        <w:rPr>
          <w:rFonts w:eastAsia="Calibri"/>
          <w:lang w:eastAsia="en-US"/>
        </w:rPr>
        <w:t xml:space="preserve"> </w:t>
      </w:r>
      <w:r>
        <w:t>от 2 февраля 2016 г. № 40 «Об упразднении Федерального агентства по обустройству государственной границы Российской Федерации», распоряжением Правительства Российской Федерации от 29 февраля 2016 г. № 325-р «О реорганизации федеральных государственных бюджетных учреждений в форме присоединения к федеральному государственному бюджетному учреждению «Российский фонд фундаментальных исследований» федерального государственного бюджетного учреждения «Российский гуманитарный научный фонд»» упразднены:</w:t>
      </w:r>
    </w:p>
    <w:p>
      <w:pPr>
        <w:pStyle w:val="af1"/>
        <w:jc w:val="both"/>
      </w:pPr>
      <w:r>
        <w:t>– Министерство Российской Федерации по делам Крыма (глава 340);</w:t>
      </w:r>
    </w:p>
    <w:p>
      <w:pPr>
        <w:pStyle w:val="af1"/>
        <w:jc w:val="both"/>
      </w:pPr>
      <w:r>
        <w:t>– Федеральная служба по тарифам (глава 307);</w:t>
      </w:r>
    </w:p>
    <w:p>
      <w:pPr>
        <w:pStyle w:val="af1"/>
        <w:jc w:val="both"/>
      </w:pPr>
      <w:r>
        <w:t>– Федеральное агентство по обустройству государственной границы Российской Федерации (глава 260);</w:t>
      </w:r>
    </w:p>
    <w:p>
      <w:pPr>
        <w:pStyle w:val="af1"/>
        <w:jc w:val="both"/>
      </w:pPr>
      <w:r>
        <w:t>– Федеральное государственное бюджетное учреждение «Российский гуманитарный научный фонд» (глава 589).</w:t>
      </w:r>
    </w:p>
    <w:p>
      <w:pPr>
        <w:pStyle w:val="af1"/>
        <w:jc w:val="both"/>
      </w:pPr>
      <w:r>
        <w:t>В соответствии с Указом Президента Российской Федерации от 5 апреля 2016 г. № 157 «Вопросы Федеральной службы войск национальной гвардии Российской Федерации» образована Федеральная служба войск национальной гвардии Российской Федерации.</w:t>
      </w:r>
    </w:p>
    <w:p>
      <w:pPr>
        <w:pStyle w:val="af1"/>
        <w:jc w:val="both"/>
      </w:pPr>
    </w:p>
  </w:footnote>
  <w:footnote w:id="4">
    <w:p>
      <w:pPr>
        <w:pStyle w:val="af1"/>
        <w:jc w:val="both"/>
      </w:pPr>
      <w:r>
        <w:rPr>
          <w:rStyle w:val="af3"/>
        </w:rPr>
        <w:footnoteRef/>
      </w:r>
      <w:r>
        <w:rPr>
          <w:sz w:val="24"/>
          <w:szCs w:val="24"/>
        </w:rPr>
        <w:t xml:space="preserve"> </w:t>
      </w:r>
      <w:r>
        <w:rPr>
          <w:i/>
          <w:sz w:val="22"/>
          <w:szCs w:val="22"/>
        </w:rPr>
        <w:t xml:space="preserve">Руководство СГФ является специализированной системой макроэкономической статистики </w:t>
      </w:r>
      <w:r>
        <w:rPr>
          <w:i/>
          <w:sz w:val="22"/>
          <w:szCs w:val="22"/>
        </w:rPr>
        <w:br/>
        <w:t xml:space="preserve">и предназначена для описания той части национальной экономики, которая связана </w:t>
      </w:r>
      <w:r>
        <w:rPr>
          <w:i/>
          <w:sz w:val="22"/>
          <w:szCs w:val="22"/>
        </w:rPr>
        <w:br/>
        <w:t>с деятельностью сектора государственного управления и государственного сектора.</w:t>
      </w:r>
    </w:p>
  </w:footnote>
  <w:footnote w:id="5">
    <w:p>
      <w:pPr>
        <w:pStyle w:val="ConsPlusNonformat"/>
        <w:ind w:firstLine="708"/>
        <w:contextualSpacing/>
        <w:jc w:val="both"/>
        <w:rPr>
          <w:rFonts w:ascii="Times New Roman" w:hAnsi="Times New Roman" w:cs="Times New Roman"/>
        </w:rPr>
      </w:pPr>
      <w:r>
        <w:rPr>
          <w:rStyle w:val="af3"/>
          <w:rFonts w:ascii="Times New Roman" w:hAnsi="Times New Roman"/>
        </w:rPr>
        <w:footnoteRef/>
      </w:r>
      <w:r>
        <w:rPr>
          <w:rFonts w:ascii="Times New Roman" w:hAnsi="Times New Roman" w:cs="Times New Roman"/>
        </w:rPr>
        <w:t> По итогам рабочего совещания у Первого заместителя Министра финансов Российской Федерации Т.Г. Нестеренко, проведенного 23 декабря 2017 года, а также в связи с письмами Минфина России Федеральным казначейством за прошедший период 2017 года в Минфин России направлена уточненная информация в части суммы бюджетного нарушения по 8 уведомлениям о применении бюджетных мер принуждения, ранее направленным в 2016 году.</w:t>
      </w:r>
    </w:p>
  </w:footnote>
  <w:footnote w:id="6">
    <w:p>
      <w:pPr>
        <w:pStyle w:val="af1"/>
        <w:jc w:val="both"/>
        <w:rPr>
          <w:rStyle w:val="af3"/>
        </w:rPr>
      </w:pPr>
      <w:r>
        <w:rPr>
          <w:rStyle w:val="af3"/>
        </w:rPr>
        <w:footnoteRef/>
      </w:r>
      <w:r>
        <w:rPr>
          <w:rStyle w:val="af3"/>
        </w:rPr>
        <w:t> </w:t>
      </w:r>
      <w:r>
        <w:t>Информация по делам, связанным с осуществлением контрольно-надзорных функций в области финансово-бюджетного надзора, сформирована в соответствии с отчетностью, утвержденной приказом Федерального казначейства от 31 августа 2016 г. № 317.</w:t>
      </w:r>
    </w:p>
    <w:p>
      <w:pPr>
        <w:pStyle w:val="af1"/>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4445336"/>
      <w:docPartObj>
        <w:docPartGallery w:val="Page Numbers (Top of Page)"/>
        <w:docPartUnique/>
      </w:docPartObj>
    </w:sdtPr>
    <w:sdtEndPr>
      <w:rPr>
        <w:rFonts w:ascii="Times New Roman" w:hAnsi="Times New Roman"/>
        <w:sz w:val="24"/>
        <w:szCs w:val="24"/>
      </w:rPr>
    </w:sdtEndPr>
    <w:sdtContent>
      <w:p>
        <w:pPr>
          <w:pStyle w:val="ad"/>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PAGE   \* MERGEFORMAT</w:instrText>
        </w:r>
        <w:r>
          <w:rPr>
            <w:rFonts w:ascii="Times New Roman" w:hAnsi="Times New Roman"/>
            <w:sz w:val="24"/>
            <w:szCs w:val="24"/>
          </w:rPr>
          <w:fldChar w:fldCharType="separate"/>
        </w:r>
        <w:r>
          <w:rPr>
            <w:rFonts w:ascii="Times New Roman" w:hAnsi="Times New Roman"/>
            <w:noProof/>
            <w:sz w:val="24"/>
            <w:szCs w:val="24"/>
          </w:rPr>
          <w:t>8</w:t>
        </w:r>
        <w:r>
          <w:rPr>
            <w:rFonts w:ascii="Times New Roman" w:hAnsi="Times New Roman"/>
            <w:sz w:val="24"/>
            <w:szCs w:val="24"/>
          </w:rPr>
          <w:fldChar w:fldCharType="end"/>
        </w:r>
      </w:p>
    </w:sdtContent>
  </w:sdt>
  <w:p>
    <w:pPr>
      <w:pStyle w:val="ad"/>
      <w:rPr>
        <w:rFonts w:ascii="Times New Roman" w:hAnsi="Times New Roman"/>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d"/>
      <w:jc w:val="center"/>
    </w:pPr>
    <w:r>
      <w:fldChar w:fldCharType="begin"/>
    </w:r>
    <w:r>
      <w:instrText>PAGE   \* MERGEFORMAT</w:instrText>
    </w:r>
    <w:r>
      <w:fldChar w:fldCharType="separate"/>
    </w:r>
    <w:r>
      <w:rPr>
        <w:noProof/>
      </w:rPr>
      <w:t>416</w:t>
    </w:r>
    <w:r>
      <w:fldChar w:fldCharType="end"/>
    </w:r>
  </w:p>
  <w:p>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F30DD4A"/>
    <w:lvl w:ilvl="0">
      <w:start w:val="1"/>
      <w:numFmt w:val="bullet"/>
      <w:pStyle w:val="a"/>
      <w:lvlText w:val=""/>
      <w:lvlJc w:val="left"/>
      <w:pPr>
        <w:tabs>
          <w:tab w:val="num" w:pos="786"/>
        </w:tabs>
        <w:ind w:left="786" w:hanging="360"/>
      </w:pPr>
      <w:rPr>
        <w:rFonts w:ascii="Symbol" w:hAnsi="Symbol" w:hint="default"/>
      </w:rPr>
    </w:lvl>
  </w:abstractNum>
  <w:abstractNum w:abstractNumId="1">
    <w:nsid w:val="00FE2CF1"/>
    <w:multiLevelType w:val="hybridMultilevel"/>
    <w:tmpl w:val="DA9A0870"/>
    <w:lvl w:ilvl="0" w:tplc="995ABCA4">
      <w:start w:val="1"/>
      <w:numFmt w:val="bullet"/>
      <w:lvlText w:val=""/>
      <w:lvlJc w:val="left"/>
      <w:pPr>
        <w:ind w:left="720" w:hanging="360"/>
      </w:pPr>
      <w:rPr>
        <w:rFonts w:ascii="Symbol" w:hAnsi="Symbol" w:hint="default"/>
      </w:rPr>
    </w:lvl>
    <w:lvl w:ilvl="1" w:tplc="995ABCA4">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16827AD"/>
    <w:multiLevelType w:val="hybridMultilevel"/>
    <w:tmpl w:val="A950DDE4"/>
    <w:lvl w:ilvl="0" w:tplc="995ABCA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33F2AC0"/>
    <w:multiLevelType w:val="hybridMultilevel"/>
    <w:tmpl w:val="66508E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F00137"/>
    <w:multiLevelType w:val="hybridMultilevel"/>
    <w:tmpl w:val="4E66FFDA"/>
    <w:lvl w:ilvl="0" w:tplc="0E644DC2">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9C57B9F"/>
    <w:multiLevelType w:val="hybridMultilevel"/>
    <w:tmpl w:val="B970A6EE"/>
    <w:lvl w:ilvl="0" w:tplc="9F424550">
      <w:start w:val="1"/>
      <w:numFmt w:val="bullet"/>
      <w:lvlText w:val="•"/>
      <w:lvlJc w:val="left"/>
      <w:pPr>
        <w:tabs>
          <w:tab w:val="num" w:pos="720"/>
        </w:tabs>
        <w:ind w:left="720" w:hanging="360"/>
      </w:pPr>
      <w:rPr>
        <w:rFonts w:ascii="Arial" w:hAnsi="Arial" w:hint="default"/>
      </w:rPr>
    </w:lvl>
    <w:lvl w:ilvl="1" w:tplc="63AAC770" w:tentative="1">
      <w:start w:val="1"/>
      <w:numFmt w:val="bullet"/>
      <w:lvlText w:val="•"/>
      <w:lvlJc w:val="left"/>
      <w:pPr>
        <w:tabs>
          <w:tab w:val="num" w:pos="1440"/>
        </w:tabs>
        <w:ind w:left="1440" w:hanging="360"/>
      </w:pPr>
      <w:rPr>
        <w:rFonts w:ascii="Arial" w:hAnsi="Arial" w:hint="default"/>
      </w:rPr>
    </w:lvl>
    <w:lvl w:ilvl="2" w:tplc="99B6575E" w:tentative="1">
      <w:start w:val="1"/>
      <w:numFmt w:val="bullet"/>
      <w:lvlText w:val="•"/>
      <w:lvlJc w:val="left"/>
      <w:pPr>
        <w:tabs>
          <w:tab w:val="num" w:pos="2160"/>
        </w:tabs>
        <w:ind w:left="2160" w:hanging="360"/>
      </w:pPr>
      <w:rPr>
        <w:rFonts w:ascii="Arial" w:hAnsi="Arial" w:hint="default"/>
      </w:rPr>
    </w:lvl>
    <w:lvl w:ilvl="3" w:tplc="456E1240" w:tentative="1">
      <w:start w:val="1"/>
      <w:numFmt w:val="bullet"/>
      <w:lvlText w:val="•"/>
      <w:lvlJc w:val="left"/>
      <w:pPr>
        <w:tabs>
          <w:tab w:val="num" w:pos="2880"/>
        </w:tabs>
        <w:ind w:left="2880" w:hanging="360"/>
      </w:pPr>
      <w:rPr>
        <w:rFonts w:ascii="Arial" w:hAnsi="Arial" w:hint="default"/>
      </w:rPr>
    </w:lvl>
    <w:lvl w:ilvl="4" w:tplc="973ECDB2" w:tentative="1">
      <w:start w:val="1"/>
      <w:numFmt w:val="bullet"/>
      <w:lvlText w:val="•"/>
      <w:lvlJc w:val="left"/>
      <w:pPr>
        <w:tabs>
          <w:tab w:val="num" w:pos="3600"/>
        </w:tabs>
        <w:ind w:left="3600" w:hanging="360"/>
      </w:pPr>
      <w:rPr>
        <w:rFonts w:ascii="Arial" w:hAnsi="Arial" w:hint="default"/>
      </w:rPr>
    </w:lvl>
    <w:lvl w:ilvl="5" w:tplc="CD7487FA" w:tentative="1">
      <w:start w:val="1"/>
      <w:numFmt w:val="bullet"/>
      <w:lvlText w:val="•"/>
      <w:lvlJc w:val="left"/>
      <w:pPr>
        <w:tabs>
          <w:tab w:val="num" w:pos="4320"/>
        </w:tabs>
        <w:ind w:left="4320" w:hanging="360"/>
      </w:pPr>
      <w:rPr>
        <w:rFonts w:ascii="Arial" w:hAnsi="Arial" w:hint="default"/>
      </w:rPr>
    </w:lvl>
    <w:lvl w:ilvl="6" w:tplc="E87A2D82" w:tentative="1">
      <w:start w:val="1"/>
      <w:numFmt w:val="bullet"/>
      <w:lvlText w:val="•"/>
      <w:lvlJc w:val="left"/>
      <w:pPr>
        <w:tabs>
          <w:tab w:val="num" w:pos="5040"/>
        </w:tabs>
        <w:ind w:left="5040" w:hanging="360"/>
      </w:pPr>
      <w:rPr>
        <w:rFonts w:ascii="Arial" w:hAnsi="Arial" w:hint="default"/>
      </w:rPr>
    </w:lvl>
    <w:lvl w:ilvl="7" w:tplc="25CA250A" w:tentative="1">
      <w:start w:val="1"/>
      <w:numFmt w:val="bullet"/>
      <w:lvlText w:val="•"/>
      <w:lvlJc w:val="left"/>
      <w:pPr>
        <w:tabs>
          <w:tab w:val="num" w:pos="5760"/>
        </w:tabs>
        <w:ind w:left="5760" w:hanging="360"/>
      </w:pPr>
      <w:rPr>
        <w:rFonts w:ascii="Arial" w:hAnsi="Arial" w:hint="default"/>
      </w:rPr>
    </w:lvl>
    <w:lvl w:ilvl="8" w:tplc="376237A2" w:tentative="1">
      <w:start w:val="1"/>
      <w:numFmt w:val="bullet"/>
      <w:lvlText w:val="•"/>
      <w:lvlJc w:val="left"/>
      <w:pPr>
        <w:tabs>
          <w:tab w:val="num" w:pos="6480"/>
        </w:tabs>
        <w:ind w:left="6480" w:hanging="360"/>
      </w:pPr>
      <w:rPr>
        <w:rFonts w:ascii="Arial" w:hAnsi="Arial" w:hint="default"/>
      </w:rPr>
    </w:lvl>
  </w:abstractNum>
  <w:abstractNum w:abstractNumId="6">
    <w:nsid w:val="0DEA057E"/>
    <w:multiLevelType w:val="hybridMultilevel"/>
    <w:tmpl w:val="BDAE7184"/>
    <w:lvl w:ilvl="0" w:tplc="995ABC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8D02861"/>
    <w:multiLevelType w:val="hybridMultilevel"/>
    <w:tmpl w:val="28BC3B0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FFA7B0D"/>
    <w:multiLevelType w:val="hybridMultilevel"/>
    <w:tmpl w:val="F99A4D44"/>
    <w:lvl w:ilvl="0" w:tplc="995ABC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41A2F2A"/>
    <w:multiLevelType w:val="hybridMultilevel"/>
    <w:tmpl w:val="8F7C196A"/>
    <w:lvl w:ilvl="0" w:tplc="5552BB7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25F97DC8"/>
    <w:multiLevelType w:val="hybridMultilevel"/>
    <w:tmpl w:val="E4D4284C"/>
    <w:lvl w:ilvl="0" w:tplc="BA04A874">
      <w:start w:val="1"/>
      <w:numFmt w:val="decimal"/>
      <w:lvlText w:val="%1."/>
      <w:lvlJc w:val="left"/>
      <w:pPr>
        <w:ind w:left="775" w:hanging="360"/>
      </w:pPr>
      <w:rPr>
        <w:rFonts w:hint="default"/>
      </w:rPr>
    </w:lvl>
    <w:lvl w:ilvl="1" w:tplc="04190019" w:tentative="1">
      <w:start w:val="1"/>
      <w:numFmt w:val="lowerLetter"/>
      <w:lvlText w:val="%2."/>
      <w:lvlJc w:val="left"/>
      <w:pPr>
        <w:ind w:left="1495" w:hanging="360"/>
      </w:pPr>
    </w:lvl>
    <w:lvl w:ilvl="2" w:tplc="0419001B" w:tentative="1">
      <w:start w:val="1"/>
      <w:numFmt w:val="lowerRoman"/>
      <w:lvlText w:val="%3."/>
      <w:lvlJc w:val="right"/>
      <w:pPr>
        <w:ind w:left="2215" w:hanging="180"/>
      </w:pPr>
    </w:lvl>
    <w:lvl w:ilvl="3" w:tplc="0419000F" w:tentative="1">
      <w:start w:val="1"/>
      <w:numFmt w:val="decimal"/>
      <w:lvlText w:val="%4."/>
      <w:lvlJc w:val="left"/>
      <w:pPr>
        <w:ind w:left="2935" w:hanging="360"/>
      </w:pPr>
    </w:lvl>
    <w:lvl w:ilvl="4" w:tplc="04190019" w:tentative="1">
      <w:start w:val="1"/>
      <w:numFmt w:val="lowerLetter"/>
      <w:lvlText w:val="%5."/>
      <w:lvlJc w:val="left"/>
      <w:pPr>
        <w:ind w:left="3655" w:hanging="360"/>
      </w:pPr>
    </w:lvl>
    <w:lvl w:ilvl="5" w:tplc="0419001B" w:tentative="1">
      <w:start w:val="1"/>
      <w:numFmt w:val="lowerRoman"/>
      <w:lvlText w:val="%6."/>
      <w:lvlJc w:val="right"/>
      <w:pPr>
        <w:ind w:left="4375" w:hanging="180"/>
      </w:pPr>
    </w:lvl>
    <w:lvl w:ilvl="6" w:tplc="0419000F" w:tentative="1">
      <w:start w:val="1"/>
      <w:numFmt w:val="decimal"/>
      <w:lvlText w:val="%7."/>
      <w:lvlJc w:val="left"/>
      <w:pPr>
        <w:ind w:left="5095" w:hanging="360"/>
      </w:pPr>
    </w:lvl>
    <w:lvl w:ilvl="7" w:tplc="04190019" w:tentative="1">
      <w:start w:val="1"/>
      <w:numFmt w:val="lowerLetter"/>
      <w:lvlText w:val="%8."/>
      <w:lvlJc w:val="left"/>
      <w:pPr>
        <w:ind w:left="5815" w:hanging="360"/>
      </w:pPr>
    </w:lvl>
    <w:lvl w:ilvl="8" w:tplc="0419001B" w:tentative="1">
      <w:start w:val="1"/>
      <w:numFmt w:val="lowerRoman"/>
      <w:lvlText w:val="%9."/>
      <w:lvlJc w:val="right"/>
      <w:pPr>
        <w:ind w:left="6535" w:hanging="180"/>
      </w:pPr>
    </w:lvl>
  </w:abstractNum>
  <w:abstractNum w:abstractNumId="11">
    <w:nsid w:val="292E037D"/>
    <w:multiLevelType w:val="hybridMultilevel"/>
    <w:tmpl w:val="213C7BD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2D123847"/>
    <w:multiLevelType w:val="hybridMultilevel"/>
    <w:tmpl w:val="7A22CD6E"/>
    <w:lvl w:ilvl="0" w:tplc="995ABCA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2F8C5A54"/>
    <w:multiLevelType w:val="hybridMultilevel"/>
    <w:tmpl w:val="436CD91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7311278"/>
    <w:multiLevelType w:val="hybridMultilevel"/>
    <w:tmpl w:val="49546CB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75B4F80"/>
    <w:multiLevelType w:val="hybridMultilevel"/>
    <w:tmpl w:val="400C8490"/>
    <w:lvl w:ilvl="0" w:tplc="1EA614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B9041BE"/>
    <w:multiLevelType w:val="hybridMultilevel"/>
    <w:tmpl w:val="9D6479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3CD56787"/>
    <w:multiLevelType w:val="hybridMultilevel"/>
    <w:tmpl w:val="E9C021EA"/>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DFE7D0B"/>
    <w:multiLevelType w:val="hybridMultilevel"/>
    <w:tmpl w:val="CAA0FF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EFE540E"/>
    <w:multiLevelType w:val="hybridMultilevel"/>
    <w:tmpl w:val="8D50BB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AC0643D"/>
    <w:multiLevelType w:val="hybridMultilevel"/>
    <w:tmpl w:val="7FA69FDE"/>
    <w:lvl w:ilvl="0" w:tplc="B7C0E54C">
      <w:start w:val="1"/>
      <w:numFmt w:val="decimal"/>
      <w:lvlText w:val="%1)"/>
      <w:lvlJc w:val="left"/>
      <w:pPr>
        <w:tabs>
          <w:tab w:val="num" w:pos="720"/>
        </w:tabs>
        <w:ind w:left="720" w:hanging="360"/>
      </w:pPr>
    </w:lvl>
    <w:lvl w:ilvl="1" w:tplc="4640967C" w:tentative="1">
      <w:start w:val="1"/>
      <w:numFmt w:val="decimal"/>
      <w:lvlText w:val="%2)"/>
      <w:lvlJc w:val="left"/>
      <w:pPr>
        <w:tabs>
          <w:tab w:val="num" w:pos="1440"/>
        </w:tabs>
        <w:ind w:left="1440" w:hanging="360"/>
      </w:pPr>
    </w:lvl>
    <w:lvl w:ilvl="2" w:tplc="8482F544" w:tentative="1">
      <w:start w:val="1"/>
      <w:numFmt w:val="decimal"/>
      <w:lvlText w:val="%3)"/>
      <w:lvlJc w:val="left"/>
      <w:pPr>
        <w:tabs>
          <w:tab w:val="num" w:pos="2160"/>
        </w:tabs>
        <w:ind w:left="2160" w:hanging="360"/>
      </w:pPr>
    </w:lvl>
    <w:lvl w:ilvl="3" w:tplc="F3F80CE6" w:tentative="1">
      <w:start w:val="1"/>
      <w:numFmt w:val="decimal"/>
      <w:lvlText w:val="%4)"/>
      <w:lvlJc w:val="left"/>
      <w:pPr>
        <w:tabs>
          <w:tab w:val="num" w:pos="2880"/>
        </w:tabs>
        <w:ind w:left="2880" w:hanging="360"/>
      </w:pPr>
    </w:lvl>
    <w:lvl w:ilvl="4" w:tplc="12B62516" w:tentative="1">
      <w:start w:val="1"/>
      <w:numFmt w:val="decimal"/>
      <w:lvlText w:val="%5)"/>
      <w:lvlJc w:val="left"/>
      <w:pPr>
        <w:tabs>
          <w:tab w:val="num" w:pos="3600"/>
        </w:tabs>
        <w:ind w:left="3600" w:hanging="360"/>
      </w:pPr>
    </w:lvl>
    <w:lvl w:ilvl="5" w:tplc="3F087BBA" w:tentative="1">
      <w:start w:val="1"/>
      <w:numFmt w:val="decimal"/>
      <w:lvlText w:val="%6)"/>
      <w:lvlJc w:val="left"/>
      <w:pPr>
        <w:tabs>
          <w:tab w:val="num" w:pos="4320"/>
        </w:tabs>
        <w:ind w:left="4320" w:hanging="360"/>
      </w:pPr>
    </w:lvl>
    <w:lvl w:ilvl="6" w:tplc="1A348122" w:tentative="1">
      <w:start w:val="1"/>
      <w:numFmt w:val="decimal"/>
      <w:lvlText w:val="%7)"/>
      <w:lvlJc w:val="left"/>
      <w:pPr>
        <w:tabs>
          <w:tab w:val="num" w:pos="5040"/>
        </w:tabs>
        <w:ind w:left="5040" w:hanging="360"/>
      </w:pPr>
    </w:lvl>
    <w:lvl w:ilvl="7" w:tplc="7FAECF64" w:tentative="1">
      <w:start w:val="1"/>
      <w:numFmt w:val="decimal"/>
      <w:lvlText w:val="%8)"/>
      <w:lvlJc w:val="left"/>
      <w:pPr>
        <w:tabs>
          <w:tab w:val="num" w:pos="5760"/>
        </w:tabs>
        <w:ind w:left="5760" w:hanging="360"/>
      </w:pPr>
    </w:lvl>
    <w:lvl w:ilvl="8" w:tplc="BFD6EE76" w:tentative="1">
      <w:start w:val="1"/>
      <w:numFmt w:val="decimal"/>
      <w:lvlText w:val="%9)"/>
      <w:lvlJc w:val="left"/>
      <w:pPr>
        <w:tabs>
          <w:tab w:val="num" w:pos="6480"/>
        </w:tabs>
        <w:ind w:left="6480" w:hanging="360"/>
      </w:pPr>
    </w:lvl>
  </w:abstractNum>
  <w:abstractNum w:abstractNumId="21">
    <w:nsid w:val="4B4E3777"/>
    <w:multiLevelType w:val="hybridMultilevel"/>
    <w:tmpl w:val="AD621DD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4FEC5BBE"/>
    <w:multiLevelType w:val="hybridMultilevel"/>
    <w:tmpl w:val="24E0F6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1822479"/>
    <w:multiLevelType w:val="hybridMultilevel"/>
    <w:tmpl w:val="B888B092"/>
    <w:lvl w:ilvl="0" w:tplc="117648D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51C125CA"/>
    <w:multiLevelType w:val="hybridMultilevel"/>
    <w:tmpl w:val="011627E2"/>
    <w:lvl w:ilvl="0" w:tplc="2772A996">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3D31DE5"/>
    <w:multiLevelType w:val="hybridMultilevel"/>
    <w:tmpl w:val="2B2E0B94"/>
    <w:lvl w:ilvl="0" w:tplc="1DC454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4C841C4"/>
    <w:multiLevelType w:val="hybridMultilevel"/>
    <w:tmpl w:val="6E96F3AC"/>
    <w:lvl w:ilvl="0" w:tplc="917856D4">
      <w:start w:val="1"/>
      <w:numFmt w:val="bullet"/>
      <w:lvlText w:val=""/>
      <w:lvlJc w:val="left"/>
      <w:pPr>
        <w:tabs>
          <w:tab w:val="num" w:pos="720"/>
        </w:tabs>
        <w:ind w:left="720" w:hanging="360"/>
      </w:pPr>
      <w:rPr>
        <w:rFonts w:ascii="Wingdings" w:hAnsi="Wingdings" w:hint="default"/>
      </w:rPr>
    </w:lvl>
    <w:lvl w:ilvl="1" w:tplc="8304CBD8" w:tentative="1">
      <w:start w:val="1"/>
      <w:numFmt w:val="bullet"/>
      <w:lvlText w:val=""/>
      <w:lvlJc w:val="left"/>
      <w:pPr>
        <w:tabs>
          <w:tab w:val="num" w:pos="1440"/>
        </w:tabs>
        <w:ind w:left="1440" w:hanging="360"/>
      </w:pPr>
      <w:rPr>
        <w:rFonts w:ascii="Wingdings" w:hAnsi="Wingdings" w:hint="default"/>
      </w:rPr>
    </w:lvl>
    <w:lvl w:ilvl="2" w:tplc="DB504AB6" w:tentative="1">
      <w:start w:val="1"/>
      <w:numFmt w:val="bullet"/>
      <w:lvlText w:val=""/>
      <w:lvlJc w:val="left"/>
      <w:pPr>
        <w:tabs>
          <w:tab w:val="num" w:pos="2160"/>
        </w:tabs>
        <w:ind w:left="2160" w:hanging="360"/>
      </w:pPr>
      <w:rPr>
        <w:rFonts w:ascii="Wingdings" w:hAnsi="Wingdings" w:hint="default"/>
      </w:rPr>
    </w:lvl>
    <w:lvl w:ilvl="3" w:tplc="9790E8B0" w:tentative="1">
      <w:start w:val="1"/>
      <w:numFmt w:val="bullet"/>
      <w:lvlText w:val=""/>
      <w:lvlJc w:val="left"/>
      <w:pPr>
        <w:tabs>
          <w:tab w:val="num" w:pos="2880"/>
        </w:tabs>
        <w:ind w:left="2880" w:hanging="360"/>
      </w:pPr>
      <w:rPr>
        <w:rFonts w:ascii="Wingdings" w:hAnsi="Wingdings" w:hint="default"/>
      </w:rPr>
    </w:lvl>
    <w:lvl w:ilvl="4" w:tplc="414C59F2" w:tentative="1">
      <w:start w:val="1"/>
      <w:numFmt w:val="bullet"/>
      <w:lvlText w:val=""/>
      <w:lvlJc w:val="left"/>
      <w:pPr>
        <w:tabs>
          <w:tab w:val="num" w:pos="3600"/>
        </w:tabs>
        <w:ind w:left="3600" w:hanging="360"/>
      </w:pPr>
      <w:rPr>
        <w:rFonts w:ascii="Wingdings" w:hAnsi="Wingdings" w:hint="default"/>
      </w:rPr>
    </w:lvl>
    <w:lvl w:ilvl="5" w:tplc="0C64A118" w:tentative="1">
      <w:start w:val="1"/>
      <w:numFmt w:val="bullet"/>
      <w:lvlText w:val=""/>
      <w:lvlJc w:val="left"/>
      <w:pPr>
        <w:tabs>
          <w:tab w:val="num" w:pos="4320"/>
        </w:tabs>
        <w:ind w:left="4320" w:hanging="360"/>
      </w:pPr>
      <w:rPr>
        <w:rFonts w:ascii="Wingdings" w:hAnsi="Wingdings" w:hint="default"/>
      </w:rPr>
    </w:lvl>
    <w:lvl w:ilvl="6" w:tplc="7D966D40" w:tentative="1">
      <w:start w:val="1"/>
      <w:numFmt w:val="bullet"/>
      <w:lvlText w:val=""/>
      <w:lvlJc w:val="left"/>
      <w:pPr>
        <w:tabs>
          <w:tab w:val="num" w:pos="5040"/>
        </w:tabs>
        <w:ind w:left="5040" w:hanging="360"/>
      </w:pPr>
      <w:rPr>
        <w:rFonts w:ascii="Wingdings" w:hAnsi="Wingdings" w:hint="default"/>
      </w:rPr>
    </w:lvl>
    <w:lvl w:ilvl="7" w:tplc="A1189EF0" w:tentative="1">
      <w:start w:val="1"/>
      <w:numFmt w:val="bullet"/>
      <w:lvlText w:val=""/>
      <w:lvlJc w:val="left"/>
      <w:pPr>
        <w:tabs>
          <w:tab w:val="num" w:pos="5760"/>
        </w:tabs>
        <w:ind w:left="5760" w:hanging="360"/>
      </w:pPr>
      <w:rPr>
        <w:rFonts w:ascii="Wingdings" w:hAnsi="Wingdings" w:hint="default"/>
      </w:rPr>
    </w:lvl>
    <w:lvl w:ilvl="8" w:tplc="FB8E3EB0" w:tentative="1">
      <w:start w:val="1"/>
      <w:numFmt w:val="bullet"/>
      <w:lvlText w:val=""/>
      <w:lvlJc w:val="left"/>
      <w:pPr>
        <w:tabs>
          <w:tab w:val="num" w:pos="6480"/>
        </w:tabs>
        <w:ind w:left="6480" w:hanging="360"/>
      </w:pPr>
      <w:rPr>
        <w:rFonts w:ascii="Wingdings" w:hAnsi="Wingdings" w:hint="default"/>
      </w:rPr>
    </w:lvl>
  </w:abstractNum>
  <w:abstractNum w:abstractNumId="27">
    <w:nsid w:val="58381625"/>
    <w:multiLevelType w:val="hybridMultilevel"/>
    <w:tmpl w:val="7666C1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93219BE"/>
    <w:multiLevelType w:val="hybridMultilevel"/>
    <w:tmpl w:val="9F1A5A02"/>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D500D81"/>
    <w:multiLevelType w:val="hybridMultilevel"/>
    <w:tmpl w:val="733E9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D5432A2"/>
    <w:multiLevelType w:val="hybridMultilevel"/>
    <w:tmpl w:val="8C42222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E7F6971"/>
    <w:multiLevelType w:val="hybridMultilevel"/>
    <w:tmpl w:val="CBC02C66"/>
    <w:lvl w:ilvl="0" w:tplc="995ABC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F9B0D98"/>
    <w:multiLevelType w:val="hybridMultilevel"/>
    <w:tmpl w:val="587E3EA8"/>
    <w:lvl w:ilvl="0" w:tplc="995ABC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0072FE9"/>
    <w:multiLevelType w:val="hybridMultilevel"/>
    <w:tmpl w:val="8CCCCF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0B2144"/>
    <w:multiLevelType w:val="hybridMultilevel"/>
    <w:tmpl w:val="3AC614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5D30DD2"/>
    <w:multiLevelType w:val="hybridMultilevel"/>
    <w:tmpl w:val="DF823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E2149D1"/>
    <w:multiLevelType w:val="hybridMultilevel"/>
    <w:tmpl w:val="2460EE8C"/>
    <w:lvl w:ilvl="0" w:tplc="995ABC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E6C0028"/>
    <w:multiLevelType w:val="hybridMultilevel"/>
    <w:tmpl w:val="4636F04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709F5319"/>
    <w:multiLevelType w:val="hybridMultilevel"/>
    <w:tmpl w:val="40D4588E"/>
    <w:lvl w:ilvl="0" w:tplc="04190001">
      <w:start w:val="1"/>
      <w:numFmt w:val="bullet"/>
      <w:lvlText w:val=""/>
      <w:lvlJc w:val="left"/>
      <w:pPr>
        <w:ind w:left="1417" w:hanging="360"/>
      </w:pPr>
      <w:rPr>
        <w:rFonts w:ascii="Symbol" w:hAnsi="Symbol" w:hint="default"/>
      </w:rPr>
    </w:lvl>
    <w:lvl w:ilvl="1" w:tplc="04190003" w:tentative="1">
      <w:start w:val="1"/>
      <w:numFmt w:val="bullet"/>
      <w:lvlText w:val="o"/>
      <w:lvlJc w:val="left"/>
      <w:pPr>
        <w:ind w:left="2137" w:hanging="360"/>
      </w:pPr>
      <w:rPr>
        <w:rFonts w:ascii="Courier New" w:hAnsi="Courier New" w:cs="Courier New" w:hint="default"/>
      </w:rPr>
    </w:lvl>
    <w:lvl w:ilvl="2" w:tplc="04190005" w:tentative="1">
      <w:start w:val="1"/>
      <w:numFmt w:val="bullet"/>
      <w:lvlText w:val=""/>
      <w:lvlJc w:val="left"/>
      <w:pPr>
        <w:ind w:left="2857" w:hanging="360"/>
      </w:pPr>
      <w:rPr>
        <w:rFonts w:ascii="Wingdings" w:hAnsi="Wingdings" w:hint="default"/>
      </w:rPr>
    </w:lvl>
    <w:lvl w:ilvl="3" w:tplc="04190001" w:tentative="1">
      <w:start w:val="1"/>
      <w:numFmt w:val="bullet"/>
      <w:lvlText w:val=""/>
      <w:lvlJc w:val="left"/>
      <w:pPr>
        <w:ind w:left="3577" w:hanging="360"/>
      </w:pPr>
      <w:rPr>
        <w:rFonts w:ascii="Symbol" w:hAnsi="Symbol" w:hint="default"/>
      </w:rPr>
    </w:lvl>
    <w:lvl w:ilvl="4" w:tplc="04190003" w:tentative="1">
      <w:start w:val="1"/>
      <w:numFmt w:val="bullet"/>
      <w:lvlText w:val="o"/>
      <w:lvlJc w:val="left"/>
      <w:pPr>
        <w:ind w:left="4297" w:hanging="360"/>
      </w:pPr>
      <w:rPr>
        <w:rFonts w:ascii="Courier New" w:hAnsi="Courier New" w:cs="Courier New" w:hint="default"/>
      </w:rPr>
    </w:lvl>
    <w:lvl w:ilvl="5" w:tplc="04190005" w:tentative="1">
      <w:start w:val="1"/>
      <w:numFmt w:val="bullet"/>
      <w:lvlText w:val=""/>
      <w:lvlJc w:val="left"/>
      <w:pPr>
        <w:ind w:left="5017" w:hanging="360"/>
      </w:pPr>
      <w:rPr>
        <w:rFonts w:ascii="Wingdings" w:hAnsi="Wingdings" w:hint="default"/>
      </w:rPr>
    </w:lvl>
    <w:lvl w:ilvl="6" w:tplc="04190001" w:tentative="1">
      <w:start w:val="1"/>
      <w:numFmt w:val="bullet"/>
      <w:lvlText w:val=""/>
      <w:lvlJc w:val="left"/>
      <w:pPr>
        <w:ind w:left="5737" w:hanging="360"/>
      </w:pPr>
      <w:rPr>
        <w:rFonts w:ascii="Symbol" w:hAnsi="Symbol" w:hint="default"/>
      </w:rPr>
    </w:lvl>
    <w:lvl w:ilvl="7" w:tplc="04190003" w:tentative="1">
      <w:start w:val="1"/>
      <w:numFmt w:val="bullet"/>
      <w:lvlText w:val="o"/>
      <w:lvlJc w:val="left"/>
      <w:pPr>
        <w:ind w:left="6457" w:hanging="360"/>
      </w:pPr>
      <w:rPr>
        <w:rFonts w:ascii="Courier New" w:hAnsi="Courier New" w:cs="Courier New" w:hint="default"/>
      </w:rPr>
    </w:lvl>
    <w:lvl w:ilvl="8" w:tplc="04190005" w:tentative="1">
      <w:start w:val="1"/>
      <w:numFmt w:val="bullet"/>
      <w:lvlText w:val=""/>
      <w:lvlJc w:val="left"/>
      <w:pPr>
        <w:ind w:left="7177" w:hanging="360"/>
      </w:pPr>
      <w:rPr>
        <w:rFonts w:ascii="Wingdings" w:hAnsi="Wingdings" w:hint="default"/>
      </w:rPr>
    </w:lvl>
  </w:abstractNum>
  <w:abstractNum w:abstractNumId="39">
    <w:nsid w:val="75964C3A"/>
    <w:multiLevelType w:val="multilevel"/>
    <w:tmpl w:val="9086FC9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nsid w:val="76A15E7A"/>
    <w:multiLevelType w:val="hybridMultilevel"/>
    <w:tmpl w:val="61F097AA"/>
    <w:lvl w:ilvl="0" w:tplc="04190001">
      <w:start w:val="1"/>
      <w:numFmt w:val="bullet"/>
      <w:lvlText w:val=""/>
      <w:lvlJc w:val="left"/>
      <w:pPr>
        <w:ind w:left="643" w:hanging="360"/>
      </w:pPr>
      <w:rPr>
        <w:rFonts w:ascii="Symbol" w:hAnsi="Symbol"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41">
    <w:nsid w:val="79452387"/>
    <w:multiLevelType w:val="hybridMultilevel"/>
    <w:tmpl w:val="FA729A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A96122D"/>
    <w:multiLevelType w:val="hybridMultilevel"/>
    <w:tmpl w:val="EA6A9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DF200B6"/>
    <w:multiLevelType w:val="hybridMultilevel"/>
    <w:tmpl w:val="D1DA3FD8"/>
    <w:lvl w:ilvl="0" w:tplc="6C101E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7FA8223E"/>
    <w:multiLevelType w:val="hybridMultilevel"/>
    <w:tmpl w:val="D2685CA0"/>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2"/>
  </w:num>
  <w:num w:numId="4">
    <w:abstractNumId w:val="44"/>
  </w:num>
  <w:num w:numId="5">
    <w:abstractNumId w:val="38"/>
  </w:num>
  <w:num w:numId="6">
    <w:abstractNumId w:val="7"/>
  </w:num>
  <w:num w:numId="7">
    <w:abstractNumId w:val="1"/>
  </w:num>
  <w:num w:numId="8">
    <w:abstractNumId w:val="30"/>
  </w:num>
  <w:num w:numId="9">
    <w:abstractNumId w:val="31"/>
  </w:num>
  <w:num w:numId="10">
    <w:abstractNumId w:val="28"/>
  </w:num>
  <w:num w:numId="11">
    <w:abstractNumId w:val="32"/>
  </w:num>
  <w:num w:numId="12">
    <w:abstractNumId w:val="4"/>
  </w:num>
  <w:num w:numId="13">
    <w:abstractNumId w:val="21"/>
  </w:num>
  <w:num w:numId="14">
    <w:abstractNumId w:val="12"/>
  </w:num>
  <w:num w:numId="15">
    <w:abstractNumId w:val="2"/>
  </w:num>
  <w:num w:numId="16">
    <w:abstractNumId w:val="24"/>
  </w:num>
  <w:num w:numId="17">
    <w:abstractNumId w:val="11"/>
  </w:num>
  <w:num w:numId="18">
    <w:abstractNumId w:val="20"/>
  </w:num>
  <w:num w:numId="19">
    <w:abstractNumId w:val="37"/>
  </w:num>
  <w:num w:numId="20">
    <w:abstractNumId w:val="5"/>
  </w:num>
  <w:num w:numId="21">
    <w:abstractNumId w:val="36"/>
  </w:num>
  <w:num w:numId="22">
    <w:abstractNumId w:val="13"/>
  </w:num>
  <w:num w:numId="23">
    <w:abstractNumId w:val="6"/>
  </w:num>
  <w:num w:numId="24">
    <w:abstractNumId w:val="8"/>
  </w:num>
  <w:num w:numId="25">
    <w:abstractNumId w:val="25"/>
  </w:num>
  <w:num w:numId="26">
    <w:abstractNumId w:val="14"/>
  </w:num>
  <w:num w:numId="27">
    <w:abstractNumId w:val="42"/>
  </w:num>
  <w:num w:numId="28">
    <w:abstractNumId w:val="33"/>
  </w:num>
  <w:num w:numId="29">
    <w:abstractNumId w:val="23"/>
  </w:num>
  <w:num w:numId="30">
    <w:abstractNumId w:val="17"/>
  </w:num>
  <w:num w:numId="31">
    <w:abstractNumId w:val="3"/>
  </w:num>
  <w:num w:numId="32">
    <w:abstractNumId w:val="43"/>
  </w:num>
  <w:num w:numId="33">
    <w:abstractNumId w:val="19"/>
  </w:num>
  <w:num w:numId="34">
    <w:abstractNumId w:val="40"/>
  </w:num>
  <w:num w:numId="35">
    <w:abstractNumId w:val="27"/>
  </w:num>
  <w:num w:numId="36">
    <w:abstractNumId w:val="35"/>
  </w:num>
  <w:num w:numId="37">
    <w:abstractNumId w:val="16"/>
  </w:num>
  <w:num w:numId="38">
    <w:abstractNumId w:val="18"/>
  </w:num>
  <w:num w:numId="39">
    <w:abstractNumId w:val="29"/>
  </w:num>
  <w:num w:numId="40">
    <w:abstractNumId w:val="41"/>
  </w:num>
  <w:num w:numId="41">
    <w:abstractNumId w:val="26"/>
  </w:num>
  <w:num w:numId="42">
    <w:abstractNumId w:val="39"/>
  </w:num>
  <w:num w:numId="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defaultTabStop w:val="708"/>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rules v:ext="edit">
        <o:r id="V:Rule3" type="connector" idref="#_s1086">
          <o:proxy start="" idref="#_s1088" connectloc="0"/>
          <o:proxy end="" idref="#_s1087" connectloc="2"/>
        </o:r>
        <o:r id="V:Rule4" type="connector" idref="#_s1085">
          <o:proxy start="" idref="#_s1093" connectloc="0"/>
          <o:proxy end="" idref="#_s1087" connectloc="2"/>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Pr>
      <w:rFonts w:ascii="Calibri" w:eastAsia="Calibri" w:hAnsi="Calibri" w:cs="Times New Roman"/>
    </w:rPr>
  </w:style>
  <w:style w:type="paragraph" w:styleId="1">
    <w:name w:val="heading 1"/>
    <w:basedOn w:val="a0"/>
    <w:next w:val="a0"/>
    <w:link w:val="10"/>
    <w:uiPriority w:val="99"/>
    <w:qFormat/>
    <w:pPr>
      <w:keepNext/>
      <w:keepLines/>
      <w:spacing w:before="480" w:after="0"/>
      <w:outlineLvl w:val="0"/>
    </w:pPr>
    <w:rPr>
      <w:rFonts w:ascii="Cambria" w:eastAsia="Times New Roman" w:hAnsi="Cambria"/>
      <w:b/>
      <w:bCs/>
      <w:color w:val="365F91"/>
      <w:sz w:val="28"/>
      <w:szCs w:val="28"/>
    </w:rPr>
  </w:style>
  <w:style w:type="paragraph" w:styleId="2">
    <w:name w:val="heading 2"/>
    <w:basedOn w:val="a0"/>
    <w:next w:val="a0"/>
    <w:link w:val="20"/>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1">
    <w:name w:val="Body Text 2"/>
    <w:basedOn w:val="a0"/>
    <w:link w:val="22"/>
    <w:uiPriority w:val="99"/>
    <w:pPr>
      <w:spacing w:after="120" w:line="480" w:lineRule="auto"/>
    </w:pPr>
    <w:rPr>
      <w:rFonts w:ascii="Times New Roman" w:eastAsia="Times New Roman" w:hAnsi="Times New Roman"/>
      <w:sz w:val="20"/>
      <w:szCs w:val="20"/>
      <w:lang w:eastAsia="ru-RU"/>
    </w:rPr>
  </w:style>
  <w:style w:type="character" w:customStyle="1" w:styleId="22">
    <w:name w:val="Основной текст 2 Знак"/>
    <w:basedOn w:val="a1"/>
    <w:link w:val="21"/>
    <w:uiPriority w:val="99"/>
    <w:rPr>
      <w:rFonts w:ascii="Times New Roman" w:eastAsia="Times New Roman" w:hAnsi="Times New Roman" w:cs="Times New Roman"/>
      <w:sz w:val="20"/>
      <w:szCs w:val="20"/>
      <w:lang w:eastAsia="ru-RU"/>
    </w:rPr>
  </w:style>
  <w:style w:type="character" w:styleId="a4">
    <w:name w:val="Hyperlink"/>
    <w:basedOn w:val="a1"/>
    <w:uiPriority w:val="99"/>
    <w:rPr>
      <w:rFonts w:cs="Times New Roman"/>
      <w:color w:val="0000FF"/>
      <w:u w:val="single"/>
    </w:rPr>
  </w:style>
  <w:style w:type="paragraph" w:styleId="a5">
    <w:name w:val="List Paragraph"/>
    <w:aliases w:val="4.2.2"/>
    <w:basedOn w:val="a0"/>
    <w:link w:val="a6"/>
    <w:uiPriority w:val="34"/>
    <w:qFormat/>
    <w:pPr>
      <w:ind w:left="720"/>
      <w:contextualSpacing/>
    </w:pPr>
  </w:style>
  <w:style w:type="character" w:customStyle="1" w:styleId="a6">
    <w:name w:val="Абзац списка Знак"/>
    <w:aliases w:val="4.2.2 Знак"/>
    <w:link w:val="a5"/>
    <w:uiPriority w:val="34"/>
    <w:locked/>
    <w:rPr>
      <w:rFonts w:ascii="Calibri" w:eastAsia="Calibri" w:hAnsi="Calibri" w:cs="Times New Roman"/>
    </w:rPr>
  </w:style>
  <w:style w:type="paragraph" w:styleId="a7">
    <w:name w:val="No Spacing"/>
    <w:link w:val="a8"/>
    <w:uiPriority w:val="1"/>
    <w:qFormat/>
    <w:pPr>
      <w:spacing w:after="0" w:line="240" w:lineRule="auto"/>
      <w:ind w:firstLine="851"/>
      <w:jc w:val="both"/>
    </w:pPr>
    <w:rPr>
      <w:rFonts w:ascii="Times New Roman" w:eastAsia="Times New Roman" w:hAnsi="Times New Roman" w:cs="Calibri"/>
      <w:sz w:val="28"/>
      <w:lang w:eastAsia="ru-RU"/>
    </w:rPr>
  </w:style>
  <w:style w:type="paragraph" w:customStyle="1" w:styleId="a9">
    <w:name w:val="Обычный (паспорт)"/>
    <w:basedOn w:val="a0"/>
    <w:pPr>
      <w:spacing w:before="120" w:after="0" w:line="240" w:lineRule="auto"/>
      <w:jc w:val="both"/>
    </w:pPr>
    <w:rPr>
      <w:rFonts w:ascii="Times New Roman" w:eastAsia="Times New Roman" w:hAnsi="Times New Roman"/>
      <w:sz w:val="28"/>
      <w:szCs w:val="28"/>
      <w:lang w:eastAsia="ru-RU"/>
    </w:rPr>
  </w:style>
  <w:style w:type="character" w:customStyle="1" w:styleId="10">
    <w:name w:val="Заголовок 1 Знак"/>
    <w:basedOn w:val="a1"/>
    <w:link w:val="1"/>
    <w:uiPriority w:val="99"/>
    <w:rPr>
      <w:rFonts w:ascii="Cambria" w:eastAsia="Times New Roman" w:hAnsi="Cambria" w:cs="Times New Roman"/>
      <w:b/>
      <w:bCs/>
      <w:color w:val="365F91"/>
      <w:sz w:val="28"/>
      <w:szCs w:val="28"/>
    </w:rPr>
  </w:style>
  <w:style w:type="paragraph" w:customStyle="1" w:styleId="aa">
    <w:name w:val="Знак"/>
    <w:basedOn w:val="a0"/>
    <w:uiPriority w:val="99"/>
    <w:pPr>
      <w:spacing w:after="160" w:line="240" w:lineRule="exact"/>
    </w:pPr>
    <w:rPr>
      <w:rFonts w:ascii="Verdana" w:eastAsia="Times New Roman" w:hAnsi="Verdana"/>
      <w:sz w:val="24"/>
      <w:szCs w:val="24"/>
      <w:lang w:val="en-US"/>
    </w:rPr>
  </w:style>
  <w:style w:type="paragraph" w:styleId="ab">
    <w:name w:val="Balloon Text"/>
    <w:basedOn w:val="a0"/>
    <w:link w:val="ac"/>
    <w:uiPriority w:val="99"/>
    <w:semiHidden/>
    <w:unhideWhenUsed/>
    <w:pPr>
      <w:spacing w:after="0" w:line="240" w:lineRule="auto"/>
    </w:pPr>
    <w:rPr>
      <w:rFonts w:ascii="Tahoma" w:hAnsi="Tahoma" w:cs="Tahoma"/>
      <w:sz w:val="16"/>
      <w:szCs w:val="16"/>
    </w:rPr>
  </w:style>
  <w:style w:type="character" w:customStyle="1" w:styleId="ac">
    <w:name w:val="Текст выноски Знак"/>
    <w:basedOn w:val="a1"/>
    <w:link w:val="ab"/>
    <w:uiPriority w:val="99"/>
    <w:semiHidden/>
    <w:rPr>
      <w:rFonts w:ascii="Tahoma" w:eastAsia="Calibri" w:hAnsi="Tahoma" w:cs="Tahoma"/>
      <w:sz w:val="16"/>
      <w:szCs w:val="16"/>
    </w:rPr>
  </w:style>
  <w:style w:type="paragraph" w:styleId="ad">
    <w:name w:val="header"/>
    <w:basedOn w:val="a0"/>
    <w:link w:val="ae"/>
    <w:uiPriority w:val="99"/>
    <w:unhideWhenUsed/>
    <w:pPr>
      <w:tabs>
        <w:tab w:val="center" w:pos="4677"/>
        <w:tab w:val="right" w:pos="9355"/>
      </w:tabs>
      <w:spacing w:after="0" w:line="240" w:lineRule="auto"/>
    </w:pPr>
  </w:style>
  <w:style w:type="character" w:customStyle="1" w:styleId="ae">
    <w:name w:val="Верхний колонтитул Знак"/>
    <w:basedOn w:val="a1"/>
    <w:link w:val="ad"/>
    <w:uiPriority w:val="99"/>
    <w:rPr>
      <w:rFonts w:ascii="Calibri" w:eastAsia="Calibri" w:hAnsi="Calibri" w:cs="Times New Roman"/>
    </w:rPr>
  </w:style>
  <w:style w:type="paragraph" w:styleId="af">
    <w:name w:val="footer"/>
    <w:basedOn w:val="a0"/>
    <w:link w:val="af0"/>
    <w:uiPriority w:val="99"/>
    <w:unhideWhenUsed/>
    <w:pPr>
      <w:tabs>
        <w:tab w:val="center" w:pos="4677"/>
        <w:tab w:val="right" w:pos="9355"/>
      </w:tabs>
      <w:spacing w:after="0" w:line="240" w:lineRule="auto"/>
    </w:pPr>
  </w:style>
  <w:style w:type="character" w:customStyle="1" w:styleId="af0">
    <w:name w:val="Нижний колонтитул Знак"/>
    <w:basedOn w:val="a1"/>
    <w:link w:val="af"/>
    <w:uiPriority w:val="99"/>
    <w:rPr>
      <w:rFonts w:ascii="Calibri" w:eastAsia="Calibri" w:hAnsi="Calibri" w:cs="Times New Roman"/>
    </w:rPr>
  </w:style>
  <w:style w:type="paragraph" w:customStyle="1" w:styleId="ConsPlusNormal">
    <w:name w:val="ConsPlusNormal"/>
    <w:uiPriority w:val="9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footnote text"/>
    <w:basedOn w:val="a0"/>
    <w:link w:val="af2"/>
    <w:pPr>
      <w:spacing w:after="0" w:line="240" w:lineRule="auto"/>
    </w:pPr>
    <w:rPr>
      <w:rFonts w:ascii="Times New Roman" w:eastAsia="Times New Roman" w:hAnsi="Times New Roman"/>
      <w:sz w:val="20"/>
      <w:szCs w:val="20"/>
      <w:lang w:eastAsia="ru-RU"/>
    </w:rPr>
  </w:style>
  <w:style w:type="character" w:customStyle="1" w:styleId="af2">
    <w:name w:val="Текст сноски Знак"/>
    <w:basedOn w:val="a1"/>
    <w:link w:val="af1"/>
    <w:rPr>
      <w:rFonts w:ascii="Times New Roman" w:eastAsia="Times New Roman" w:hAnsi="Times New Roman" w:cs="Times New Roman"/>
      <w:sz w:val="20"/>
      <w:szCs w:val="20"/>
      <w:lang w:eastAsia="ru-RU"/>
    </w:rPr>
  </w:style>
  <w:style w:type="character" w:styleId="af3">
    <w:name w:val="footnote reference"/>
    <w:basedOn w:val="a1"/>
    <w:rPr>
      <w:rFonts w:cs="Times New Roman"/>
      <w:vertAlign w:val="superscript"/>
    </w:rPr>
  </w:style>
  <w:style w:type="paragraph" w:styleId="af4">
    <w:name w:val="Body Text Indent"/>
    <w:basedOn w:val="a0"/>
    <w:link w:val="af5"/>
    <w:uiPriority w:val="99"/>
    <w:pPr>
      <w:spacing w:after="120" w:line="240" w:lineRule="auto"/>
      <w:ind w:left="283"/>
    </w:pPr>
    <w:rPr>
      <w:rFonts w:ascii="Times New Roman" w:eastAsia="Times New Roman" w:hAnsi="Times New Roman"/>
      <w:sz w:val="24"/>
      <w:szCs w:val="24"/>
      <w:lang w:eastAsia="ru-RU"/>
    </w:rPr>
  </w:style>
  <w:style w:type="character" w:customStyle="1" w:styleId="af5">
    <w:name w:val="Основной текст с отступом Знак"/>
    <w:basedOn w:val="a1"/>
    <w:link w:val="af4"/>
    <w:uiPriority w:val="99"/>
    <w:rPr>
      <w:rFonts w:ascii="Times New Roman" w:eastAsia="Times New Roman" w:hAnsi="Times New Roman" w:cs="Times New Roman"/>
      <w:sz w:val="24"/>
      <w:szCs w:val="24"/>
      <w:lang w:eastAsia="ru-RU"/>
    </w:rPr>
  </w:style>
  <w:style w:type="character" w:styleId="af6">
    <w:name w:val="page number"/>
    <w:basedOn w:val="a1"/>
    <w:uiPriority w:val="99"/>
    <w:rPr>
      <w:rFonts w:cs="Times New Roman"/>
    </w:rPr>
  </w:style>
  <w:style w:type="paragraph" w:customStyle="1" w:styleId="ConsPlusNonformat">
    <w:name w:val="ConsPlusNonformat"/>
    <w:uiPriority w:val="9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7">
    <w:name w:val="annotation reference"/>
    <w:basedOn w:val="a1"/>
    <w:uiPriority w:val="99"/>
    <w:semiHidden/>
    <w:rPr>
      <w:rFonts w:cs="Times New Roman"/>
      <w:sz w:val="16"/>
      <w:szCs w:val="16"/>
    </w:rPr>
  </w:style>
  <w:style w:type="paragraph" w:styleId="af8">
    <w:name w:val="annotation text"/>
    <w:basedOn w:val="a0"/>
    <w:link w:val="af9"/>
    <w:uiPriority w:val="99"/>
    <w:semiHidden/>
    <w:pPr>
      <w:spacing w:after="0" w:line="240" w:lineRule="auto"/>
    </w:pPr>
    <w:rPr>
      <w:rFonts w:ascii="Times New Roman" w:eastAsia="Times New Roman" w:hAnsi="Times New Roman"/>
      <w:sz w:val="20"/>
      <w:szCs w:val="20"/>
      <w:lang w:eastAsia="ru-RU"/>
    </w:rPr>
  </w:style>
  <w:style w:type="character" w:customStyle="1" w:styleId="af9">
    <w:name w:val="Текст примечания Знак"/>
    <w:basedOn w:val="a1"/>
    <w:link w:val="af8"/>
    <w:uiPriority w:val="99"/>
    <w:semiHidden/>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rPr>
      <w:b/>
      <w:bCs/>
    </w:rPr>
  </w:style>
  <w:style w:type="character" w:customStyle="1" w:styleId="afb">
    <w:name w:val="Тема примечания Знак"/>
    <w:basedOn w:val="af9"/>
    <w:link w:val="afa"/>
    <w:uiPriority w:val="99"/>
    <w:semiHidden/>
    <w:rPr>
      <w:rFonts w:ascii="Times New Roman" w:eastAsia="Times New Roman" w:hAnsi="Times New Roman" w:cs="Times New Roman"/>
      <w:b/>
      <w:bCs/>
      <w:sz w:val="20"/>
      <w:szCs w:val="20"/>
      <w:lang w:eastAsia="ru-RU"/>
    </w:rPr>
  </w:style>
  <w:style w:type="table" w:styleId="afc">
    <w:name w:val="Table Grid"/>
    <w:basedOn w:val="a2"/>
    <w:uiPriority w:val="59"/>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Revision"/>
    <w:hidden/>
    <w:uiPriority w:val="99"/>
    <w:semiHidden/>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semiHidden/>
    <w:rPr>
      <w:rFonts w:asciiTheme="majorHAnsi" w:eastAsiaTheme="majorEastAsia" w:hAnsiTheme="majorHAnsi" w:cstheme="majorBidi"/>
      <w:b/>
      <w:bCs/>
      <w:color w:val="4F81BD" w:themeColor="accent1"/>
      <w:sz w:val="26"/>
      <w:szCs w:val="26"/>
    </w:rPr>
  </w:style>
  <w:style w:type="paragraph" w:customStyle="1" w:styleId="afe">
    <w:name w:val="Обычный + По ширине"/>
    <w:aliases w:val="Междустр.интервал:  минимум 18 пт"/>
    <w:basedOn w:val="a0"/>
    <w:pPr>
      <w:spacing w:after="0" w:line="360" w:lineRule="atLeast"/>
    </w:pPr>
    <w:rPr>
      <w:rFonts w:ascii="Times New Roman" w:eastAsia="Times New Roman" w:hAnsi="Times New Roman"/>
      <w:sz w:val="16"/>
      <w:szCs w:val="16"/>
      <w:lang w:eastAsia="ru-RU"/>
    </w:rPr>
  </w:style>
  <w:style w:type="character" w:customStyle="1" w:styleId="OTRSymItalic">
    <w:name w:val="OTR_Sym_Italic"/>
    <w:rPr>
      <w:i/>
    </w:rPr>
  </w:style>
  <w:style w:type="paragraph" w:styleId="aff">
    <w:name w:val="Normal (Web)"/>
    <w:basedOn w:val="a0"/>
    <w:uiPriority w:val="99"/>
    <w:unhideWhenUsed/>
    <w:pPr>
      <w:spacing w:before="100" w:beforeAutospacing="1" w:after="119" w:line="240" w:lineRule="auto"/>
    </w:pPr>
    <w:rPr>
      <w:rFonts w:ascii="Times New Roman" w:eastAsia="Times New Roman" w:hAnsi="Times New Roman"/>
      <w:sz w:val="24"/>
      <w:szCs w:val="24"/>
      <w:lang w:eastAsia="ru-RU"/>
    </w:rPr>
  </w:style>
  <w:style w:type="paragraph" w:customStyle="1" w:styleId="CharCharCharChar">
    <w:name w:val="Char Char Char Char"/>
    <w:basedOn w:val="a0"/>
    <w:next w:val="a0"/>
    <w:semiHidden/>
    <w:pPr>
      <w:spacing w:after="160" w:line="240" w:lineRule="exact"/>
    </w:pPr>
    <w:rPr>
      <w:rFonts w:ascii="Arial" w:eastAsia="Times New Roman" w:hAnsi="Arial" w:cs="Arial"/>
      <w:sz w:val="20"/>
      <w:szCs w:val="20"/>
      <w:lang w:val="en-US"/>
    </w:rPr>
  </w:style>
  <w:style w:type="paragraph" w:styleId="a">
    <w:name w:val="List Bullet"/>
    <w:basedOn w:val="a0"/>
    <w:uiPriority w:val="99"/>
    <w:unhideWhenUsed/>
    <w:pPr>
      <w:numPr>
        <w:numId w:val="1"/>
      </w:numPr>
      <w:contextualSpacing/>
    </w:pPr>
    <w:rPr>
      <w:rFonts w:asciiTheme="minorHAnsi" w:eastAsiaTheme="minorHAnsi" w:hAnsiTheme="minorHAnsi" w:cstheme="minorBidi"/>
    </w:rPr>
  </w:style>
  <w:style w:type="paragraph" w:styleId="aff0">
    <w:name w:val="caption"/>
    <w:basedOn w:val="a0"/>
    <w:next w:val="a0"/>
    <w:unhideWhenUsed/>
    <w:qFormat/>
    <w:pPr>
      <w:spacing w:line="240" w:lineRule="auto"/>
    </w:pPr>
    <w:rPr>
      <w:rFonts w:asciiTheme="minorHAnsi" w:eastAsiaTheme="minorHAnsi" w:hAnsiTheme="minorHAnsi" w:cstheme="minorBidi"/>
      <w:b/>
      <w:bCs/>
      <w:color w:val="4F81BD" w:themeColor="accent1"/>
      <w:sz w:val="18"/>
      <w:szCs w:val="18"/>
    </w:rPr>
  </w:style>
  <w:style w:type="paragraph" w:customStyle="1" w:styleId="11">
    <w:name w:val="Абзац списка1"/>
    <w:basedOn w:val="a0"/>
    <w:link w:val="ListParagraphChar"/>
    <w:pPr>
      <w:ind w:left="720"/>
      <w:contextualSpacing/>
    </w:pPr>
  </w:style>
  <w:style w:type="character" w:customStyle="1" w:styleId="ListParagraphChar">
    <w:name w:val="List Paragraph Char"/>
    <w:link w:val="11"/>
    <w:locked/>
    <w:rPr>
      <w:rFonts w:ascii="Calibri" w:eastAsia="Calibri" w:hAnsi="Calibri" w:cs="Times New Roman"/>
    </w:rPr>
  </w:style>
  <w:style w:type="paragraph" w:customStyle="1" w:styleId="5">
    <w:name w:val="Стиль5 рис."/>
    <w:basedOn w:val="11"/>
    <w:qFormat/>
    <w:pPr>
      <w:tabs>
        <w:tab w:val="left" w:pos="709"/>
        <w:tab w:val="left" w:pos="1134"/>
      </w:tabs>
      <w:spacing w:after="0" w:line="360" w:lineRule="atLeast"/>
      <w:ind w:left="0" w:firstLine="709"/>
      <w:jc w:val="center"/>
      <w:outlineLvl w:val="8"/>
    </w:pPr>
    <w:rPr>
      <w:rFonts w:ascii="Times New Roman" w:hAnsi="Times New Roman"/>
      <w:sz w:val="24"/>
      <w:szCs w:val="24"/>
      <w:lang w:eastAsia="ru-RU"/>
    </w:rPr>
  </w:style>
  <w:style w:type="paragraph" w:customStyle="1" w:styleId="12">
    <w:name w:val="_1"/>
    <w:basedOn w:val="a0"/>
    <w:qFormat/>
    <w:pPr>
      <w:pageBreakBefore/>
      <w:spacing w:before="240" w:after="0" w:line="240" w:lineRule="auto"/>
      <w:ind w:firstLine="709"/>
      <w:jc w:val="both"/>
      <w:outlineLvl w:val="1"/>
    </w:pPr>
    <w:rPr>
      <w:rFonts w:ascii="Times New Roman" w:hAnsi="Times New Roman"/>
      <w:b/>
      <w:sz w:val="28"/>
      <w:szCs w:val="28"/>
    </w:rPr>
  </w:style>
  <w:style w:type="character" w:customStyle="1" w:styleId="a8">
    <w:name w:val="Без интервала Знак"/>
    <w:basedOn w:val="a1"/>
    <w:link w:val="a7"/>
    <w:uiPriority w:val="1"/>
    <w:rPr>
      <w:rFonts w:ascii="Times New Roman" w:eastAsia="Times New Roman" w:hAnsi="Times New Roman" w:cs="Calibri"/>
      <w:sz w:val="28"/>
      <w:lang w:eastAsia="ru-RU"/>
    </w:rPr>
  </w:style>
  <w:style w:type="paragraph" w:customStyle="1" w:styleId="41">
    <w:name w:val="Абзац списка4"/>
    <w:basedOn w:val="a0"/>
    <w:pPr>
      <w:spacing w:after="100" w:afterAutospacing="1" w:line="240" w:lineRule="auto"/>
      <w:ind w:left="720"/>
      <w:contextualSpacing/>
    </w:pPr>
    <w:rPr>
      <w:rFonts w:ascii="Helvetica" w:eastAsia="Times New Roman" w:hAnsi="Helvetica"/>
      <w:color w:val="FFFFCC"/>
      <w:sz w:val="20"/>
      <w:szCs w:val="20"/>
      <w:lang w:val="x-none" w:eastAsia="x-none"/>
    </w:rPr>
  </w:style>
  <w:style w:type="character" w:customStyle="1" w:styleId="apple-converted-space">
    <w:name w:val="apple-converted-space"/>
    <w:basedOn w:val="a1"/>
  </w:style>
  <w:style w:type="character" w:customStyle="1" w:styleId="grandtotal2">
    <w:name w:val="grandtotal2"/>
    <w:basedOn w:val="a1"/>
    <w:rPr>
      <w:b/>
      <w:bCs/>
      <w:vanish w:val="0"/>
      <w:webHidden w:val="0"/>
      <w:color w:val="A17D1C"/>
      <w:sz w:val="45"/>
      <w:szCs w:val="45"/>
      <w:specVanish w:val="0"/>
    </w:rPr>
  </w:style>
  <w:style w:type="paragraph" w:customStyle="1" w:styleId="TableText">
    <w:name w:val="TableText"/>
    <w:basedOn w:val="a0"/>
    <w:pPr>
      <w:keepLines/>
      <w:suppressAutoHyphens/>
      <w:spacing w:after="0" w:line="288" w:lineRule="auto"/>
      <w:ind w:firstLine="567"/>
      <w:jc w:val="both"/>
    </w:pPr>
    <w:rPr>
      <w:rFonts w:ascii="Times New Roman" w:eastAsia="Times New Roman" w:hAnsi="Times New Roman"/>
      <w:sz w:val="28"/>
      <w:szCs w:val="20"/>
      <w:lang w:eastAsia="ar-SA"/>
    </w:rPr>
  </w:style>
  <w:style w:type="paragraph" w:customStyle="1" w:styleId="aff1">
    <w:name w:val="Знак"/>
    <w:basedOn w:val="a0"/>
    <w:uiPriority w:val="99"/>
    <w:pPr>
      <w:spacing w:after="160" w:line="240" w:lineRule="exact"/>
    </w:pPr>
    <w:rPr>
      <w:rFonts w:ascii="Verdana" w:eastAsia="Times New Roman" w:hAnsi="Verdana"/>
      <w:sz w:val="24"/>
      <w:szCs w:val="24"/>
      <w:lang w:val="en-US"/>
    </w:rPr>
  </w:style>
  <w:style w:type="character" w:customStyle="1" w:styleId="s14">
    <w:name w:val="s14"/>
  </w:style>
  <w:style w:type="character" w:customStyle="1" w:styleId="FontStyle11">
    <w:name w:val="Font Style11"/>
    <w:basedOn w:val="a1"/>
    <w:uiPriority w:val="99"/>
    <w:rPr>
      <w:rFonts w:ascii="Arial" w:hAnsi="Arial" w:cs="Arial"/>
      <w:spacing w:val="-10"/>
      <w:sz w:val="30"/>
      <w:szCs w:val="30"/>
    </w:rPr>
  </w:style>
  <w:style w:type="paragraph" w:customStyle="1" w:styleId="OTRNormal">
    <w:name w:val="OTR_Normal"/>
    <w:basedOn w:val="a0"/>
    <w:link w:val="OTRNormal0"/>
    <w:pPr>
      <w:spacing w:before="60" w:after="120" w:line="240" w:lineRule="auto"/>
      <w:ind w:firstLine="567"/>
      <w:jc w:val="both"/>
    </w:pPr>
    <w:rPr>
      <w:rFonts w:ascii="Times New Roman" w:eastAsia="Times New Roman" w:hAnsi="Times New Roman"/>
      <w:sz w:val="24"/>
      <w:szCs w:val="20"/>
      <w:lang w:eastAsia="ru-RU"/>
    </w:rPr>
  </w:style>
  <w:style w:type="character" w:customStyle="1" w:styleId="OTRNormal0">
    <w:name w:val="OTR_Normal Знак"/>
    <w:link w:val="OTRNormal"/>
    <w:rPr>
      <w:rFonts w:ascii="Times New Roman" w:eastAsia="Times New Roman" w:hAnsi="Times New Roman" w:cs="Times New Roman"/>
      <w:sz w:val="24"/>
      <w:szCs w:val="20"/>
      <w:lang w:eastAsia="ru-RU"/>
    </w:rPr>
  </w:style>
  <w:style w:type="paragraph" w:customStyle="1" w:styleId="ConsPlusTitle">
    <w:name w:val="ConsPlusTitle"/>
    <w:uiPriority w:val="99"/>
    <w:pPr>
      <w:widowControl w:val="0"/>
      <w:autoSpaceDE w:val="0"/>
      <w:autoSpaceDN w:val="0"/>
      <w:spacing w:after="0" w:line="240" w:lineRule="auto"/>
    </w:pPr>
    <w:rPr>
      <w:rFonts w:ascii="Calibri" w:eastAsia="Times New Roman" w:hAnsi="Calibri" w:cs="Calibri"/>
      <w:b/>
      <w:szCs w:val="20"/>
      <w:lang w:eastAsia="ru-RU"/>
    </w:rPr>
  </w:style>
  <w:style w:type="character" w:customStyle="1" w:styleId="40">
    <w:name w:val="Заголовок 4 Знак"/>
    <w:basedOn w:val="a1"/>
    <w:link w:val="4"/>
    <w:rPr>
      <w:rFonts w:asciiTheme="majorHAnsi" w:eastAsiaTheme="majorEastAsia" w:hAnsiTheme="majorHAnsi" w:cstheme="majorBidi"/>
      <w:b/>
      <w:bCs/>
      <w:i/>
      <w:iCs/>
      <w:color w:val="4F81BD" w:themeColor="accent1"/>
    </w:rPr>
  </w:style>
  <w:style w:type="character" w:customStyle="1" w:styleId="30">
    <w:name w:val="Заголовок 3 Знак"/>
    <w:basedOn w:val="a1"/>
    <w:link w:val="3"/>
    <w:uiPriority w:val="9"/>
    <w:rPr>
      <w:rFonts w:asciiTheme="majorHAnsi" w:eastAsiaTheme="majorEastAsia" w:hAnsiTheme="majorHAnsi" w:cstheme="majorBidi"/>
      <w:b/>
      <w:bCs/>
      <w:color w:val="4F81BD" w:themeColor="accent1"/>
    </w:rPr>
  </w:style>
  <w:style w:type="table" w:customStyle="1" w:styleId="13">
    <w:name w:val="Сетка таблицы1"/>
    <w:basedOn w:val="a2"/>
    <w:next w:val="afc"/>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w:basedOn w:val="a0"/>
    <w:pPr>
      <w:spacing w:after="160" w:line="240" w:lineRule="exact"/>
    </w:pPr>
    <w:rPr>
      <w:rFonts w:ascii="Verdana" w:eastAsia="Times New Roman" w:hAnsi="Verdana"/>
      <w:sz w:val="24"/>
      <w:szCs w:val="24"/>
      <w:lang w:val="en-US"/>
    </w:rPr>
  </w:style>
  <w:style w:type="paragraph" w:customStyle="1" w:styleId="aff3">
    <w:name w:val="Знак"/>
    <w:basedOn w:val="a0"/>
    <w:pPr>
      <w:spacing w:after="160" w:line="240" w:lineRule="exact"/>
    </w:pPr>
    <w:rPr>
      <w:rFonts w:ascii="Verdana" w:eastAsia="Times New Roman" w:hAnsi="Verdana"/>
      <w:sz w:val="24"/>
      <w:szCs w:val="24"/>
      <w:lang w:val="en-US"/>
    </w:rPr>
  </w:style>
  <w:style w:type="paragraph" w:customStyle="1" w:styleId="m343370436957569700p1">
    <w:name w:val="m_343370436957569700p1"/>
    <w:basedOn w:val="a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343370436957569700s1">
    <w:name w:val="m_343370436957569700s1"/>
    <w:basedOn w:val="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Pr>
      <w:rFonts w:ascii="Calibri" w:eastAsia="Calibri" w:hAnsi="Calibri" w:cs="Times New Roman"/>
    </w:rPr>
  </w:style>
  <w:style w:type="paragraph" w:styleId="1">
    <w:name w:val="heading 1"/>
    <w:basedOn w:val="a0"/>
    <w:next w:val="a0"/>
    <w:link w:val="10"/>
    <w:uiPriority w:val="99"/>
    <w:qFormat/>
    <w:pPr>
      <w:keepNext/>
      <w:keepLines/>
      <w:spacing w:before="480" w:after="0"/>
      <w:outlineLvl w:val="0"/>
    </w:pPr>
    <w:rPr>
      <w:rFonts w:ascii="Cambria" w:eastAsia="Times New Roman" w:hAnsi="Cambria"/>
      <w:b/>
      <w:bCs/>
      <w:color w:val="365F91"/>
      <w:sz w:val="28"/>
      <w:szCs w:val="28"/>
    </w:rPr>
  </w:style>
  <w:style w:type="paragraph" w:styleId="2">
    <w:name w:val="heading 2"/>
    <w:basedOn w:val="a0"/>
    <w:next w:val="a0"/>
    <w:link w:val="20"/>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1">
    <w:name w:val="Body Text 2"/>
    <w:basedOn w:val="a0"/>
    <w:link w:val="22"/>
    <w:uiPriority w:val="99"/>
    <w:pPr>
      <w:spacing w:after="120" w:line="480" w:lineRule="auto"/>
    </w:pPr>
    <w:rPr>
      <w:rFonts w:ascii="Times New Roman" w:eastAsia="Times New Roman" w:hAnsi="Times New Roman"/>
      <w:sz w:val="20"/>
      <w:szCs w:val="20"/>
      <w:lang w:eastAsia="ru-RU"/>
    </w:rPr>
  </w:style>
  <w:style w:type="character" w:customStyle="1" w:styleId="22">
    <w:name w:val="Основной текст 2 Знак"/>
    <w:basedOn w:val="a1"/>
    <w:link w:val="21"/>
    <w:uiPriority w:val="99"/>
    <w:rPr>
      <w:rFonts w:ascii="Times New Roman" w:eastAsia="Times New Roman" w:hAnsi="Times New Roman" w:cs="Times New Roman"/>
      <w:sz w:val="20"/>
      <w:szCs w:val="20"/>
      <w:lang w:eastAsia="ru-RU"/>
    </w:rPr>
  </w:style>
  <w:style w:type="character" w:styleId="a4">
    <w:name w:val="Hyperlink"/>
    <w:basedOn w:val="a1"/>
    <w:uiPriority w:val="99"/>
    <w:rPr>
      <w:rFonts w:cs="Times New Roman"/>
      <w:color w:val="0000FF"/>
      <w:u w:val="single"/>
    </w:rPr>
  </w:style>
  <w:style w:type="paragraph" w:styleId="a5">
    <w:name w:val="List Paragraph"/>
    <w:aliases w:val="4.2.2"/>
    <w:basedOn w:val="a0"/>
    <w:link w:val="a6"/>
    <w:uiPriority w:val="34"/>
    <w:qFormat/>
    <w:pPr>
      <w:ind w:left="720"/>
      <w:contextualSpacing/>
    </w:pPr>
  </w:style>
  <w:style w:type="character" w:customStyle="1" w:styleId="a6">
    <w:name w:val="Абзац списка Знак"/>
    <w:aliases w:val="4.2.2 Знак"/>
    <w:link w:val="a5"/>
    <w:uiPriority w:val="34"/>
    <w:locked/>
    <w:rPr>
      <w:rFonts w:ascii="Calibri" w:eastAsia="Calibri" w:hAnsi="Calibri" w:cs="Times New Roman"/>
    </w:rPr>
  </w:style>
  <w:style w:type="paragraph" w:styleId="a7">
    <w:name w:val="No Spacing"/>
    <w:link w:val="a8"/>
    <w:uiPriority w:val="1"/>
    <w:qFormat/>
    <w:pPr>
      <w:spacing w:after="0" w:line="240" w:lineRule="auto"/>
      <w:ind w:firstLine="851"/>
      <w:jc w:val="both"/>
    </w:pPr>
    <w:rPr>
      <w:rFonts w:ascii="Times New Roman" w:eastAsia="Times New Roman" w:hAnsi="Times New Roman" w:cs="Calibri"/>
      <w:sz w:val="28"/>
      <w:lang w:eastAsia="ru-RU"/>
    </w:rPr>
  </w:style>
  <w:style w:type="paragraph" w:customStyle="1" w:styleId="a9">
    <w:name w:val="Обычный (паспорт)"/>
    <w:basedOn w:val="a0"/>
    <w:pPr>
      <w:spacing w:before="120" w:after="0" w:line="240" w:lineRule="auto"/>
      <w:jc w:val="both"/>
    </w:pPr>
    <w:rPr>
      <w:rFonts w:ascii="Times New Roman" w:eastAsia="Times New Roman" w:hAnsi="Times New Roman"/>
      <w:sz w:val="28"/>
      <w:szCs w:val="28"/>
      <w:lang w:eastAsia="ru-RU"/>
    </w:rPr>
  </w:style>
  <w:style w:type="character" w:customStyle="1" w:styleId="10">
    <w:name w:val="Заголовок 1 Знак"/>
    <w:basedOn w:val="a1"/>
    <w:link w:val="1"/>
    <w:uiPriority w:val="99"/>
    <w:rPr>
      <w:rFonts w:ascii="Cambria" w:eastAsia="Times New Roman" w:hAnsi="Cambria" w:cs="Times New Roman"/>
      <w:b/>
      <w:bCs/>
      <w:color w:val="365F91"/>
      <w:sz w:val="28"/>
      <w:szCs w:val="28"/>
    </w:rPr>
  </w:style>
  <w:style w:type="paragraph" w:customStyle="1" w:styleId="aa">
    <w:name w:val="Знак"/>
    <w:basedOn w:val="a0"/>
    <w:uiPriority w:val="99"/>
    <w:pPr>
      <w:spacing w:after="160" w:line="240" w:lineRule="exact"/>
    </w:pPr>
    <w:rPr>
      <w:rFonts w:ascii="Verdana" w:eastAsia="Times New Roman" w:hAnsi="Verdana"/>
      <w:sz w:val="24"/>
      <w:szCs w:val="24"/>
      <w:lang w:val="en-US"/>
    </w:rPr>
  </w:style>
  <w:style w:type="paragraph" w:styleId="ab">
    <w:name w:val="Balloon Text"/>
    <w:basedOn w:val="a0"/>
    <w:link w:val="ac"/>
    <w:uiPriority w:val="99"/>
    <w:semiHidden/>
    <w:unhideWhenUsed/>
    <w:pPr>
      <w:spacing w:after="0" w:line="240" w:lineRule="auto"/>
    </w:pPr>
    <w:rPr>
      <w:rFonts w:ascii="Tahoma" w:hAnsi="Tahoma" w:cs="Tahoma"/>
      <w:sz w:val="16"/>
      <w:szCs w:val="16"/>
    </w:rPr>
  </w:style>
  <w:style w:type="character" w:customStyle="1" w:styleId="ac">
    <w:name w:val="Текст выноски Знак"/>
    <w:basedOn w:val="a1"/>
    <w:link w:val="ab"/>
    <w:uiPriority w:val="99"/>
    <w:semiHidden/>
    <w:rPr>
      <w:rFonts w:ascii="Tahoma" w:eastAsia="Calibri" w:hAnsi="Tahoma" w:cs="Tahoma"/>
      <w:sz w:val="16"/>
      <w:szCs w:val="16"/>
    </w:rPr>
  </w:style>
  <w:style w:type="paragraph" w:styleId="ad">
    <w:name w:val="header"/>
    <w:basedOn w:val="a0"/>
    <w:link w:val="ae"/>
    <w:uiPriority w:val="99"/>
    <w:unhideWhenUsed/>
    <w:pPr>
      <w:tabs>
        <w:tab w:val="center" w:pos="4677"/>
        <w:tab w:val="right" w:pos="9355"/>
      </w:tabs>
      <w:spacing w:after="0" w:line="240" w:lineRule="auto"/>
    </w:pPr>
  </w:style>
  <w:style w:type="character" w:customStyle="1" w:styleId="ae">
    <w:name w:val="Верхний колонтитул Знак"/>
    <w:basedOn w:val="a1"/>
    <w:link w:val="ad"/>
    <w:uiPriority w:val="99"/>
    <w:rPr>
      <w:rFonts w:ascii="Calibri" w:eastAsia="Calibri" w:hAnsi="Calibri" w:cs="Times New Roman"/>
    </w:rPr>
  </w:style>
  <w:style w:type="paragraph" w:styleId="af">
    <w:name w:val="footer"/>
    <w:basedOn w:val="a0"/>
    <w:link w:val="af0"/>
    <w:uiPriority w:val="99"/>
    <w:unhideWhenUsed/>
    <w:pPr>
      <w:tabs>
        <w:tab w:val="center" w:pos="4677"/>
        <w:tab w:val="right" w:pos="9355"/>
      </w:tabs>
      <w:spacing w:after="0" w:line="240" w:lineRule="auto"/>
    </w:pPr>
  </w:style>
  <w:style w:type="character" w:customStyle="1" w:styleId="af0">
    <w:name w:val="Нижний колонтитул Знак"/>
    <w:basedOn w:val="a1"/>
    <w:link w:val="af"/>
    <w:uiPriority w:val="99"/>
    <w:rPr>
      <w:rFonts w:ascii="Calibri" w:eastAsia="Calibri" w:hAnsi="Calibri" w:cs="Times New Roman"/>
    </w:rPr>
  </w:style>
  <w:style w:type="paragraph" w:customStyle="1" w:styleId="ConsPlusNormal">
    <w:name w:val="ConsPlusNormal"/>
    <w:uiPriority w:val="9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footnote text"/>
    <w:basedOn w:val="a0"/>
    <w:link w:val="af2"/>
    <w:pPr>
      <w:spacing w:after="0" w:line="240" w:lineRule="auto"/>
    </w:pPr>
    <w:rPr>
      <w:rFonts w:ascii="Times New Roman" w:eastAsia="Times New Roman" w:hAnsi="Times New Roman"/>
      <w:sz w:val="20"/>
      <w:szCs w:val="20"/>
      <w:lang w:eastAsia="ru-RU"/>
    </w:rPr>
  </w:style>
  <w:style w:type="character" w:customStyle="1" w:styleId="af2">
    <w:name w:val="Текст сноски Знак"/>
    <w:basedOn w:val="a1"/>
    <w:link w:val="af1"/>
    <w:rPr>
      <w:rFonts w:ascii="Times New Roman" w:eastAsia="Times New Roman" w:hAnsi="Times New Roman" w:cs="Times New Roman"/>
      <w:sz w:val="20"/>
      <w:szCs w:val="20"/>
      <w:lang w:eastAsia="ru-RU"/>
    </w:rPr>
  </w:style>
  <w:style w:type="character" w:styleId="af3">
    <w:name w:val="footnote reference"/>
    <w:basedOn w:val="a1"/>
    <w:rPr>
      <w:rFonts w:cs="Times New Roman"/>
      <w:vertAlign w:val="superscript"/>
    </w:rPr>
  </w:style>
  <w:style w:type="paragraph" w:styleId="af4">
    <w:name w:val="Body Text Indent"/>
    <w:basedOn w:val="a0"/>
    <w:link w:val="af5"/>
    <w:uiPriority w:val="99"/>
    <w:pPr>
      <w:spacing w:after="120" w:line="240" w:lineRule="auto"/>
      <w:ind w:left="283"/>
    </w:pPr>
    <w:rPr>
      <w:rFonts w:ascii="Times New Roman" w:eastAsia="Times New Roman" w:hAnsi="Times New Roman"/>
      <w:sz w:val="24"/>
      <w:szCs w:val="24"/>
      <w:lang w:eastAsia="ru-RU"/>
    </w:rPr>
  </w:style>
  <w:style w:type="character" w:customStyle="1" w:styleId="af5">
    <w:name w:val="Основной текст с отступом Знак"/>
    <w:basedOn w:val="a1"/>
    <w:link w:val="af4"/>
    <w:uiPriority w:val="99"/>
    <w:rPr>
      <w:rFonts w:ascii="Times New Roman" w:eastAsia="Times New Roman" w:hAnsi="Times New Roman" w:cs="Times New Roman"/>
      <w:sz w:val="24"/>
      <w:szCs w:val="24"/>
      <w:lang w:eastAsia="ru-RU"/>
    </w:rPr>
  </w:style>
  <w:style w:type="character" w:styleId="af6">
    <w:name w:val="page number"/>
    <w:basedOn w:val="a1"/>
    <w:uiPriority w:val="99"/>
    <w:rPr>
      <w:rFonts w:cs="Times New Roman"/>
    </w:rPr>
  </w:style>
  <w:style w:type="paragraph" w:customStyle="1" w:styleId="ConsPlusNonformat">
    <w:name w:val="ConsPlusNonformat"/>
    <w:uiPriority w:val="9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7">
    <w:name w:val="annotation reference"/>
    <w:basedOn w:val="a1"/>
    <w:uiPriority w:val="99"/>
    <w:semiHidden/>
    <w:rPr>
      <w:rFonts w:cs="Times New Roman"/>
      <w:sz w:val="16"/>
      <w:szCs w:val="16"/>
    </w:rPr>
  </w:style>
  <w:style w:type="paragraph" w:styleId="af8">
    <w:name w:val="annotation text"/>
    <w:basedOn w:val="a0"/>
    <w:link w:val="af9"/>
    <w:uiPriority w:val="99"/>
    <w:semiHidden/>
    <w:pPr>
      <w:spacing w:after="0" w:line="240" w:lineRule="auto"/>
    </w:pPr>
    <w:rPr>
      <w:rFonts w:ascii="Times New Roman" w:eastAsia="Times New Roman" w:hAnsi="Times New Roman"/>
      <w:sz w:val="20"/>
      <w:szCs w:val="20"/>
      <w:lang w:eastAsia="ru-RU"/>
    </w:rPr>
  </w:style>
  <w:style w:type="character" w:customStyle="1" w:styleId="af9">
    <w:name w:val="Текст примечания Знак"/>
    <w:basedOn w:val="a1"/>
    <w:link w:val="af8"/>
    <w:uiPriority w:val="99"/>
    <w:semiHidden/>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rPr>
      <w:b/>
      <w:bCs/>
    </w:rPr>
  </w:style>
  <w:style w:type="character" w:customStyle="1" w:styleId="afb">
    <w:name w:val="Тема примечания Знак"/>
    <w:basedOn w:val="af9"/>
    <w:link w:val="afa"/>
    <w:uiPriority w:val="99"/>
    <w:semiHidden/>
    <w:rPr>
      <w:rFonts w:ascii="Times New Roman" w:eastAsia="Times New Roman" w:hAnsi="Times New Roman" w:cs="Times New Roman"/>
      <w:b/>
      <w:bCs/>
      <w:sz w:val="20"/>
      <w:szCs w:val="20"/>
      <w:lang w:eastAsia="ru-RU"/>
    </w:rPr>
  </w:style>
  <w:style w:type="table" w:styleId="afc">
    <w:name w:val="Table Grid"/>
    <w:basedOn w:val="a2"/>
    <w:uiPriority w:val="59"/>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Revision"/>
    <w:hidden/>
    <w:uiPriority w:val="99"/>
    <w:semiHidden/>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semiHidden/>
    <w:rPr>
      <w:rFonts w:asciiTheme="majorHAnsi" w:eastAsiaTheme="majorEastAsia" w:hAnsiTheme="majorHAnsi" w:cstheme="majorBidi"/>
      <w:b/>
      <w:bCs/>
      <w:color w:val="4F81BD" w:themeColor="accent1"/>
      <w:sz w:val="26"/>
      <w:szCs w:val="26"/>
    </w:rPr>
  </w:style>
  <w:style w:type="paragraph" w:customStyle="1" w:styleId="afe">
    <w:name w:val="Обычный + По ширине"/>
    <w:aliases w:val="Междустр.интервал:  минимум 18 пт"/>
    <w:basedOn w:val="a0"/>
    <w:pPr>
      <w:spacing w:after="0" w:line="360" w:lineRule="atLeast"/>
    </w:pPr>
    <w:rPr>
      <w:rFonts w:ascii="Times New Roman" w:eastAsia="Times New Roman" w:hAnsi="Times New Roman"/>
      <w:sz w:val="16"/>
      <w:szCs w:val="16"/>
      <w:lang w:eastAsia="ru-RU"/>
    </w:rPr>
  </w:style>
  <w:style w:type="character" w:customStyle="1" w:styleId="OTRSymItalic">
    <w:name w:val="OTR_Sym_Italic"/>
    <w:rPr>
      <w:i/>
    </w:rPr>
  </w:style>
  <w:style w:type="paragraph" w:styleId="aff">
    <w:name w:val="Normal (Web)"/>
    <w:basedOn w:val="a0"/>
    <w:uiPriority w:val="99"/>
    <w:unhideWhenUsed/>
    <w:pPr>
      <w:spacing w:before="100" w:beforeAutospacing="1" w:after="119" w:line="240" w:lineRule="auto"/>
    </w:pPr>
    <w:rPr>
      <w:rFonts w:ascii="Times New Roman" w:eastAsia="Times New Roman" w:hAnsi="Times New Roman"/>
      <w:sz w:val="24"/>
      <w:szCs w:val="24"/>
      <w:lang w:eastAsia="ru-RU"/>
    </w:rPr>
  </w:style>
  <w:style w:type="paragraph" w:customStyle="1" w:styleId="CharCharCharChar">
    <w:name w:val="Char Char Char Char"/>
    <w:basedOn w:val="a0"/>
    <w:next w:val="a0"/>
    <w:semiHidden/>
    <w:pPr>
      <w:spacing w:after="160" w:line="240" w:lineRule="exact"/>
    </w:pPr>
    <w:rPr>
      <w:rFonts w:ascii="Arial" w:eastAsia="Times New Roman" w:hAnsi="Arial" w:cs="Arial"/>
      <w:sz w:val="20"/>
      <w:szCs w:val="20"/>
      <w:lang w:val="en-US"/>
    </w:rPr>
  </w:style>
  <w:style w:type="paragraph" w:styleId="a">
    <w:name w:val="List Bullet"/>
    <w:basedOn w:val="a0"/>
    <w:uiPriority w:val="99"/>
    <w:unhideWhenUsed/>
    <w:pPr>
      <w:numPr>
        <w:numId w:val="1"/>
      </w:numPr>
      <w:contextualSpacing/>
    </w:pPr>
    <w:rPr>
      <w:rFonts w:asciiTheme="minorHAnsi" w:eastAsiaTheme="minorHAnsi" w:hAnsiTheme="minorHAnsi" w:cstheme="minorBidi"/>
    </w:rPr>
  </w:style>
  <w:style w:type="paragraph" w:styleId="aff0">
    <w:name w:val="caption"/>
    <w:basedOn w:val="a0"/>
    <w:next w:val="a0"/>
    <w:unhideWhenUsed/>
    <w:qFormat/>
    <w:pPr>
      <w:spacing w:line="240" w:lineRule="auto"/>
    </w:pPr>
    <w:rPr>
      <w:rFonts w:asciiTheme="minorHAnsi" w:eastAsiaTheme="minorHAnsi" w:hAnsiTheme="minorHAnsi" w:cstheme="minorBidi"/>
      <w:b/>
      <w:bCs/>
      <w:color w:val="4F81BD" w:themeColor="accent1"/>
      <w:sz w:val="18"/>
      <w:szCs w:val="18"/>
    </w:rPr>
  </w:style>
  <w:style w:type="paragraph" w:customStyle="1" w:styleId="11">
    <w:name w:val="Абзац списка1"/>
    <w:basedOn w:val="a0"/>
    <w:link w:val="ListParagraphChar"/>
    <w:pPr>
      <w:ind w:left="720"/>
      <w:contextualSpacing/>
    </w:pPr>
  </w:style>
  <w:style w:type="character" w:customStyle="1" w:styleId="ListParagraphChar">
    <w:name w:val="List Paragraph Char"/>
    <w:link w:val="11"/>
    <w:locked/>
    <w:rPr>
      <w:rFonts w:ascii="Calibri" w:eastAsia="Calibri" w:hAnsi="Calibri" w:cs="Times New Roman"/>
    </w:rPr>
  </w:style>
  <w:style w:type="paragraph" w:customStyle="1" w:styleId="5">
    <w:name w:val="Стиль5 рис."/>
    <w:basedOn w:val="11"/>
    <w:qFormat/>
    <w:pPr>
      <w:tabs>
        <w:tab w:val="left" w:pos="709"/>
        <w:tab w:val="left" w:pos="1134"/>
      </w:tabs>
      <w:spacing w:after="0" w:line="360" w:lineRule="atLeast"/>
      <w:ind w:left="0" w:firstLine="709"/>
      <w:jc w:val="center"/>
      <w:outlineLvl w:val="8"/>
    </w:pPr>
    <w:rPr>
      <w:rFonts w:ascii="Times New Roman" w:hAnsi="Times New Roman"/>
      <w:sz w:val="24"/>
      <w:szCs w:val="24"/>
      <w:lang w:eastAsia="ru-RU"/>
    </w:rPr>
  </w:style>
  <w:style w:type="paragraph" w:customStyle="1" w:styleId="12">
    <w:name w:val="_1"/>
    <w:basedOn w:val="a0"/>
    <w:qFormat/>
    <w:pPr>
      <w:pageBreakBefore/>
      <w:spacing w:before="240" w:after="0" w:line="240" w:lineRule="auto"/>
      <w:ind w:firstLine="709"/>
      <w:jc w:val="both"/>
      <w:outlineLvl w:val="1"/>
    </w:pPr>
    <w:rPr>
      <w:rFonts w:ascii="Times New Roman" w:hAnsi="Times New Roman"/>
      <w:b/>
      <w:sz w:val="28"/>
      <w:szCs w:val="28"/>
    </w:rPr>
  </w:style>
  <w:style w:type="character" w:customStyle="1" w:styleId="a8">
    <w:name w:val="Без интервала Знак"/>
    <w:basedOn w:val="a1"/>
    <w:link w:val="a7"/>
    <w:uiPriority w:val="1"/>
    <w:rPr>
      <w:rFonts w:ascii="Times New Roman" w:eastAsia="Times New Roman" w:hAnsi="Times New Roman" w:cs="Calibri"/>
      <w:sz w:val="28"/>
      <w:lang w:eastAsia="ru-RU"/>
    </w:rPr>
  </w:style>
  <w:style w:type="paragraph" w:customStyle="1" w:styleId="41">
    <w:name w:val="Абзац списка4"/>
    <w:basedOn w:val="a0"/>
    <w:pPr>
      <w:spacing w:after="100" w:afterAutospacing="1" w:line="240" w:lineRule="auto"/>
      <w:ind w:left="720"/>
      <w:contextualSpacing/>
    </w:pPr>
    <w:rPr>
      <w:rFonts w:ascii="Helvetica" w:eastAsia="Times New Roman" w:hAnsi="Helvetica"/>
      <w:color w:val="FFFFCC"/>
      <w:sz w:val="20"/>
      <w:szCs w:val="20"/>
      <w:lang w:val="x-none" w:eastAsia="x-none"/>
    </w:rPr>
  </w:style>
  <w:style w:type="character" w:customStyle="1" w:styleId="apple-converted-space">
    <w:name w:val="apple-converted-space"/>
    <w:basedOn w:val="a1"/>
  </w:style>
  <w:style w:type="character" w:customStyle="1" w:styleId="grandtotal2">
    <w:name w:val="grandtotal2"/>
    <w:basedOn w:val="a1"/>
    <w:rPr>
      <w:b/>
      <w:bCs/>
      <w:vanish w:val="0"/>
      <w:webHidden w:val="0"/>
      <w:color w:val="A17D1C"/>
      <w:sz w:val="45"/>
      <w:szCs w:val="45"/>
      <w:specVanish w:val="0"/>
    </w:rPr>
  </w:style>
  <w:style w:type="paragraph" w:customStyle="1" w:styleId="TableText">
    <w:name w:val="TableText"/>
    <w:basedOn w:val="a0"/>
    <w:pPr>
      <w:keepLines/>
      <w:suppressAutoHyphens/>
      <w:spacing w:after="0" w:line="288" w:lineRule="auto"/>
      <w:ind w:firstLine="567"/>
      <w:jc w:val="both"/>
    </w:pPr>
    <w:rPr>
      <w:rFonts w:ascii="Times New Roman" w:eastAsia="Times New Roman" w:hAnsi="Times New Roman"/>
      <w:sz w:val="28"/>
      <w:szCs w:val="20"/>
      <w:lang w:eastAsia="ar-SA"/>
    </w:rPr>
  </w:style>
  <w:style w:type="paragraph" w:customStyle="1" w:styleId="aff1">
    <w:name w:val="Знак"/>
    <w:basedOn w:val="a0"/>
    <w:uiPriority w:val="99"/>
    <w:pPr>
      <w:spacing w:after="160" w:line="240" w:lineRule="exact"/>
    </w:pPr>
    <w:rPr>
      <w:rFonts w:ascii="Verdana" w:eastAsia="Times New Roman" w:hAnsi="Verdana"/>
      <w:sz w:val="24"/>
      <w:szCs w:val="24"/>
      <w:lang w:val="en-US"/>
    </w:rPr>
  </w:style>
  <w:style w:type="character" w:customStyle="1" w:styleId="s14">
    <w:name w:val="s14"/>
  </w:style>
  <w:style w:type="character" w:customStyle="1" w:styleId="FontStyle11">
    <w:name w:val="Font Style11"/>
    <w:basedOn w:val="a1"/>
    <w:uiPriority w:val="99"/>
    <w:rPr>
      <w:rFonts w:ascii="Arial" w:hAnsi="Arial" w:cs="Arial"/>
      <w:spacing w:val="-10"/>
      <w:sz w:val="30"/>
      <w:szCs w:val="30"/>
    </w:rPr>
  </w:style>
  <w:style w:type="paragraph" w:customStyle="1" w:styleId="OTRNormal">
    <w:name w:val="OTR_Normal"/>
    <w:basedOn w:val="a0"/>
    <w:link w:val="OTRNormal0"/>
    <w:pPr>
      <w:spacing w:before="60" w:after="120" w:line="240" w:lineRule="auto"/>
      <w:ind w:firstLine="567"/>
      <w:jc w:val="both"/>
    </w:pPr>
    <w:rPr>
      <w:rFonts w:ascii="Times New Roman" w:eastAsia="Times New Roman" w:hAnsi="Times New Roman"/>
      <w:sz w:val="24"/>
      <w:szCs w:val="20"/>
      <w:lang w:eastAsia="ru-RU"/>
    </w:rPr>
  </w:style>
  <w:style w:type="character" w:customStyle="1" w:styleId="OTRNormal0">
    <w:name w:val="OTR_Normal Знак"/>
    <w:link w:val="OTRNormal"/>
    <w:rPr>
      <w:rFonts w:ascii="Times New Roman" w:eastAsia="Times New Roman" w:hAnsi="Times New Roman" w:cs="Times New Roman"/>
      <w:sz w:val="24"/>
      <w:szCs w:val="20"/>
      <w:lang w:eastAsia="ru-RU"/>
    </w:rPr>
  </w:style>
  <w:style w:type="paragraph" w:customStyle="1" w:styleId="ConsPlusTitle">
    <w:name w:val="ConsPlusTitle"/>
    <w:uiPriority w:val="99"/>
    <w:pPr>
      <w:widowControl w:val="0"/>
      <w:autoSpaceDE w:val="0"/>
      <w:autoSpaceDN w:val="0"/>
      <w:spacing w:after="0" w:line="240" w:lineRule="auto"/>
    </w:pPr>
    <w:rPr>
      <w:rFonts w:ascii="Calibri" w:eastAsia="Times New Roman" w:hAnsi="Calibri" w:cs="Calibri"/>
      <w:b/>
      <w:szCs w:val="20"/>
      <w:lang w:eastAsia="ru-RU"/>
    </w:rPr>
  </w:style>
  <w:style w:type="character" w:customStyle="1" w:styleId="40">
    <w:name w:val="Заголовок 4 Знак"/>
    <w:basedOn w:val="a1"/>
    <w:link w:val="4"/>
    <w:rPr>
      <w:rFonts w:asciiTheme="majorHAnsi" w:eastAsiaTheme="majorEastAsia" w:hAnsiTheme="majorHAnsi" w:cstheme="majorBidi"/>
      <w:b/>
      <w:bCs/>
      <w:i/>
      <w:iCs/>
      <w:color w:val="4F81BD" w:themeColor="accent1"/>
    </w:rPr>
  </w:style>
  <w:style w:type="character" w:customStyle="1" w:styleId="30">
    <w:name w:val="Заголовок 3 Знак"/>
    <w:basedOn w:val="a1"/>
    <w:link w:val="3"/>
    <w:uiPriority w:val="9"/>
    <w:rPr>
      <w:rFonts w:asciiTheme="majorHAnsi" w:eastAsiaTheme="majorEastAsia" w:hAnsiTheme="majorHAnsi" w:cstheme="majorBidi"/>
      <w:b/>
      <w:bCs/>
      <w:color w:val="4F81BD" w:themeColor="accent1"/>
    </w:rPr>
  </w:style>
  <w:style w:type="table" w:customStyle="1" w:styleId="13">
    <w:name w:val="Сетка таблицы1"/>
    <w:basedOn w:val="a2"/>
    <w:next w:val="afc"/>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w:basedOn w:val="a0"/>
    <w:pPr>
      <w:spacing w:after="160" w:line="240" w:lineRule="exact"/>
    </w:pPr>
    <w:rPr>
      <w:rFonts w:ascii="Verdana" w:eastAsia="Times New Roman" w:hAnsi="Verdana"/>
      <w:sz w:val="24"/>
      <w:szCs w:val="24"/>
      <w:lang w:val="en-US"/>
    </w:rPr>
  </w:style>
  <w:style w:type="paragraph" w:customStyle="1" w:styleId="aff3">
    <w:name w:val="Знак"/>
    <w:basedOn w:val="a0"/>
    <w:pPr>
      <w:spacing w:after="160" w:line="240" w:lineRule="exact"/>
    </w:pPr>
    <w:rPr>
      <w:rFonts w:ascii="Verdana" w:eastAsia="Times New Roman" w:hAnsi="Verdana"/>
      <w:sz w:val="24"/>
      <w:szCs w:val="24"/>
      <w:lang w:val="en-US"/>
    </w:rPr>
  </w:style>
  <w:style w:type="paragraph" w:customStyle="1" w:styleId="m343370436957569700p1">
    <w:name w:val="m_343370436957569700p1"/>
    <w:basedOn w:val="a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343370436957569700s1">
    <w:name w:val="m_343370436957569700s1"/>
    <w:basedOn w:val="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89585">
      <w:bodyDiv w:val="1"/>
      <w:marLeft w:val="0"/>
      <w:marRight w:val="0"/>
      <w:marTop w:val="0"/>
      <w:marBottom w:val="0"/>
      <w:divBdr>
        <w:top w:val="none" w:sz="0" w:space="0" w:color="auto"/>
        <w:left w:val="none" w:sz="0" w:space="0" w:color="auto"/>
        <w:bottom w:val="none" w:sz="0" w:space="0" w:color="auto"/>
        <w:right w:val="none" w:sz="0" w:space="0" w:color="auto"/>
      </w:divBdr>
    </w:div>
    <w:div w:id="246111252">
      <w:bodyDiv w:val="1"/>
      <w:marLeft w:val="0"/>
      <w:marRight w:val="0"/>
      <w:marTop w:val="0"/>
      <w:marBottom w:val="0"/>
      <w:divBdr>
        <w:top w:val="none" w:sz="0" w:space="0" w:color="auto"/>
        <w:left w:val="none" w:sz="0" w:space="0" w:color="auto"/>
        <w:bottom w:val="none" w:sz="0" w:space="0" w:color="auto"/>
        <w:right w:val="none" w:sz="0" w:space="0" w:color="auto"/>
      </w:divBdr>
    </w:div>
    <w:div w:id="363410455">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505556934">
      <w:bodyDiv w:val="1"/>
      <w:marLeft w:val="0"/>
      <w:marRight w:val="0"/>
      <w:marTop w:val="0"/>
      <w:marBottom w:val="0"/>
      <w:divBdr>
        <w:top w:val="none" w:sz="0" w:space="0" w:color="auto"/>
        <w:left w:val="none" w:sz="0" w:space="0" w:color="auto"/>
        <w:bottom w:val="none" w:sz="0" w:space="0" w:color="auto"/>
        <w:right w:val="none" w:sz="0" w:space="0" w:color="auto"/>
      </w:divBdr>
    </w:div>
    <w:div w:id="972101926">
      <w:bodyDiv w:val="1"/>
      <w:marLeft w:val="0"/>
      <w:marRight w:val="0"/>
      <w:marTop w:val="0"/>
      <w:marBottom w:val="0"/>
      <w:divBdr>
        <w:top w:val="none" w:sz="0" w:space="0" w:color="auto"/>
        <w:left w:val="none" w:sz="0" w:space="0" w:color="auto"/>
        <w:bottom w:val="none" w:sz="0" w:space="0" w:color="auto"/>
        <w:right w:val="none" w:sz="0" w:space="0" w:color="auto"/>
      </w:divBdr>
    </w:div>
    <w:div w:id="1093820662">
      <w:bodyDiv w:val="1"/>
      <w:marLeft w:val="0"/>
      <w:marRight w:val="0"/>
      <w:marTop w:val="0"/>
      <w:marBottom w:val="0"/>
      <w:divBdr>
        <w:top w:val="none" w:sz="0" w:space="0" w:color="auto"/>
        <w:left w:val="none" w:sz="0" w:space="0" w:color="auto"/>
        <w:bottom w:val="none" w:sz="0" w:space="0" w:color="auto"/>
        <w:right w:val="none" w:sz="0" w:space="0" w:color="auto"/>
      </w:divBdr>
    </w:div>
    <w:div w:id="1124423921">
      <w:bodyDiv w:val="1"/>
      <w:marLeft w:val="0"/>
      <w:marRight w:val="0"/>
      <w:marTop w:val="0"/>
      <w:marBottom w:val="0"/>
      <w:divBdr>
        <w:top w:val="none" w:sz="0" w:space="0" w:color="auto"/>
        <w:left w:val="none" w:sz="0" w:space="0" w:color="auto"/>
        <w:bottom w:val="none" w:sz="0" w:space="0" w:color="auto"/>
        <w:right w:val="none" w:sz="0" w:space="0" w:color="auto"/>
      </w:divBdr>
    </w:div>
    <w:div w:id="1141769581">
      <w:bodyDiv w:val="1"/>
      <w:marLeft w:val="0"/>
      <w:marRight w:val="0"/>
      <w:marTop w:val="0"/>
      <w:marBottom w:val="0"/>
      <w:divBdr>
        <w:top w:val="none" w:sz="0" w:space="0" w:color="auto"/>
        <w:left w:val="none" w:sz="0" w:space="0" w:color="auto"/>
        <w:bottom w:val="none" w:sz="0" w:space="0" w:color="auto"/>
        <w:right w:val="none" w:sz="0" w:space="0" w:color="auto"/>
      </w:divBdr>
    </w:div>
    <w:div w:id="1210337541">
      <w:bodyDiv w:val="1"/>
      <w:marLeft w:val="0"/>
      <w:marRight w:val="0"/>
      <w:marTop w:val="0"/>
      <w:marBottom w:val="0"/>
      <w:divBdr>
        <w:top w:val="none" w:sz="0" w:space="0" w:color="auto"/>
        <w:left w:val="none" w:sz="0" w:space="0" w:color="auto"/>
        <w:bottom w:val="none" w:sz="0" w:space="0" w:color="auto"/>
        <w:right w:val="none" w:sz="0" w:space="0" w:color="auto"/>
      </w:divBdr>
    </w:div>
    <w:div w:id="1518690507">
      <w:bodyDiv w:val="1"/>
      <w:marLeft w:val="0"/>
      <w:marRight w:val="0"/>
      <w:marTop w:val="0"/>
      <w:marBottom w:val="0"/>
      <w:divBdr>
        <w:top w:val="none" w:sz="0" w:space="0" w:color="auto"/>
        <w:left w:val="none" w:sz="0" w:space="0" w:color="auto"/>
        <w:bottom w:val="none" w:sz="0" w:space="0" w:color="auto"/>
        <w:right w:val="none" w:sz="0" w:space="0" w:color="auto"/>
      </w:divBdr>
    </w:div>
    <w:div w:id="1525285143">
      <w:bodyDiv w:val="1"/>
      <w:marLeft w:val="0"/>
      <w:marRight w:val="0"/>
      <w:marTop w:val="0"/>
      <w:marBottom w:val="0"/>
      <w:divBdr>
        <w:top w:val="none" w:sz="0" w:space="0" w:color="auto"/>
        <w:left w:val="none" w:sz="0" w:space="0" w:color="auto"/>
        <w:bottom w:val="none" w:sz="0" w:space="0" w:color="auto"/>
        <w:right w:val="none" w:sz="0" w:space="0" w:color="auto"/>
      </w:divBdr>
    </w:div>
    <w:div w:id="1825510609">
      <w:bodyDiv w:val="1"/>
      <w:marLeft w:val="0"/>
      <w:marRight w:val="0"/>
      <w:marTop w:val="0"/>
      <w:marBottom w:val="0"/>
      <w:divBdr>
        <w:top w:val="none" w:sz="0" w:space="0" w:color="auto"/>
        <w:left w:val="none" w:sz="0" w:space="0" w:color="auto"/>
        <w:bottom w:val="none" w:sz="0" w:space="0" w:color="auto"/>
        <w:right w:val="none" w:sz="0" w:space="0" w:color="auto"/>
      </w:divBdr>
    </w:div>
    <w:div w:id="1909030319">
      <w:bodyDiv w:val="1"/>
      <w:marLeft w:val="0"/>
      <w:marRight w:val="0"/>
      <w:marTop w:val="0"/>
      <w:marBottom w:val="0"/>
      <w:divBdr>
        <w:top w:val="none" w:sz="0" w:space="0" w:color="auto"/>
        <w:left w:val="none" w:sz="0" w:space="0" w:color="auto"/>
        <w:bottom w:val="none" w:sz="0" w:space="0" w:color="auto"/>
        <w:right w:val="none" w:sz="0" w:space="0" w:color="auto"/>
      </w:divBdr>
    </w:div>
    <w:div w:id="2008556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FE5B850D236E9B7F5BA8046ACA4B4015305B085CDFBEA0AAD29D2B9A9B45474C621A66B43F704116n5S9H" TargetMode="External"/><Relationship Id="rId21" Type="http://schemas.openxmlformats.org/officeDocument/2006/relationships/chart" Target="charts/chart7.xml"/><Relationship Id="rId42" Type="http://schemas.openxmlformats.org/officeDocument/2006/relationships/chart" Target="charts/chart22.xml"/><Relationship Id="rId63" Type="http://schemas.openxmlformats.org/officeDocument/2006/relationships/chart" Target="charts/chart34.xml"/><Relationship Id="rId84" Type="http://schemas.openxmlformats.org/officeDocument/2006/relationships/image" Target="media/image19.png"/><Relationship Id="rId138" Type="http://schemas.openxmlformats.org/officeDocument/2006/relationships/chart" Target="charts/chart43.xml"/><Relationship Id="rId159" Type="http://schemas.openxmlformats.org/officeDocument/2006/relationships/image" Target="media/image47.png"/><Relationship Id="rId170" Type="http://schemas.openxmlformats.org/officeDocument/2006/relationships/hyperlink" Target="http://www.zakupki.gov.ru" TargetMode="External"/><Relationship Id="rId191" Type="http://schemas.openxmlformats.org/officeDocument/2006/relationships/image" Target="media/image62.png"/><Relationship Id="rId205" Type="http://schemas.openxmlformats.org/officeDocument/2006/relationships/chart" Target="charts/chart54.xml"/><Relationship Id="rId226" Type="http://schemas.openxmlformats.org/officeDocument/2006/relationships/hyperlink" Target="http://www.zakupki.gov.ru" TargetMode="External"/><Relationship Id="rId107" Type="http://schemas.openxmlformats.org/officeDocument/2006/relationships/hyperlink" Target="http://www.roskazna.ru" TargetMode="External"/><Relationship Id="rId11" Type="http://schemas.openxmlformats.org/officeDocument/2006/relationships/hyperlink" Target="http://www.z&#1072;kupki.gov.ru" TargetMode="External"/><Relationship Id="rId32" Type="http://schemas.openxmlformats.org/officeDocument/2006/relationships/image" Target="media/image5.emf"/><Relationship Id="rId53" Type="http://schemas.openxmlformats.org/officeDocument/2006/relationships/chart" Target="charts/chart24.xml"/><Relationship Id="rId74" Type="http://schemas.openxmlformats.org/officeDocument/2006/relationships/hyperlink" Target="consultantplus://offline/ref=4359DD3B22841BA659B05F13EAB60DBE00EA933B383F149C2E0CB47B95142BC586DA2FCA2E1040B2i6DCK" TargetMode="External"/><Relationship Id="rId128" Type="http://schemas.openxmlformats.org/officeDocument/2006/relationships/hyperlink" Target="consultantplus://offline/ref=2586990FF467F6FC75351165E55EFD6C7F6EBEE208352D33CEC251CA27EBECAC4FFFCB9AC773H0wCH" TargetMode="External"/><Relationship Id="rId149" Type="http://schemas.openxmlformats.org/officeDocument/2006/relationships/image" Target="media/image41.png"/><Relationship Id="rId5" Type="http://schemas.openxmlformats.org/officeDocument/2006/relationships/settings" Target="settings.xml"/><Relationship Id="rId95" Type="http://schemas.openxmlformats.org/officeDocument/2006/relationships/image" Target="media/image21.emf"/><Relationship Id="rId160" Type="http://schemas.openxmlformats.org/officeDocument/2006/relationships/image" Target="media/image48.png"/><Relationship Id="rId181" Type="http://schemas.openxmlformats.org/officeDocument/2006/relationships/image" Target="media/image54.png"/><Relationship Id="rId216" Type="http://schemas.openxmlformats.org/officeDocument/2006/relationships/hyperlink" Target="http://www.zakupki.gov.ru" TargetMode="Externa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image" Target="media/image9.png"/><Relationship Id="rId48" Type="http://schemas.openxmlformats.org/officeDocument/2006/relationships/image" Target="media/image14.png"/><Relationship Id="rId64" Type="http://schemas.openxmlformats.org/officeDocument/2006/relationships/hyperlink" Target="consultantplus://offline/ref=A623CA8CE763EBE27039BD96891F8723254BAAD1B4D2D7785610F9FB7E9629156B46F79FC60D632Fi62CM" TargetMode="External"/><Relationship Id="rId69" Type="http://schemas.openxmlformats.org/officeDocument/2006/relationships/hyperlink" Target="consultantplus://offline/ref=4359DD3B22841BA659B05F13EAB60DBE00EA933B383F149C2E0CB47B95142BC586DA2FCA2E1141BFi6D6K" TargetMode="External"/><Relationship Id="rId113" Type="http://schemas.openxmlformats.org/officeDocument/2006/relationships/image" Target="media/image28.png"/><Relationship Id="rId118" Type="http://schemas.openxmlformats.org/officeDocument/2006/relationships/chart" Target="charts/chart35.xml"/><Relationship Id="rId134" Type="http://schemas.openxmlformats.org/officeDocument/2006/relationships/hyperlink" Target="consultantplus://offline/ref=2586990FF467F6FC75351165E55EFD6C7F6EBEE208352D33CEC251CA27EBECAC4FFFCB9AC67EH0wEH" TargetMode="External"/><Relationship Id="rId139" Type="http://schemas.openxmlformats.org/officeDocument/2006/relationships/image" Target="media/image34.png"/><Relationship Id="rId80" Type="http://schemas.openxmlformats.org/officeDocument/2006/relationships/hyperlink" Target="consultantplus://offline/ref=D24EFF112DFF2F2868F2775A16BE98ADDA1E004B883183A3B5D2B547F02F1179A83FDE20B509890CWD7DJ" TargetMode="External"/><Relationship Id="rId85" Type="http://schemas.openxmlformats.org/officeDocument/2006/relationships/hyperlink" Target="consultantplus://offline/ref=4359DD3B22841BA659B05F13EAB60DBE00EA933B383F149C2E0CB47B95142BC586DA2FCA2E114BBBi6D2K" TargetMode="External"/><Relationship Id="rId150" Type="http://schemas.openxmlformats.org/officeDocument/2006/relationships/image" Target="media/image42.png"/><Relationship Id="rId155" Type="http://schemas.openxmlformats.org/officeDocument/2006/relationships/image" Target="media/image44.png"/><Relationship Id="rId171" Type="http://schemas.openxmlformats.org/officeDocument/2006/relationships/hyperlink" Target="http://www.zakupki.gov.ru" TargetMode="External"/><Relationship Id="rId176" Type="http://schemas.openxmlformats.org/officeDocument/2006/relationships/hyperlink" Target="http://www.zakupki.gov.ru" TargetMode="External"/><Relationship Id="rId192" Type="http://schemas.openxmlformats.org/officeDocument/2006/relationships/image" Target="media/image63.png"/><Relationship Id="rId197" Type="http://schemas.openxmlformats.org/officeDocument/2006/relationships/chart" Target="charts/chart48.xml"/><Relationship Id="rId206" Type="http://schemas.openxmlformats.org/officeDocument/2006/relationships/chart" Target="charts/chart55.xml"/><Relationship Id="rId227" Type="http://schemas.openxmlformats.org/officeDocument/2006/relationships/hyperlink" Target="http://www.roskazna.ru" TargetMode="External"/><Relationship Id="rId201" Type="http://schemas.openxmlformats.org/officeDocument/2006/relationships/chart" Target="charts/chart51.xml"/><Relationship Id="rId222" Type="http://schemas.openxmlformats.org/officeDocument/2006/relationships/image" Target="media/image71.png"/><Relationship Id="rId12" Type="http://schemas.openxmlformats.org/officeDocument/2006/relationships/image" Target="media/image1.png"/><Relationship Id="rId17" Type="http://schemas.openxmlformats.org/officeDocument/2006/relationships/chart" Target="charts/chart3.xml"/><Relationship Id="rId33" Type="http://schemas.openxmlformats.org/officeDocument/2006/relationships/chart" Target="charts/chart16.xml"/><Relationship Id="rId38" Type="http://schemas.openxmlformats.org/officeDocument/2006/relationships/chart" Target="charts/chart21.xml"/><Relationship Id="rId59" Type="http://schemas.openxmlformats.org/officeDocument/2006/relationships/chart" Target="charts/chart30.xml"/><Relationship Id="rId103" Type="http://schemas.openxmlformats.org/officeDocument/2006/relationships/hyperlink" Target="http://www.roskazna.ru" TargetMode="External"/><Relationship Id="rId108" Type="http://schemas.openxmlformats.org/officeDocument/2006/relationships/hyperlink" Target="http://datamarts.roskazna.ru/" TargetMode="External"/><Relationship Id="rId124" Type="http://schemas.openxmlformats.org/officeDocument/2006/relationships/chart" Target="charts/chart39.xml"/><Relationship Id="rId129" Type="http://schemas.openxmlformats.org/officeDocument/2006/relationships/hyperlink" Target="consultantplus://offline/ref=2586990FF467F6FC75351165E55EFD6C7F6EBEE208352D33CEC251CA27EBECAC4FFFCB9AC773H0w8H" TargetMode="External"/><Relationship Id="rId54" Type="http://schemas.openxmlformats.org/officeDocument/2006/relationships/chart" Target="charts/chart25.xml"/><Relationship Id="rId70" Type="http://schemas.openxmlformats.org/officeDocument/2006/relationships/hyperlink" Target="consultantplus://offline/ref=4359DD3B22841BA659B05F13EAB60DBE00EA933B383F149C2E0CB47B95142BC586DA2FCA2E1143BBi6D6K" TargetMode="External"/><Relationship Id="rId75" Type="http://schemas.openxmlformats.org/officeDocument/2006/relationships/hyperlink" Target="consultantplus://offline/ref=4359DD3B22841BA659B05F13EAB60DBE00EA933B383F149C2E0CB47B95142BC586DA2FCA2E104BB8i6D3K" TargetMode="External"/><Relationship Id="rId91" Type="http://schemas.openxmlformats.org/officeDocument/2006/relationships/hyperlink" Target="consultantplus://offline/ref=D24EFF112DFF2F2868F2775A16BE98ADDA1E004B883183A3B5D2B547F02F1179A83FDE20B509870FWD7DJ" TargetMode="External"/><Relationship Id="rId96" Type="http://schemas.openxmlformats.org/officeDocument/2006/relationships/oleObject" Target="embeddings/oleObject2.bin"/><Relationship Id="rId140" Type="http://schemas.openxmlformats.org/officeDocument/2006/relationships/image" Target="media/image35.png"/><Relationship Id="rId145" Type="http://schemas.openxmlformats.org/officeDocument/2006/relationships/image" Target="media/image40.png"/><Relationship Id="rId161" Type="http://schemas.openxmlformats.org/officeDocument/2006/relationships/hyperlink" Target="http://www.roskazna.ru" TargetMode="External"/><Relationship Id="rId166" Type="http://schemas.openxmlformats.org/officeDocument/2006/relationships/hyperlink" Target="http://www.zakupki.gov.ru" TargetMode="External"/><Relationship Id="rId182" Type="http://schemas.openxmlformats.org/officeDocument/2006/relationships/hyperlink" Target="http://www.zakupki.gov.ru" TargetMode="External"/><Relationship Id="rId187" Type="http://schemas.openxmlformats.org/officeDocument/2006/relationships/image" Target="media/image59.png"/><Relationship Id="rId217" Type="http://schemas.openxmlformats.org/officeDocument/2006/relationships/hyperlink" Target="http://www.roskazna.ru"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chart" Target="charts/chart56.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image" Target="media/image15.png"/><Relationship Id="rId114" Type="http://schemas.openxmlformats.org/officeDocument/2006/relationships/image" Target="media/image29.png"/><Relationship Id="rId119" Type="http://schemas.openxmlformats.org/officeDocument/2006/relationships/hyperlink" Target="consultantplus://offline/ref=FE5B850D236E9B7F5BA8046ACA4B4015305B085CDFBEA0AAD29D2B9A9B45474C621A66B43F704116n5S9H" TargetMode="External"/><Relationship Id="rId44" Type="http://schemas.openxmlformats.org/officeDocument/2006/relationships/image" Target="media/image10.png"/><Relationship Id="rId60" Type="http://schemas.openxmlformats.org/officeDocument/2006/relationships/chart" Target="charts/chart31.xml"/><Relationship Id="rId65" Type="http://schemas.openxmlformats.org/officeDocument/2006/relationships/image" Target="media/image18.emf"/><Relationship Id="rId81" Type="http://schemas.openxmlformats.org/officeDocument/2006/relationships/hyperlink" Target="consultantplus://offline/ref=D24EFF112DFF2F2868F2775A16BE98ADDA1E004B883183A3B5D2B547F02F1179A83FDE20B509870FWD7DJ" TargetMode="External"/><Relationship Id="rId86" Type="http://schemas.openxmlformats.org/officeDocument/2006/relationships/hyperlink" Target="consultantplus://offline/ref=4359DD3B22841BA659B05F13EAB60DBE00EA933B383F149C2E0CB47B95142BC586DA2FCA2E1742BCi6D7K" TargetMode="External"/><Relationship Id="rId130" Type="http://schemas.openxmlformats.org/officeDocument/2006/relationships/hyperlink" Target="consultantplus://offline/ref=2586990FF467F6FC75351165E55EFD6C7F6EBEE208352D33CEC251CA27EBECAC4FFFCB9FC27BH0w6H" TargetMode="External"/><Relationship Id="rId135" Type="http://schemas.openxmlformats.org/officeDocument/2006/relationships/chart" Target="charts/chart41.xml"/><Relationship Id="rId151" Type="http://schemas.openxmlformats.org/officeDocument/2006/relationships/image" Target="media/image43.png"/><Relationship Id="rId156" Type="http://schemas.openxmlformats.org/officeDocument/2006/relationships/image" Target="media/image45.png"/><Relationship Id="rId177" Type="http://schemas.openxmlformats.org/officeDocument/2006/relationships/hyperlink" Target="http://www.zakupki.gov.ru" TargetMode="External"/><Relationship Id="rId198" Type="http://schemas.openxmlformats.org/officeDocument/2006/relationships/chart" Target="charts/chart49.xml"/><Relationship Id="rId172" Type="http://schemas.openxmlformats.org/officeDocument/2006/relationships/hyperlink" Target="http://www.zakupki.gov.ru" TargetMode="External"/><Relationship Id="rId193" Type="http://schemas.openxmlformats.org/officeDocument/2006/relationships/image" Target="media/image64.png"/><Relationship Id="rId202" Type="http://schemas.openxmlformats.org/officeDocument/2006/relationships/hyperlink" Target="http://bus.gov.ru/" TargetMode="External"/><Relationship Id="rId207" Type="http://schemas.openxmlformats.org/officeDocument/2006/relationships/hyperlink" Target="http://www.zakupki.gov.ru" TargetMode="External"/><Relationship Id="rId223" Type="http://schemas.openxmlformats.org/officeDocument/2006/relationships/hyperlink" Target="http://www.budget.gov.ru" TargetMode="External"/><Relationship Id="rId228" Type="http://schemas.openxmlformats.org/officeDocument/2006/relationships/hyperlink" Target="http://bus.gov.ru/" TargetMode="External"/><Relationship Id="rId13" Type="http://schemas.openxmlformats.org/officeDocument/2006/relationships/image" Target="media/image2.png"/><Relationship Id="rId18" Type="http://schemas.openxmlformats.org/officeDocument/2006/relationships/chart" Target="charts/chart4.xml"/><Relationship Id="rId39" Type="http://schemas.openxmlformats.org/officeDocument/2006/relationships/image" Target="media/image6.png"/><Relationship Id="rId109" Type="http://schemas.openxmlformats.org/officeDocument/2006/relationships/image" Target="media/image24.png"/><Relationship Id="rId34" Type="http://schemas.openxmlformats.org/officeDocument/2006/relationships/chart" Target="charts/chart17.xml"/><Relationship Id="rId50" Type="http://schemas.openxmlformats.org/officeDocument/2006/relationships/image" Target="media/image16.png"/><Relationship Id="rId55" Type="http://schemas.openxmlformats.org/officeDocument/2006/relationships/chart" Target="charts/chart26.xml"/><Relationship Id="rId76" Type="http://schemas.openxmlformats.org/officeDocument/2006/relationships/hyperlink" Target="consultantplus://offline/ref=59F8515E05F4209DD6B64655E13EAF94CE98329F050DF673CC96FC7D7EF51397EEE9AA1F2B599676R9iCH" TargetMode="External"/><Relationship Id="rId97" Type="http://schemas.openxmlformats.org/officeDocument/2006/relationships/hyperlink" Target="consultantplus://offline/ref=1712FDB50A04D9099961CA010F8C789A10C3CBE7F63A25E2815860CCAFBE932D6538CCBC8FF3B423VDN" TargetMode="External"/><Relationship Id="rId104" Type="http://schemas.openxmlformats.org/officeDocument/2006/relationships/hyperlink" Target="http://www.roskazna.ru" TargetMode="External"/><Relationship Id="rId120" Type="http://schemas.openxmlformats.org/officeDocument/2006/relationships/image" Target="media/image32.png"/><Relationship Id="rId125" Type="http://schemas.openxmlformats.org/officeDocument/2006/relationships/image" Target="media/image33.png"/><Relationship Id="rId141" Type="http://schemas.openxmlformats.org/officeDocument/2006/relationships/image" Target="media/image36.png"/><Relationship Id="rId146" Type="http://schemas.openxmlformats.org/officeDocument/2006/relationships/hyperlink" Target="http://www.roskazna.ru" TargetMode="External"/><Relationship Id="rId167" Type="http://schemas.openxmlformats.org/officeDocument/2006/relationships/hyperlink" Target="http://www.zakupki.gov.ru" TargetMode="External"/><Relationship Id="rId188" Type="http://schemas.openxmlformats.org/officeDocument/2006/relationships/hyperlink" Target="http://www.zakupki.gov.ru" TargetMode="External"/><Relationship Id="rId7" Type="http://schemas.openxmlformats.org/officeDocument/2006/relationships/footnotes" Target="footnotes.xml"/><Relationship Id="rId71" Type="http://schemas.openxmlformats.org/officeDocument/2006/relationships/hyperlink" Target="consultantplus://offline/ref=4359DD3B22841BA659B05F13EAB60DBE00EA933B383F149C2E0CB47B95142BC586DA2FCA2E114BBBi6D2K" TargetMode="External"/><Relationship Id="rId92" Type="http://schemas.openxmlformats.org/officeDocument/2006/relationships/hyperlink" Target="consultantplus://offline/ref=D24EFF112DFF2F2868F2775A16BE98ADDA1E004B883183A3B5D2B547F02F1179A83FDE20B5098808WD7FJ" TargetMode="External"/><Relationship Id="rId162" Type="http://schemas.openxmlformats.org/officeDocument/2006/relationships/hyperlink" Target="http://www.budget.gov.ru" TargetMode="External"/><Relationship Id="rId183" Type="http://schemas.openxmlformats.org/officeDocument/2006/relationships/image" Target="media/image55.png"/><Relationship Id="rId213" Type="http://schemas.openxmlformats.org/officeDocument/2006/relationships/image" Target="media/image68.jpeg"/><Relationship Id="rId218" Type="http://schemas.openxmlformats.org/officeDocument/2006/relationships/hyperlink" Target="http://www.roskazna.ru" TargetMode="Externa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image" Target="media/image7.png"/><Relationship Id="rId45" Type="http://schemas.openxmlformats.org/officeDocument/2006/relationships/image" Target="media/image11.png"/><Relationship Id="rId66" Type="http://schemas.openxmlformats.org/officeDocument/2006/relationships/oleObject" Target="embeddings/oleObject1.bin"/><Relationship Id="rId87" Type="http://schemas.openxmlformats.org/officeDocument/2006/relationships/hyperlink" Target="consultantplus://offline/ref=4359DD3B22841BA659B05F13EAB60DBE00EA933B383F149C2E0CB47B95142BC586DA2FCA2E1040B2i6DCK" TargetMode="External"/><Relationship Id="rId110" Type="http://schemas.openxmlformats.org/officeDocument/2006/relationships/image" Target="media/image25.png"/><Relationship Id="rId115" Type="http://schemas.openxmlformats.org/officeDocument/2006/relationships/image" Target="media/image30.png"/><Relationship Id="rId131" Type="http://schemas.openxmlformats.org/officeDocument/2006/relationships/hyperlink" Target="consultantplus://offline/ref=2586990FF467F6FC75351165E55EFD6C7F6EBEE208352D33CEC251CA27EBECAC4FFFCB99C673H0wDH" TargetMode="External"/><Relationship Id="rId136" Type="http://schemas.openxmlformats.org/officeDocument/2006/relationships/chart" Target="charts/chart42.xml"/><Relationship Id="rId157" Type="http://schemas.openxmlformats.org/officeDocument/2006/relationships/image" Target="cid:image001.png@01D277D0.6EC7DAA0" TargetMode="External"/><Relationship Id="rId178" Type="http://schemas.openxmlformats.org/officeDocument/2006/relationships/image" Target="media/image52.png"/><Relationship Id="rId61" Type="http://schemas.openxmlformats.org/officeDocument/2006/relationships/chart" Target="charts/chart32.xml"/><Relationship Id="rId82" Type="http://schemas.openxmlformats.org/officeDocument/2006/relationships/hyperlink" Target="consultantplus://offline/ref=B307CB65D4EEE50A7F5EA9E0BF7A662BCB0324EB442F07C1D68526F9F413259F8B208D2EACCD741Fb3QBK" TargetMode="External"/><Relationship Id="rId152" Type="http://schemas.openxmlformats.org/officeDocument/2006/relationships/chart" Target="charts/chart44.xml"/><Relationship Id="rId173" Type="http://schemas.openxmlformats.org/officeDocument/2006/relationships/hyperlink" Target="http://www.zakupki.gov.ru" TargetMode="External"/><Relationship Id="rId194" Type="http://schemas.openxmlformats.org/officeDocument/2006/relationships/chart" Target="charts/chart45.xml"/><Relationship Id="rId199" Type="http://schemas.openxmlformats.org/officeDocument/2006/relationships/hyperlink" Target="http://www.roskazna.ru" TargetMode="External"/><Relationship Id="rId203" Type="http://schemas.openxmlformats.org/officeDocument/2006/relationships/chart" Target="charts/chart52.xml"/><Relationship Id="rId208" Type="http://schemas.openxmlformats.org/officeDocument/2006/relationships/image" Target="media/image65.jpg"/><Relationship Id="rId229" Type="http://schemas.openxmlformats.org/officeDocument/2006/relationships/hyperlink" Target="http://www.roskazna.ru" TargetMode="External"/><Relationship Id="rId19" Type="http://schemas.openxmlformats.org/officeDocument/2006/relationships/chart" Target="charts/chart5.xml"/><Relationship Id="rId224" Type="http://schemas.openxmlformats.org/officeDocument/2006/relationships/hyperlink" Target="http://www.zakupki.gov.ru" TargetMode="External"/><Relationship Id="rId14" Type="http://schemas.openxmlformats.org/officeDocument/2006/relationships/image" Target="media/image3.png"/><Relationship Id="rId30" Type="http://schemas.openxmlformats.org/officeDocument/2006/relationships/hyperlink" Target="consultantplus://offline/ref=FBFD2B5FF7351A2A487EBF5D87F5D9201D42778BE27B1442848BB9A9B6957F223B6B54FFB79BC93Ej0v4I" TargetMode="External"/><Relationship Id="rId35" Type="http://schemas.openxmlformats.org/officeDocument/2006/relationships/chart" Target="charts/chart18.xml"/><Relationship Id="rId56" Type="http://schemas.openxmlformats.org/officeDocument/2006/relationships/chart" Target="charts/chart27.xml"/><Relationship Id="rId77" Type="http://schemas.openxmlformats.org/officeDocument/2006/relationships/hyperlink" Target="consultantplus://offline/ref=C522CDD7EC34063D71E68F6F13B343F3F2A64E25A0ADA92E4F053395E3F39876298094174D48151ARCr1H" TargetMode="External"/><Relationship Id="rId100" Type="http://schemas.openxmlformats.org/officeDocument/2006/relationships/hyperlink" Target="http://www.roskazna.ru" TargetMode="External"/><Relationship Id="rId105" Type="http://schemas.openxmlformats.org/officeDocument/2006/relationships/hyperlink" Target="http://www.roskazna.ru" TargetMode="External"/><Relationship Id="rId126" Type="http://schemas.openxmlformats.org/officeDocument/2006/relationships/chart" Target="charts/chart40.xml"/><Relationship Id="rId147" Type="http://schemas.openxmlformats.org/officeDocument/2006/relationships/hyperlink" Target="http://www.roskazna.ru" TargetMode="External"/><Relationship Id="rId168" Type="http://schemas.openxmlformats.org/officeDocument/2006/relationships/hyperlink" Target="http://www.zakupki.gov.ru" TargetMode="Externa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yperlink" Target="consultantplus://offline/ref=4359DD3B22841BA659B05F13EAB60DBE00EA933B383F149C2E0CB47B95142BC586DA2FCA2E1146B9i6D4K" TargetMode="External"/><Relationship Id="rId93" Type="http://schemas.openxmlformats.org/officeDocument/2006/relationships/image" Target="media/image20.png"/><Relationship Id="rId98" Type="http://schemas.openxmlformats.org/officeDocument/2006/relationships/hyperlink" Target="http://www.roskazna.ru" TargetMode="External"/><Relationship Id="rId121" Type="http://schemas.openxmlformats.org/officeDocument/2006/relationships/chart" Target="charts/chart36.xml"/><Relationship Id="rId142" Type="http://schemas.openxmlformats.org/officeDocument/2006/relationships/image" Target="media/image37.png"/><Relationship Id="rId163" Type="http://schemas.openxmlformats.org/officeDocument/2006/relationships/image" Target="media/image49.png"/><Relationship Id="rId184" Type="http://schemas.openxmlformats.org/officeDocument/2006/relationships/image" Target="media/image56.png"/><Relationship Id="rId189" Type="http://schemas.openxmlformats.org/officeDocument/2006/relationships/image" Target="media/image60.jpeg"/><Relationship Id="rId219" Type="http://schemas.openxmlformats.org/officeDocument/2006/relationships/hyperlink" Target="consultantplus://offline/ref=C7532D1FA114D1ED24EF1F210126ACE2734FA751034FC0D9F5B70C8095DE36D28EE583643DAAM9m3J" TargetMode="External"/><Relationship Id="rId3" Type="http://schemas.openxmlformats.org/officeDocument/2006/relationships/styles" Target="styles.xml"/><Relationship Id="rId214" Type="http://schemas.openxmlformats.org/officeDocument/2006/relationships/hyperlink" Target="http://www.roskazna.ru" TargetMode="External"/><Relationship Id="rId230" Type="http://schemas.openxmlformats.org/officeDocument/2006/relationships/hyperlink" Target="http://www.roskazna.ru" TargetMode="External"/><Relationship Id="rId25" Type="http://schemas.openxmlformats.org/officeDocument/2006/relationships/chart" Target="charts/chart11.xml"/><Relationship Id="rId46" Type="http://schemas.openxmlformats.org/officeDocument/2006/relationships/image" Target="media/image12.png"/><Relationship Id="rId67" Type="http://schemas.openxmlformats.org/officeDocument/2006/relationships/hyperlink" Target="consultantplus://offline/ref=27C66A4495454BCC8A063D1AD4D65478B8D207C40712E46BD307FD384FB7BFED5724677E90385C92b7M4J" TargetMode="External"/><Relationship Id="rId116" Type="http://schemas.openxmlformats.org/officeDocument/2006/relationships/image" Target="media/image31.png"/><Relationship Id="rId137" Type="http://schemas.openxmlformats.org/officeDocument/2006/relationships/hyperlink" Target="consultantplus://offline/ref=9B7626683B0518976B7F461E22EE36FF4ED30260601F049DB7CBC8DD8815A3A30541F1BA122A783F57zCo3L" TargetMode="External"/><Relationship Id="rId158" Type="http://schemas.openxmlformats.org/officeDocument/2006/relationships/image" Target="media/image46.png"/><Relationship Id="rId20" Type="http://schemas.openxmlformats.org/officeDocument/2006/relationships/chart" Target="charts/chart6.xml"/><Relationship Id="rId41" Type="http://schemas.openxmlformats.org/officeDocument/2006/relationships/image" Target="media/image8.emf"/><Relationship Id="rId62" Type="http://schemas.openxmlformats.org/officeDocument/2006/relationships/chart" Target="charts/chart33.xml"/><Relationship Id="rId83" Type="http://schemas.openxmlformats.org/officeDocument/2006/relationships/header" Target="header2.xml"/><Relationship Id="rId88" Type="http://schemas.openxmlformats.org/officeDocument/2006/relationships/hyperlink" Target="consultantplus://offline/ref=4359DD3B22841BA659B05F13EAB60DBE00EA933B383F149C2E0CB47B95142BC586DA2FCA2E104BB8i6D3K" TargetMode="External"/><Relationship Id="rId111" Type="http://schemas.openxmlformats.org/officeDocument/2006/relationships/image" Target="media/image26.png"/><Relationship Id="rId132" Type="http://schemas.openxmlformats.org/officeDocument/2006/relationships/hyperlink" Target="consultantplus://offline/ref=2586990FF467F6FC75351165E55EFD6C7F6EBEE208352D33CEC251CA27EBECAC4FFFCB99C17EH0wAH" TargetMode="External"/><Relationship Id="rId153" Type="http://schemas.openxmlformats.org/officeDocument/2006/relationships/hyperlink" Target="http://www.consultant.ru/document/cons_doc_LAW_144624/e20b1ebe0f1f6c51c75653866d068ffb0da444ef/" TargetMode="External"/><Relationship Id="rId174" Type="http://schemas.openxmlformats.org/officeDocument/2006/relationships/hyperlink" Target="http://www.zakupki.gov.ru" TargetMode="External"/><Relationship Id="rId179" Type="http://schemas.openxmlformats.org/officeDocument/2006/relationships/hyperlink" Target="http://www.zakupki.gov.ru" TargetMode="External"/><Relationship Id="rId195" Type="http://schemas.openxmlformats.org/officeDocument/2006/relationships/chart" Target="charts/chart46.xml"/><Relationship Id="rId209" Type="http://schemas.openxmlformats.org/officeDocument/2006/relationships/image" Target="media/image66.jpg"/><Relationship Id="rId190" Type="http://schemas.openxmlformats.org/officeDocument/2006/relationships/image" Target="media/image61.png"/><Relationship Id="rId204" Type="http://schemas.openxmlformats.org/officeDocument/2006/relationships/chart" Target="charts/chart53.xml"/><Relationship Id="rId220" Type="http://schemas.openxmlformats.org/officeDocument/2006/relationships/hyperlink" Target="consultantplus://offline/ref=C7532D1FA114D1ED24EF1F210126ACE2734FA751034FC0D9F5B70C8095DE36D28EE583663CAD9144M7m9J" TargetMode="External"/><Relationship Id="rId225" Type="http://schemas.openxmlformats.org/officeDocument/2006/relationships/hyperlink" Target="http://www.zakupki.gov.ru" TargetMode="External"/><Relationship Id="rId15" Type="http://schemas.openxmlformats.org/officeDocument/2006/relationships/chart" Target="charts/chart1.xml"/><Relationship Id="rId36" Type="http://schemas.openxmlformats.org/officeDocument/2006/relationships/chart" Target="charts/chart19.xml"/><Relationship Id="rId57" Type="http://schemas.openxmlformats.org/officeDocument/2006/relationships/chart" Target="charts/chart28.xml"/><Relationship Id="rId106" Type="http://schemas.openxmlformats.org/officeDocument/2006/relationships/image" Target="media/image23.png"/><Relationship Id="rId127" Type="http://schemas.openxmlformats.org/officeDocument/2006/relationships/hyperlink" Target="consultantplus://offline/ref=2586990FF467F6FC75351165E55EFD6C7F6EBEE208352D33CEC251CA27EBECAC4FFFCB9AC77DH0w8H" TargetMode="External"/><Relationship Id="rId10" Type="http://schemas.openxmlformats.org/officeDocument/2006/relationships/hyperlink" Target="http://bus.gov.ru/" TargetMode="External"/><Relationship Id="rId31" Type="http://schemas.openxmlformats.org/officeDocument/2006/relationships/image" Target="media/image4.png"/><Relationship Id="rId52" Type="http://schemas.openxmlformats.org/officeDocument/2006/relationships/chart" Target="charts/chart23.xml"/><Relationship Id="rId73" Type="http://schemas.openxmlformats.org/officeDocument/2006/relationships/hyperlink" Target="consultantplus://offline/ref=4359DD3B22841BA659B05F13EAB60DBE00EA933B383F149C2E0CB47B95142BC586DA2FCA2E1742BCi6D7K" TargetMode="External"/><Relationship Id="rId78" Type="http://schemas.openxmlformats.org/officeDocument/2006/relationships/hyperlink" Target="consultantplus://offline/ref=D24EFF112DFF2F2868F2775A16BE98ADDA1E004B883183A3B5D2B547F02F1179A83FDE20B5098808WD7FJ" TargetMode="External"/><Relationship Id="rId94" Type="http://schemas.openxmlformats.org/officeDocument/2006/relationships/hyperlink" Target="http://www.roskazna.ru" TargetMode="External"/><Relationship Id="rId99" Type="http://schemas.openxmlformats.org/officeDocument/2006/relationships/image" Target="media/image22.png"/><Relationship Id="rId101" Type="http://schemas.openxmlformats.org/officeDocument/2006/relationships/hyperlink" Target="http://www.roskazna.ru" TargetMode="External"/><Relationship Id="rId122" Type="http://schemas.openxmlformats.org/officeDocument/2006/relationships/chart" Target="charts/chart37.xml"/><Relationship Id="rId143" Type="http://schemas.openxmlformats.org/officeDocument/2006/relationships/image" Target="media/image38.png"/><Relationship Id="rId148" Type="http://schemas.openxmlformats.org/officeDocument/2006/relationships/hyperlink" Target="http://www.roskazna.ru" TargetMode="External"/><Relationship Id="rId164" Type="http://schemas.openxmlformats.org/officeDocument/2006/relationships/image" Target="media/image50.png"/><Relationship Id="rId169" Type="http://schemas.openxmlformats.org/officeDocument/2006/relationships/hyperlink" Target="http://www.zakupki.gov.ru" TargetMode="External"/><Relationship Id="rId18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53.png"/><Relationship Id="rId210" Type="http://schemas.openxmlformats.org/officeDocument/2006/relationships/image" Target="media/image67.png"/><Relationship Id="rId215" Type="http://schemas.openxmlformats.org/officeDocument/2006/relationships/image" Target="media/image69.jpeg"/><Relationship Id="rId26" Type="http://schemas.openxmlformats.org/officeDocument/2006/relationships/chart" Target="charts/chart12.xml"/><Relationship Id="rId231" Type="http://schemas.openxmlformats.org/officeDocument/2006/relationships/fontTable" Target="fontTable.xml"/><Relationship Id="rId47" Type="http://schemas.openxmlformats.org/officeDocument/2006/relationships/image" Target="media/image13.png"/><Relationship Id="rId68" Type="http://schemas.openxmlformats.org/officeDocument/2006/relationships/hyperlink" Target="consultantplus://offline/ref=4359DD3B22841BA659B05F13EAB60DBE00EA933B383F149C2E0CB47B95142BC586DA2FCA2E1140BFi6DCK" TargetMode="External"/><Relationship Id="rId89" Type="http://schemas.openxmlformats.org/officeDocument/2006/relationships/hyperlink" Target="consultantplus://offline/ref=79485CCBBF3E08A178123AA70812FFA591EB3E61524CD082598D8BCA306911A3BFA6C41BB8EDB05DM3v4O" TargetMode="External"/><Relationship Id="rId112" Type="http://schemas.openxmlformats.org/officeDocument/2006/relationships/image" Target="media/image27.png"/><Relationship Id="rId133" Type="http://schemas.openxmlformats.org/officeDocument/2006/relationships/hyperlink" Target="consultantplus://offline/ref=2586990FF467F6FC75351165E55EFD6C7F6EBEE208352D33CEC251CA27EBECAC4FFFCB9BC373H0w7H" TargetMode="External"/><Relationship Id="rId154" Type="http://schemas.openxmlformats.org/officeDocument/2006/relationships/hyperlink" Target="http://www.consultant.ru/document/cons_doc_LAW_144624/e20b1ebe0f1f6c51c75653866d068ffb0da444ef/" TargetMode="External"/><Relationship Id="rId175" Type="http://schemas.openxmlformats.org/officeDocument/2006/relationships/hyperlink" Target="http://www.zakupki.gov.ru" TargetMode="External"/><Relationship Id="rId196" Type="http://schemas.openxmlformats.org/officeDocument/2006/relationships/chart" Target="charts/chart47.xml"/><Relationship Id="rId200" Type="http://schemas.openxmlformats.org/officeDocument/2006/relationships/chart" Target="charts/chart50.xml"/><Relationship Id="rId16" Type="http://schemas.openxmlformats.org/officeDocument/2006/relationships/chart" Target="charts/chart2.xml"/><Relationship Id="rId221" Type="http://schemas.openxmlformats.org/officeDocument/2006/relationships/image" Target="media/image70.png"/><Relationship Id="rId37" Type="http://schemas.openxmlformats.org/officeDocument/2006/relationships/chart" Target="charts/chart20.xml"/><Relationship Id="rId58" Type="http://schemas.openxmlformats.org/officeDocument/2006/relationships/chart" Target="charts/chart29.xml"/><Relationship Id="rId79" Type="http://schemas.openxmlformats.org/officeDocument/2006/relationships/hyperlink" Target="consultantplus://offline/ref=A459826CAD19AE9BF74FCFC406C8B2246FE8C23F00453D6A42B07B9481418E71A99AF4DC1368F374d5q3H" TargetMode="External"/><Relationship Id="rId102" Type="http://schemas.openxmlformats.org/officeDocument/2006/relationships/hyperlink" Target="http://www.roskazna.ru" TargetMode="External"/><Relationship Id="rId123" Type="http://schemas.openxmlformats.org/officeDocument/2006/relationships/chart" Target="charts/chart38.xml"/><Relationship Id="rId144" Type="http://schemas.openxmlformats.org/officeDocument/2006/relationships/image" Target="media/image39.png"/><Relationship Id="rId90" Type="http://schemas.openxmlformats.org/officeDocument/2006/relationships/hyperlink" Target="consultantplus://offline/ref=D24EFF112DFF2F2868F2775A16BE98ADDA1E004B883183A3B5D2B547F02F1179A83FDE20B509890CWD7DJ" TargetMode="External"/><Relationship Id="rId165" Type="http://schemas.openxmlformats.org/officeDocument/2006/relationships/image" Target="media/image51.png"/><Relationship Id="rId186" Type="http://schemas.openxmlformats.org/officeDocument/2006/relationships/image" Target="media/image58.jpeg"/><Relationship Id="rId211" Type="http://schemas.openxmlformats.org/officeDocument/2006/relationships/hyperlink" Target="http://www.roskazna.ru" TargetMode="External"/><Relationship Id="rId23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fsfk.local\dfs\Stabfond\1403\&#1048;&#1085;&#1092;&#1086;&#1088;&#1084;&#1072;&#1094;&#1080;&#1103;%20&#1088;&#1091;&#1082;&#1086;&#1074;&#1086;&#1076;&#1089;&#1090;&#1074;&#1091;\2016\&#1053;&#1072;%2001.12.2016\&#1047;&#1072;&#1087;&#1080;&#1089;&#1082;&#1072;%20&#1085;&#1072;%2001.12.2016%20(&#1041;&#1050;)\&#1088;&#1072;&#1073;&#1086;&#1095;&#1080;&#1077;%20&#1084;&#1072;&#1090;&#1077;&#1088;&#1080;&#1072;&#1083;&#1099;%20&#1085;&#1086;&#1103;&#1073;&#1088;&#1100;.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4.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5.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6.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50;&#1088;&#1091;&#1075;&#1086;&#1074;&#1072;&#1103;.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50;&#1088;&#1091;&#1075;&#1086;&#1074;&#1072;&#1103;%20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7.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8.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9.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s9500uvkfs01\Exch06$\exch2\&#1054;&#1090;&#1076;&#1077;&#1083;%206.4\&#1048;&#1058;&#1054;&#1043;&#1054;&#1042;&#1067;&#1049;%20&#1044;&#1054;&#1050;&#1051;&#1040;&#1044;\&#1048;&#1090;&#1086;&#1075;&#1086;&#1074;&#1099;&#1081;%20&#1076;&#1086;&#1082;&#1083;&#1072;&#1076;%202016\&#1057;&#1042;&#1054;&#1044;\&#1062;&#1040;&#1060;&#1050;\09_&#1070;&#1059;_+_+\&#1044;&#1080;&#1072;&#1075;&#1088;&#1072;&#1084;&#1084;&#1099;\&#1076;&#1080;&#1072;&#1075;&#1088;%2010.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fsfk.local\dfs\workfiles\20\ALL\&#1055;&#1072;&#1089;&#1087;&#1086;&#1088;&#1090;&#1072;%20&#1087;&#1088;&#1086;&#1074;&#1077;&#1088;&#1086;&#1082;%202016\&#1057;&#1042;&#1054;&#1044;&#1053;&#1067;&#1049;_&#1055;&#1040;&#1057;&#1055;&#1054;&#1056;&#1058;_&#1050;&#1040;&#1052;&#1045;&#1056;_&#1055;&#1056;&#1054;&#1042;_2016.xlsx" TargetMode="External"/></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_____Microsoft_Excel24.xlsx"/></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4.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5.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6.xml"/></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27.xml"/></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48.xml.rels><?xml version="1.0" encoding="UTF-8" standalone="yes"?>
<Relationships xmlns="http://schemas.openxmlformats.org/package/2006/relationships"><Relationship Id="rId1" Type="http://schemas.openxmlformats.org/officeDocument/2006/relationships/oleObject" Target="file:///\\s9500uvkfs01\Exch06$\exch2\&#1054;&#1090;&#1076;&#1077;&#1083;%206.3\&#1052;&#1077;&#1090;&#1086;&#1076;&#1086;&#1083;&#1086;&#1075;&#1080;&#1103;\&#1042;&#1079;&#1072;&#1080;&#1084;&#1086;&#1076;&#1077;&#1081;&#1089;&#1090;&#1074;&#1080;&#1077;%20&#1089;%20&#1050;&#1057;&#1054;\&#1058;&#1080;&#1087;&#1086;&#1074;&#1086;&#1077;%20&#1089;&#1086;&#1075;&#1083;&#1072;&#1096;&#1077;&#1085;&#1080;&#1077;%20&#1089;%20&#1050;&#1057;&#1054;\&#1052;&#1086;&#1085;&#1080;&#1090;&#1086;&#1088;&#1080;&#1085;&#1075;\2016\2%20&#1087;&#1086;&#1083;&#1091;&#1075;&#1086;&#1076;&#1080;&#1077;%202016%20&#1075;&#1086;&#1076;&#1072;\&#1054;&#1090;&#1095;&#1077;&#1090;_II%20&#1087;&#1086;&#1083;&#1091;&#1075;&#1086;&#1076;&#1080;&#1077;%202016.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s9500uvkfs01\Exch06$\exch2\&#1054;&#1090;&#1076;&#1077;&#1083;%206.3\&#1052;&#1077;&#1090;&#1086;&#1076;&#1086;&#1083;&#1086;&#1075;&#1080;&#1103;\&#1042;&#1079;&#1072;&#1080;&#1084;&#1086;&#1076;&#1077;&#1081;&#1089;&#1090;&#1074;&#1080;&#1077;%20&#1089;%20&#1050;&#1057;&#1054;\&#1058;&#1080;&#1087;&#1086;&#1074;&#1086;&#1077;%20&#1089;&#1086;&#1075;&#1083;&#1072;&#1096;&#1077;&#1085;&#1080;&#1077;%20&#1089;%20&#1050;&#1057;&#1054;\&#1052;&#1086;&#1085;&#1080;&#1090;&#1086;&#1088;&#1080;&#1085;&#1075;\2016\2%20&#1087;&#1086;&#1083;&#1091;&#1075;&#1086;&#1076;&#1080;&#1077;%202016%20&#1075;&#1086;&#1076;&#1072;\&#1054;&#1090;&#1095;&#1077;&#1090;_II%20&#1087;&#1086;&#1083;&#1091;&#1075;&#1086;&#1076;&#1080;&#1077;%202016.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2507\AppData\Local\Microsoft\Windows\Temporary%20Internet%20Files\Content.Outlook\K3WFC2RT\&#1050;&#1085;&#1080;&#1075;&#1072;1%20(5).xlsx" TargetMode="External"/><Relationship Id="rId1" Type="http://schemas.openxmlformats.org/officeDocument/2006/relationships/themeOverride" Target="../theme/themeOverride28.xml"/></Relationships>
</file>

<file path=word/charts/_rels/chart51.xml.rels><?xml version="1.0" encoding="UTF-8" standalone="yes"?>
<Relationships xmlns="http://schemas.openxmlformats.org/package/2006/relationships"><Relationship Id="rId2" Type="http://schemas.openxmlformats.org/officeDocument/2006/relationships/oleObject" Target="file:///C:\Users\2507\AppData\Local\Microsoft\Windows\Temporary%20Internet%20Files\Content.Outlook\K3WFC2RT\&#1050;&#1085;&#1080;&#1075;&#1072;1%20(6).xlsx" TargetMode="External"/><Relationship Id="rId1" Type="http://schemas.openxmlformats.org/officeDocument/2006/relationships/themeOverride" Target="../theme/themeOverride29.xml"/></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0.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Динамика предоставления межбюджетных трансфертов</a:t>
            </a:r>
            <a:r>
              <a:rPr lang="ru-RU" sz="1200" baseline="0"/>
              <a:t> </a:t>
            </a:r>
            <a:r>
              <a:rPr lang="ru-RU" sz="1200"/>
              <a:t>под фактическую потребность</a:t>
            </a:r>
          </a:p>
        </c:rich>
      </c:tx>
      <c:layout>
        <c:manualLayout>
          <c:xMode val="edge"/>
          <c:yMode val="edge"/>
          <c:x val="0.18572697643563785"/>
          <c:y val="2.8915842344219508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2.4741237419682222E-2"/>
          <c:y val="0.47386865270733053"/>
          <c:w val="0.94500955837794332"/>
          <c:h val="0.38953862795904504"/>
        </c:manualLayout>
      </c:layout>
      <c:bar3DChart>
        <c:barDir val="col"/>
        <c:grouping val="clustered"/>
        <c:varyColors val="0"/>
        <c:ser>
          <c:idx val="0"/>
          <c:order val="0"/>
          <c:tx>
            <c:strRef>
              <c:f>Лист1!$B$1</c:f>
              <c:strCache>
                <c:ptCount val="1"/>
                <c:pt idx="0">
                  <c:v>количество межбюджетных трансфертов, поступивших из федерального бюджета в бюджет субъекта Российской Федерации</c:v>
                </c:pt>
              </c:strCache>
            </c:strRef>
          </c:tx>
          <c:invertIfNegative val="0"/>
          <c:dLbls>
            <c:dLbl>
              <c:idx val="0"/>
              <c:layout>
                <c:manualLayout>
                  <c:x val="2.9782359679266894E-2"/>
                  <c:y val="-3.7865748709122328E-2"/>
                </c:manualLayout>
              </c:layout>
              <c:showLegendKey val="0"/>
              <c:showVal val="1"/>
              <c:showCatName val="0"/>
              <c:showSerName val="0"/>
              <c:showPercent val="0"/>
              <c:showBubbleSize val="0"/>
            </c:dLbl>
            <c:dLbl>
              <c:idx val="1"/>
              <c:layout>
                <c:manualLayout>
                  <c:x val="2.0618556701030844E-2"/>
                  <c:y val="-4.130808950086058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1 декабря 2015 года</c:v>
                </c:pt>
                <c:pt idx="1">
                  <c:v>1 октября 2016 года</c:v>
                </c:pt>
              </c:strCache>
            </c:strRef>
          </c:cat>
          <c:val>
            <c:numRef>
              <c:f>Лист1!$B$2:$B$3</c:f>
              <c:numCache>
                <c:formatCode>General</c:formatCode>
                <c:ptCount val="2"/>
                <c:pt idx="0">
                  <c:v>78</c:v>
                </c:pt>
                <c:pt idx="1">
                  <c:v>139</c:v>
                </c:pt>
              </c:numCache>
            </c:numRef>
          </c:val>
        </c:ser>
        <c:ser>
          <c:idx val="1"/>
          <c:order val="1"/>
          <c:tx>
            <c:strRef>
              <c:f>Лист1!$C$1</c:f>
              <c:strCache>
                <c:ptCount val="1"/>
                <c:pt idx="0">
                  <c:v>количество межбюджетных трансфертов субъекта Российской Федерации, предоставленных местным бюджетам</c:v>
                </c:pt>
              </c:strCache>
            </c:strRef>
          </c:tx>
          <c:invertIfNegative val="0"/>
          <c:dLbls>
            <c:dLbl>
              <c:idx val="0"/>
              <c:layout>
                <c:manualLayout>
                  <c:x val="2.7491408934707903E-2"/>
                  <c:y val="-3.7865748709122328E-2"/>
                </c:manualLayout>
              </c:layout>
              <c:showLegendKey val="0"/>
              <c:showVal val="1"/>
              <c:showCatName val="0"/>
              <c:showSerName val="0"/>
              <c:showPercent val="0"/>
              <c:showBubbleSize val="0"/>
            </c:dLbl>
            <c:dLbl>
              <c:idx val="1"/>
              <c:layout>
                <c:manualLayout>
                  <c:x val="2.9782179289444488E-2"/>
                  <c:y val="-4.130808950086055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1 декабря 2015 года</c:v>
                </c:pt>
                <c:pt idx="1">
                  <c:v>1 октября 2016 года</c:v>
                </c:pt>
              </c:strCache>
            </c:strRef>
          </c:cat>
          <c:val>
            <c:numRef>
              <c:f>Лист1!$C$2:$C$3</c:f>
              <c:numCache>
                <c:formatCode>General</c:formatCode>
                <c:ptCount val="2"/>
                <c:pt idx="0">
                  <c:v>167</c:v>
                </c:pt>
                <c:pt idx="1">
                  <c:v>692</c:v>
                </c:pt>
              </c:numCache>
            </c:numRef>
          </c:val>
        </c:ser>
        <c:dLbls>
          <c:showLegendKey val="0"/>
          <c:showVal val="0"/>
          <c:showCatName val="0"/>
          <c:showSerName val="0"/>
          <c:showPercent val="0"/>
          <c:showBubbleSize val="0"/>
        </c:dLbls>
        <c:gapWidth val="150"/>
        <c:shape val="cylinder"/>
        <c:axId val="81732352"/>
        <c:axId val="81733888"/>
        <c:axId val="0"/>
      </c:bar3DChart>
      <c:catAx>
        <c:axId val="81732352"/>
        <c:scaling>
          <c:orientation val="minMax"/>
        </c:scaling>
        <c:delete val="0"/>
        <c:axPos val="b"/>
        <c:numFmt formatCode="dd/mm/yyyy" sourceLinked="1"/>
        <c:majorTickMark val="none"/>
        <c:minorTickMark val="none"/>
        <c:tickLblPos val="nextTo"/>
        <c:txPr>
          <a:bodyPr/>
          <a:lstStyle/>
          <a:p>
            <a:pPr>
              <a:defRPr sz="1100"/>
            </a:pPr>
            <a:endParaRPr lang="ru-RU"/>
          </a:p>
        </c:txPr>
        <c:crossAx val="81733888"/>
        <c:crosses val="autoZero"/>
        <c:auto val="1"/>
        <c:lblAlgn val="ctr"/>
        <c:lblOffset val="100"/>
        <c:noMultiLvlLbl val="0"/>
      </c:catAx>
      <c:valAx>
        <c:axId val="81733888"/>
        <c:scaling>
          <c:orientation val="minMax"/>
        </c:scaling>
        <c:delete val="1"/>
        <c:axPos val="l"/>
        <c:numFmt formatCode="General" sourceLinked="1"/>
        <c:majorTickMark val="out"/>
        <c:minorTickMark val="none"/>
        <c:tickLblPos val="nextTo"/>
        <c:crossAx val="81732352"/>
        <c:crosses val="autoZero"/>
        <c:crossBetween val="between"/>
      </c:valAx>
      <c:spPr>
        <a:noFill/>
        <a:ln w="25371">
          <a:noFill/>
        </a:ln>
      </c:spPr>
    </c:plotArea>
    <c:legend>
      <c:legendPos val="t"/>
      <c:layout>
        <c:manualLayout>
          <c:xMode val="edge"/>
          <c:yMode val="edge"/>
          <c:x val="4.9578225798698243E-2"/>
          <c:y val="0.20579211721097537"/>
          <c:w val="0.48382798304058144"/>
          <c:h val="0.42194526564143381"/>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26124234470692"/>
          <c:y val="0.15094856643786078"/>
          <c:w val="0.79080104986876643"/>
          <c:h val="0.47944686290296901"/>
        </c:manualLayout>
      </c:layout>
      <c:barChart>
        <c:barDir val="col"/>
        <c:grouping val="clustered"/>
        <c:varyColors val="0"/>
        <c:ser>
          <c:idx val="0"/>
          <c:order val="0"/>
          <c:tx>
            <c:strRef>
              <c:f>Лист1!$C$2</c:f>
              <c:strCache>
                <c:ptCount val="1"/>
                <c:pt idx="0">
                  <c:v>вариант кассового обслуживания с открытием лицевого счета бюджета финансовому органу</c:v>
                </c:pt>
              </c:strCache>
            </c:strRef>
          </c:tx>
          <c:spPr>
            <a:solidFill>
              <a:srgbClr val="1F497D">
                <a:lumMod val="40000"/>
                <a:lumOff val="60000"/>
              </a:srgbClr>
            </a:solidFill>
          </c:spPr>
          <c:invertIfNegative val="0"/>
          <c:dPt>
            <c:idx val="5"/>
            <c:invertIfNegative val="0"/>
            <c:bubble3D val="0"/>
          </c:dPt>
          <c:dLbls>
            <c:dLbl>
              <c:idx val="0"/>
              <c:layout>
                <c:manualLayout>
                  <c:x val="1.5936832895888015E-2"/>
                  <c:y val="3.1667098805023297E-3"/>
                </c:manualLayout>
              </c:layout>
              <c:spPr>
                <a:noFill/>
              </c:spPr>
              <c:txPr>
                <a:bodyPr/>
                <a:lstStyle/>
                <a:p>
                  <a:pPr>
                    <a:defRPr sz="999"/>
                  </a:pPr>
                  <a:endParaRPr lang="ru-RU"/>
                </a:p>
              </c:txPr>
              <c:dLblPos val="outEnd"/>
              <c:showLegendKey val="0"/>
              <c:showVal val="1"/>
              <c:showCatName val="0"/>
              <c:showSerName val="0"/>
              <c:showPercent val="0"/>
              <c:showBubbleSize val="0"/>
            </c:dLbl>
            <c:dLbl>
              <c:idx val="1"/>
              <c:layout>
                <c:manualLayout>
                  <c:x val="4.3186351706036748E-3"/>
                  <c:y val="-2.7449428440162486E-3"/>
                </c:manualLayout>
              </c:layout>
              <c:tx>
                <c:rich>
                  <a:bodyPr/>
                  <a:lstStyle/>
                  <a:p>
                    <a:r>
                      <a:rPr lang="en-US"/>
                      <a:t>6 </a:t>
                    </a:r>
                    <a:r>
                      <a:rPr lang="ru-RU"/>
                      <a:t>243</a:t>
                    </a:r>
                    <a:endParaRPr lang="en-US"/>
                  </a:p>
                </c:rich>
              </c:tx>
              <c:dLblPos val="outEnd"/>
              <c:showLegendKey val="0"/>
              <c:showVal val="1"/>
              <c:showCatName val="0"/>
              <c:showSerName val="0"/>
              <c:showPercent val="0"/>
              <c:showBubbleSize val="0"/>
            </c:dLbl>
            <c:dLbl>
              <c:idx val="2"/>
              <c:layout>
                <c:manualLayout>
                  <c:x val="2.7463096464126332E-3"/>
                  <c:y val="3.5224377668404971E-3"/>
                </c:manualLayout>
              </c:layout>
              <c:dLblPos val="outEnd"/>
              <c:showLegendKey val="0"/>
              <c:showVal val="1"/>
              <c:showCatName val="0"/>
              <c:showSerName val="0"/>
              <c:showPercent val="0"/>
              <c:showBubbleSize val="0"/>
            </c:dLbl>
            <c:dLbl>
              <c:idx val="3"/>
              <c:layout>
                <c:manualLayout>
                  <c:x val="4.1194644696189494E-3"/>
                  <c:y val="-3.0476802755952073E-3"/>
                </c:manualLayout>
              </c:layout>
              <c:dLblPos val="outEnd"/>
              <c:showLegendKey val="0"/>
              <c:showVal val="1"/>
              <c:showCatName val="0"/>
              <c:showSerName val="0"/>
              <c:showPercent val="0"/>
              <c:showBubbleSize val="0"/>
            </c:dLbl>
            <c:dLbl>
              <c:idx val="4"/>
              <c:layout>
                <c:manualLayout>
                  <c:x val="3.9654418197725286E-3"/>
                  <c:y val="7.9027652105833953E-3"/>
                </c:manualLayout>
              </c:layout>
              <c:dLblPos val="outEnd"/>
              <c:showLegendKey val="0"/>
              <c:showVal val="1"/>
              <c:showCatName val="0"/>
              <c:showSerName val="0"/>
              <c:showPercent val="0"/>
              <c:showBubbleSize val="0"/>
            </c:dLbl>
            <c:dLbl>
              <c:idx val="5"/>
              <c:layout>
                <c:manualLayout>
                  <c:x val="-1.6057742782152231E-3"/>
                  <c:y val="-4.64060617699949E-3"/>
                </c:manualLayout>
              </c:layout>
              <c:tx>
                <c:rich>
                  <a:bodyPr/>
                  <a:lstStyle/>
                  <a:p>
                    <a:pPr>
                      <a:defRPr sz="999"/>
                    </a:pPr>
                    <a:r>
                      <a:rPr lang="ru-RU" sz="999"/>
                      <a:t>15 486,4*</a:t>
                    </a:r>
                    <a:endParaRPr lang="en-US"/>
                  </a:p>
                </c:rich>
              </c:tx>
              <c:spPr>
                <a:noFill/>
              </c:spPr>
              <c:dLblPos val="outEnd"/>
              <c:showLegendKey val="0"/>
              <c:showVal val="0"/>
              <c:showCatName val="0"/>
              <c:showSerName val="0"/>
              <c:showPercent val="0"/>
              <c:showBubbleSize val="0"/>
            </c:dLbl>
            <c:spPr>
              <a:solidFill>
                <a:schemeClr val="bg1"/>
              </a:solidFill>
            </c:spPr>
            <c:txPr>
              <a:bodyPr/>
              <a:lstStyle/>
              <a:p>
                <a:pPr>
                  <a:defRPr sz="999"/>
                </a:pPr>
                <a:endParaRPr lang="ru-RU"/>
              </a:p>
            </c:txPr>
            <c:showLegendKey val="0"/>
            <c:showVal val="1"/>
            <c:showCatName val="0"/>
            <c:showSerName val="0"/>
            <c:showPercent val="0"/>
            <c:showBubbleSize val="0"/>
            <c:showLeaderLines val="0"/>
          </c:dLbls>
          <c:cat>
            <c:strRef>
              <c:f>Лист1!$B$3:$B$9</c:f>
              <c:strCache>
                <c:ptCount val="6"/>
                <c:pt idx="0">
                  <c:v>01.01.2016</c:v>
                </c:pt>
                <c:pt idx="1">
                  <c:v>01.07.2016</c:v>
                </c:pt>
                <c:pt idx="2">
                  <c:v>01.01.2016</c:v>
                </c:pt>
                <c:pt idx="3">
                  <c:v>01.07.2016</c:v>
                </c:pt>
                <c:pt idx="4">
                  <c:v>01.01.2015</c:v>
                </c:pt>
                <c:pt idx="5">
                  <c:v>01.07.2016</c:v>
                </c:pt>
              </c:strCache>
            </c:strRef>
          </c:cat>
          <c:val>
            <c:numRef>
              <c:f>Лист1!$C$3:$C$9</c:f>
              <c:numCache>
                <c:formatCode>#,##0</c:formatCode>
                <c:ptCount val="7"/>
                <c:pt idx="0">
                  <c:v>6823</c:v>
                </c:pt>
                <c:pt idx="1">
                  <c:v>6555</c:v>
                </c:pt>
              </c:numCache>
            </c:numRef>
          </c:val>
        </c:ser>
        <c:ser>
          <c:idx val="1"/>
          <c:order val="1"/>
          <c:tx>
            <c:strRef>
              <c:f>Лист1!$D$2</c:f>
              <c:strCache>
                <c:ptCount val="1"/>
                <c:pt idx="0">
                  <c:v>вариант кассового обслуживания с открытием счетов всем участникам бюджетного процесса согласно соответствующему соглашению</c:v>
                </c:pt>
              </c:strCache>
            </c:strRef>
          </c:tx>
          <c:spPr>
            <a:solidFill>
              <a:srgbClr val="9BBB59">
                <a:lumMod val="60000"/>
                <a:lumOff val="40000"/>
              </a:srgbClr>
            </a:solidFill>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dLbl>
              <c:idx val="0"/>
              <c:layout>
                <c:manualLayout>
                  <c:x val="3.862817147856518E-3"/>
                  <c:y val="4.8452258323585387E-3"/>
                </c:manualLayout>
              </c:layout>
              <c:dLblPos val="outEnd"/>
              <c:showLegendKey val="0"/>
              <c:showVal val="1"/>
              <c:showCatName val="0"/>
              <c:showSerName val="0"/>
              <c:showPercent val="0"/>
              <c:showBubbleSize val="0"/>
            </c:dLbl>
            <c:dLbl>
              <c:idx val="1"/>
              <c:layout>
                <c:manualLayout>
                  <c:x val="1.0728433945756781E-2"/>
                  <c:y val="1.1929162956625987E-2"/>
                </c:manualLayout>
              </c:layout>
              <c:dLblPos val="outEnd"/>
              <c:showLegendKey val="0"/>
              <c:showVal val="1"/>
              <c:showCatName val="0"/>
              <c:showSerName val="0"/>
              <c:showPercent val="0"/>
              <c:showBubbleSize val="0"/>
            </c:dLbl>
            <c:dLbl>
              <c:idx val="2"/>
              <c:layout>
                <c:manualLayout>
                  <c:x val="4.6666666666666666E-4"/>
                  <c:y val="5.8135800615911094E-3"/>
                </c:manualLayout>
              </c:layout>
              <c:dLblPos val="outEnd"/>
              <c:showLegendKey val="0"/>
              <c:showVal val="1"/>
              <c:showCatName val="0"/>
              <c:showSerName val="0"/>
              <c:showPercent val="0"/>
              <c:showBubbleSize val="0"/>
            </c:dLbl>
            <c:dLbl>
              <c:idx val="3"/>
              <c:layout>
                <c:manualLayout>
                  <c:x val="9.9072615923009627E-4"/>
                  <c:y val="5.81285224962131E-3"/>
                </c:manualLayout>
              </c:layout>
              <c:tx>
                <c:rich>
                  <a:bodyPr/>
                  <a:lstStyle/>
                  <a:p>
                    <a:r>
                      <a:rPr lang="en-US"/>
                      <a:t>11 </a:t>
                    </a:r>
                    <a:r>
                      <a:rPr lang="ru-RU"/>
                      <a:t>429</a:t>
                    </a:r>
                    <a:endParaRPr lang="en-US"/>
                  </a:p>
                </c:rich>
              </c:tx>
              <c:dLblPos val="outEnd"/>
              <c:showLegendKey val="0"/>
              <c:showVal val="1"/>
              <c:showCatName val="0"/>
              <c:showSerName val="0"/>
              <c:showPercent val="0"/>
              <c:showBubbleSize val="0"/>
            </c:dLbl>
            <c:dLbl>
              <c:idx val="4"/>
              <c:layout>
                <c:manualLayout>
                  <c:x val="1.9532270004710951E-2"/>
                  <c:y val="9.5879457610585968E-3"/>
                </c:manualLayout>
              </c:layout>
              <c:dLblPos val="outEnd"/>
              <c:showLegendKey val="0"/>
              <c:showVal val="1"/>
              <c:showCatName val="0"/>
              <c:showSerName val="0"/>
              <c:showPercent val="0"/>
              <c:showBubbleSize val="0"/>
            </c:dLbl>
            <c:dLbl>
              <c:idx val="5"/>
              <c:layout>
                <c:manualLayout>
                  <c:x val="2.8504461942257218E-2"/>
                  <c:y val="6.9051568110526122E-3"/>
                </c:manualLayout>
              </c:layout>
              <c:tx>
                <c:rich>
                  <a:bodyPr/>
                  <a:lstStyle/>
                  <a:p>
                    <a:r>
                      <a:rPr lang="ru-RU" sz="999" dirty="0" smtClean="0">
                        <a:latin typeface="Times New Roman" panose="02020603050405020304" pitchFamily="18" charset="0"/>
                        <a:cs typeface="Times New Roman" panose="02020603050405020304" pitchFamily="18" charset="0"/>
                      </a:rPr>
                      <a:t>3 000,0</a:t>
                    </a:r>
                    <a:r>
                      <a:rPr lang="ru-RU" sz="999" dirty="0" smtClean="0">
                        <a:solidFill>
                          <a:sysClr val="windowText" lastClr="000000"/>
                        </a:solidFill>
                        <a:latin typeface="Times New Roman" panose="02020603050405020304" pitchFamily="18" charset="0"/>
                        <a:cs typeface="Times New Roman" panose="02020603050405020304" pitchFamily="18" charset="0"/>
                      </a:rPr>
                      <a:t>**</a:t>
                    </a:r>
                    <a:endParaRPr lang="en-US" sz="1050" dirty="0" smtClean="0">
                      <a:solidFill>
                        <a:sysClr val="windowText" lastClr="000000"/>
                      </a:solidFill>
                      <a:latin typeface="Times New Roman" panose="02020603050405020304" pitchFamily="18" charset="0"/>
                      <a:cs typeface="Times New Roman" panose="02020603050405020304" pitchFamily="18" charset="0"/>
                    </a:endParaRPr>
                  </a:p>
                </c:rich>
              </c:tx>
              <c:dLblPos val="outEnd"/>
              <c:showLegendKey val="0"/>
              <c:showVal val="0"/>
              <c:showCatName val="0"/>
              <c:showSerName val="0"/>
              <c:showPercent val="0"/>
              <c:showBubbleSize val="0"/>
            </c:dLbl>
            <c:spPr>
              <a:noFill/>
            </c:spPr>
            <c:txPr>
              <a:bodyPr/>
              <a:lstStyle/>
              <a:p>
                <a:pPr>
                  <a:defRPr sz="999"/>
                </a:pPr>
                <a:endParaRPr lang="ru-RU"/>
              </a:p>
            </c:txPr>
            <c:showLegendKey val="0"/>
            <c:showVal val="1"/>
            <c:showCatName val="0"/>
            <c:showSerName val="0"/>
            <c:showPercent val="0"/>
            <c:showBubbleSize val="0"/>
            <c:showLeaderLines val="0"/>
          </c:dLbls>
          <c:cat>
            <c:strRef>
              <c:f>Лист1!$B$3:$B$9</c:f>
              <c:strCache>
                <c:ptCount val="6"/>
                <c:pt idx="0">
                  <c:v>01.01.2016</c:v>
                </c:pt>
                <c:pt idx="1">
                  <c:v>01.07.2016</c:v>
                </c:pt>
                <c:pt idx="2">
                  <c:v>01.01.2016</c:v>
                </c:pt>
                <c:pt idx="3">
                  <c:v>01.07.2016</c:v>
                </c:pt>
                <c:pt idx="4">
                  <c:v>01.01.2015</c:v>
                </c:pt>
                <c:pt idx="5">
                  <c:v>01.07.2016</c:v>
                </c:pt>
              </c:strCache>
            </c:strRef>
          </c:cat>
          <c:val>
            <c:numRef>
              <c:f>Лист1!$D$3:$D$9</c:f>
              <c:numCache>
                <c:formatCode>General</c:formatCode>
                <c:ptCount val="7"/>
                <c:pt idx="2" formatCode="#,##0">
                  <c:v>11699</c:v>
                </c:pt>
                <c:pt idx="3" formatCode="#,##0">
                  <c:v>11593</c:v>
                </c:pt>
              </c:numCache>
            </c:numRef>
          </c:val>
        </c:ser>
        <c:ser>
          <c:idx val="2"/>
          <c:order val="2"/>
          <c:tx>
            <c:strRef>
              <c:f>Лист1!$E$2</c:f>
              <c:strCache>
                <c:ptCount val="1"/>
                <c:pt idx="0">
                  <c:v>«смешанный» вариант кассового обслуживания</c:v>
                </c:pt>
              </c:strCache>
            </c:strRef>
          </c:tx>
          <c:spPr>
            <a:solidFill>
              <a:srgbClr val="8064A2">
                <a:lumMod val="40000"/>
                <a:lumOff val="60000"/>
              </a:srgbClr>
            </a:solidFill>
          </c:spPr>
          <c:invertIfNegative val="0"/>
          <c:dLbls>
            <c:dLbl>
              <c:idx val="5"/>
              <c:tx>
                <c:rich>
                  <a:bodyPr/>
                  <a:lstStyle/>
                  <a:p>
                    <a:r>
                      <a:rPr lang="en-US"/>
                      <a:t>4 </a:t>
                    </a:r>
                    <a:r>
                      <a:rPr lang="ru-RU"/>
                      <a:t>881</a:t>
                    </a:r>
                    <a:endParaRPr lang="en-US"/>
                  </a:p>
                </c:rich>
              </c:tx>
              <c:showLegendKey val="0"/>
              <c:showVal val="1"/>
              <c:showCatName val="0"/>
              <c:showSerName val="0"/>
              <c:showPercent val="0"/>
              <c:showBubbleSize val="0"/>
            </c:dLbl>
            <c:txPr>
              <a:bodyPr/>
              <a:lstStyle/>
              <a:p>
                <a:pPr>
                  <a:defRPr sz="999"/>
                </a:pPr>
                <a:endParaRPr lang="ru-RU"/>
              </a:p>
            </c:txPr>
            <c:showLegendKey val="0"/>
            <c:showVal val="1"/>
            <c:showCatName val="0"/>
            <c:showSerName val="0"/>
            <c:showPercent val="0"/>
            <c:showBubbleSize val="0"/>
            <c:showLeaderLines val="0"/>
          </c:dLbls>
          <c:cat>
            <c:strRef>
              <c:f>Лист1!$B$3:$B$9</c:f>
              <c:strCache>
                <c:ptCount val="6"/>
                <c:pt idx="0">
                  <c:v>01.01.2016</c:v>
                </c:pt>
                <c:pt idx="1">
                  <c:v>01.07.2016</c:v>
                </c:pt>
                <c:pt idx="2">
                  <c:v>01.01.2016</c:v>
                </c:pt>
                <c:pt idx="3">
                  <c:v>01.07.2016</c:v>
                </c:pt>
                <c:pt idx="4">
                  <c:v>01.01.2015</c:v>
                </c:pt>
                <c:pt idx="5">
                  <c:v>01.07.2016</c:v>
                </c:pt>
              </c:strCache>
            </c:strRef>
          </c:cat>
          <c:val>
            <c:numRef>
              <c:f>Лист1!$E$3:$E$9</c:f>
              <c:numCache>
                <c:formatCode>General</c:formatCode>
                <c:ptCount val="7"/>
                <c:pt idx="4" formatCode="#,##0">
                  <c:v>4422</c:v>
                </c:pt>
                <c:pt idx="5" formatCode="#,##0">
                  <c:v>4623</c:v>
                </c:pt>
              </c:numCache>
            </c:numRef>
          </c:val>
        </c:ser>
        <c:dLbls>
          <c:showLegendKey val="0"/>
          <c:showVal val="0"/>
          <c:showCatName val="0"/>
          <c:showSerName val="0"/>
          <c:showPercent val="0"/>
          <c:showBubbleSize val="0"/>
        </c:dLbls>
        <c:gapWidth val="0"/>
        <c:axId val="99151872"/>
        <c:axId val="99153408"/>
      </c:barChart>
      <c:catAx>
        <c:axId val="99151872"/>
        <c:scaling>
          <c:orientation val="minMax"/>
        </c:scaling>
        <c:delete val="0"/>
        <c:axPos val="b"/>
        <c:majorTickMark val="none"/>
        <c:minorTickMark val="none"/>
        <c:tickLblPos val="none"/>
        <c:txPr>
          <a:bodyPr rot="-1020000" vert="horz"/>
          <a:lstStyle/>
          <a:p>
            <a:pPr>
              <a:defRPr/>
            </a:pPr>
            <a:endParaRPr lang="ru-RU"/>
          </a:p>
        </c:txPr>
        <c:crossAx val="99153408"/>
        <c:crosses val="autoZero"/>
        <c:auto val="0"/>
        <c:lblAlgn val="ctr"/>
        <c:lblOffset val="100"/>
        <c:noMultiLvlLbl val="0"/>
      </c:catAx>
      <c:valAx>
        <c:axId val="99153408"/>
        <c:scaling>
          <c:orientation val="minMax"/>
          <c:max val="12500"/>
          <c:min val="0"/>
        </c:scaling>
        <c:delete val="0"/>
        <c:axPos val="l"/>
        <c:numFmt formatCode="#,##0" sourceLinked="0"/>
        <c:majorTickMark val="none"/>
        <c:minorTickMark val="none"/>
        <c:tickLblPos val="nextTo"/>
        <c:txPr>
          <a:bodyPr/>
          <a:lstStyle/>
          <a:p>
            <a:pPr>
              <a:defRPr sz="999"/>
            </a:pPr>
            <a:endParaRPr lang="ru-RU"/>
          </a:p>
        </c:txPr>
        <c:crossAx val="99151872"/>
        <c:crosses val="autoZero"/>
        <c:crossBetween val="between"/>
        <c:majorUnit val="2000"/>
      </c:valAx>
      <c:spPr>
        <a:noFill/>
        <a:ln w="25366">
          <a:noFill/>
        </a:ln>
      </c:spPr>
    </c:plotArea>
    <c:legend>
      <c:legendPos val="b"/>
      <c:layout>
        <c:manualLayout>
          <c:xMode val="edge"/>
          <c:yMode val="edge"/>
          <c:x val="4.9586217830153781E-2"/>
          <c:y val="0.75339450989678913"/>
          <c:w val="0.93296887385721072"/>
          <c:h val="0.2358760418105631"/>
        </c:manualLayout>
      </c:layout>
      <c:overlay val="0"/>
      <c:txPr>
        <a:bodyPr/>
        <a:lstStyle/>
        <a:p>
          <a:pPr>
            <a:defRPr sz="999" baseline="0"/>
          </a:pPr>
          <a:endParaRPr lang="ru-RU"/>
        </a:p>
      </c:txPr>
    </c:legend>
    <c:plotVisOnly val="1"/>
    <c:dispBlanksAs val="gap"/>
    <c:showDLblsOverMax val="0"/>
  </c:chart>
  <c:spPr>
    <a:noFill/>
    <a:ln>
      <a:noFill/>
    </a:ln>
  </c:spPr>
  <c:txPr>
    <a:bodyPr/>
    <a:lstStyle/>
    <a:p>
      <a:pPr algn="ctr">
        <a:defRPr sz="799">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t>Количество</a:t>
            </a:r>
            <a:r>
              <a:rPr lang="ru-RU" sz="1200" baseline="0"/>
              <a:t> лицевых счетов, открытых участникам бюдежтного процесса местных бюджетов, по состоянию </a:t>
            </a:r>
            <a:br>
              <a:rPr lang="ru-RU" sz="1200" baseline="0"/>
            </a:br>
            <a:r>
              <a:rPr lang="ru-RU" sz="1200" baseline="0"/>
              <a:t>на </a:t>
            </a:r>
            <a:r>
              <a:rPr lang="ru-RU" sz="1200" b="1" i="0" u="none" strike="noStrike" baseline="0">
                <a:effectLst/>
              </a:rPr>
              <a:t>1 января 2017 </a:t>
            </a:r>
            <a:r>
              <a:rPr lang="ru-RU" sz="1200" baseline="0"/>
              <a:t>года</a:t>
            </a:r>
            <a:endParaRPr lang="ru-RU" sz="1200"/>
          </a:p>
        </c:rich>
      </c:tx>
      <c:layout>
        <c:manualLayout>
          <c:xMode val="edge"/>
          <c:yMode val="edge"/>
          <c:x val="0.14832466709758974"/>
          <c:y val="1.4044733971820884E-4"/>
        </c:manualLayout>
      </c:layout>
      <c:overlay val="0"/>
    </c:title>
    <c:autoTitleDeleted val="0"/>
    <c:view3D>
      <c:rotX val="15"/>
      <c:rotY val="20"/>
      <c:depthPercent val="10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4732996065205171E-2"/>
          <c:y val="0.12769116555308091"/>
          <c:w val="0.95053400786958964"/>
          <c:h val="0.31680035541214363"/>
        </c:manualLayout>
      </c:layout>
      <c:bar3DChart>
        <c:barDir val="col"/>
        <c:grouping val="clustered"/>
        <c:varyColors val="0"/>
        <c:ser>
          <c:idx val="0"/>
          <c:order val="0"/>
          <c:tx>
            <c:strRef>
              <c:f>Лист1!$B$1</c:f>
              <c:strCache>
                <c:ptCount val="1"/>
                <c:pt idx="0">
                  <c:v>лицевых счетов главных распорядителей (распорядителей) бюджетных средств (01) </c:v>
                </c:pt>
              </c:strCache>
            </c:strRef>
          </c:tx>
          <c:spPr>
            <a:solidFill>
              <a:srgbClr val="F79646">
                <a:lumMod val="20000"/>
                <a:lumOff val="80000"/>
              </a:srgbClr>
            </a:solidFill>
          </c:spPr>
          <c:invertIfNegative val="0"/>
          <c:dLbls>
            <c:dLbl>
              <c:idx val="0"/>
              <c:layout>
                <c:manualLayout>
                  <c:x val="0"/>
                  <c:y val="-4.8057946245091453E-3"/>
                </c:manualLayout>
              </c:layout>
              <c:tx>
                <c:rich>
                  <a:bodyPr/>
                  <a:lstStyle/>
                  <a:p>
                    <a:r>
                      <a:rPr lang="en-US" sz="998"/>
                      <a:t>1</a:t>
                    </a:r>
                    <a:r>
                      <a:rPr lang="ru-RU" sz="998"/>
                      <a:t>4 431</a:t>
                    </a:r>
                    <a:endParaRPr lang="en-US"/>
                  </a:p>
                </c:rich>
              </c:tx>
              <c:showLegendKey val="0"/>
              <c:showVal val="0"/>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15520</c:v>
                </c:pt>
              </c:numCache>
            </c:numRef>
          </c:val>
        </c:ser>
        <c:ser>
          <c:idx val="1"/>
          <c:order val="1"/>
          <c:tx>
            <c:strRef>
              <c:f>Лист1!$C$1</c:f>
              <c:strCache>
                <c:ptCount val="1"/>
                <c:pt idx="0">
                  <c:v>лицевых счетов получателей бюджетных средств (03)</c:v>
                </c:pt>
              </c:strCache>
            </c:strRef>
          </c:tx>
          <c:spPr>
            <a:solidFill>
              <a:srgbClr val="4BACC6">
                <a:lumMod val="20000"/>
                <a:lumOff val="80000"/>
              </a:srgbClr>
            </a:solidFill>
          </c:spPr>
          <c:invertIfNegative val="0"/>
          <c:dLbls>
            <c:dLbl>
              <c:idx val="0"/>
              <c:layout>
                <c:manualLayout>
                  <c:x val="2.7833629527775256E-2"/>
                  <c:y val="-9.9739567437791207E-3"/>
                </c:manualLayout>
              </c:layout>
              <c:tx>
                <c:rich>
                  <a:bodyPr/>
                  <a:lstStyle/>
                  <a:p>
                    <a:r>
                      <a:rPr lang="en-US" sz="998"/>
                      <a:t>5</a:t>
                    </a:r>
                    <a:r>
                      <a:rPr lang="ru-RU" sz="998"/>
                      <a:t>8 069</a:t>
                    </a:r>
                    <a:endParaRPr lang="en-US"/>
                  </a:p>
                </c:rich>
              </c:tx>
              <c:showLegendKey val="0"/>
              <c:showVal val="0"/>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57303</c:v>
                </c:pt>
              </c:numCache>
            </c:numRef>
          </c:val>
        </c:ser>
        <c:ser>
          <c:idx val="2"/>
          <c:order val="2"/>
          <c:tx>
            <c:strRef>
              <c:f>Лист1!$D$1</c:f>
              <c:strCache>
                <c:ptCount val="1"/>
                <c:pt idx="0">
                  <c:v>лицевых счетов для учета операций со средствами, поступающими во временное распоряжение получателей бюджетных средств (05)</c:v>
                </c:pt>
              </c:strCache>
            </c:strRef>
          </c:tx>
          <c:spPr>
            <a:solidFill>
              <a:srgbClr val="9BBB59">
                <a:lumMod val="20000"/>
                <a:lumOff val="80000"/>
              </a:srgbClr>
            </a:solidFill>
          </c:spPr>
          <c:invertIfNegative val="0"/>
          <c:dLbls>
            <c:dLbl>
              <c:idx val="0"/>
              <c:layout>
                <c:manualLayout>
                  <c:x val="3.4840422541910429E-2"/>
                  <c:y val="-9.9737532808398949E-3"/>
                </c:manualLayout>
              </c:layout>
              <c:tx>
                <c:rich>
                  <a:bodyPr/>
                  <a:lstStyle/>
                  <a:p>
                    <a:r>
                      <a:rPr lang="en-US" sz="998"/>
                      <a:t>34</a:t>
                    </a:r>
                    <a:r>
                      <a:rPr lang="ru-RU" sz="998"/>
                      <a:t> 649</a:t>
                    </a:r>
                    <a:endParaRPr lang="en-US"/>
                  </a:p>
                </c:rich>
              </c:tx>
              <c:showLegendKey val="0"/>
              <c:showVal val="0"/>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34224</c:v>
                </c:pt>
              </c:numCache>
            </c:numRef>
          </c:val>
        </c:ser>
        <c:ser>
          <c:idx val="3"/>
          <c:order val="3"/>
          <c:tx>
            <c:strRef>
              <c:f>Лист1!$E$1</c:f>
              <c:strCache>
                <c:ptCount val="1"/>
                <c:pt idx="0">
                  <c:v>лицевых счетов главных администраторов источников внутреннего финансирования дефицита бюджета (06)</c:v>
                </c:pt>
              </c:strCache>
            </c:strRef>
          </c:tx>
          <c:spPr>
            <a:solidFill>
              <a:srgbClr val="8064A2">
                <a:lumMod val="20000"/>
                <a:lumOff val="80000"/>
              </a:srgbClr>
            </a:solidFill>
          </c:spPr>
          <c:invertIfNegative val="0"/>
          <c:dLbls>
            <c:dLbl>
              <c:idx val="0"/>
              <c:layout>
                <c:manualLayout>
                  <c:x val="1.6599860766992266E-2"/>
                  <c:y val="-7.142973407393843E-3"/>
                </c:manualLayout>
              </c:layout>
              <c:tx>
                <c:rich>
                  <a:bodyPr/>
                  <a:lstStyle/>
                  <a:p>
                    <a:r>
                      <a:rPr lang="en-US"/>
                      <a:t>9</a:t>
                    </a:r>
                    <a:r>
                      <a:rPr lang="ru-RU"/>
                      <a:t>21</a:t>
                    </a:r>
                    <a:endParaRPr lang="en-US"/>
                  </a:p>
                </c:rich>
              </c:tx>
              <c:showLegendKey val="0"/>
              <c:showVal val="1"/>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963</c:v>
                </c:pt>
              </c:numCache>
            </c:numRef>
          </c:val>
        </c:ser>
        <c:ser>
          <c:idx val="4"/>
          <c:order val="4"/>
          <c:tx>
            <c:strRef>
              <c:f>Лист1!$F$1</c:f>
              <c:strCache>
                <c:ptCount val="1"/>
                <c:pt idx="0">
                  <c:v>лицевых счетов администраторов источников внутреннего финансирования дефицита бюджета (08) </c:v>
                </c:pt>
              </c:strCache>
            </c:strRef>
          </c:tx>
          <c:spPr>
            <a:solidFill>
              <a:srgbClr val="4F81BD">
                <a:lumMod val="20000"/>
                <a:lumOff val="80000"/>
              </a:srgbClr>
            </a:solidFill>
          </c:spPr>
          <c:invertIfNegative val="0"/>
          <c:dLbls>
            <c:dLbl>
              <c:idx val="0"/>
              <c:layout>
                <c:manualLayout>
                  <c:x val="3.3357071131880939E-2"/>
                  <c:y val="-9.9738136547694346E-3"/>
                </c:manualLayout>
              </c:layout>
              <c:tx>
                <c:rich>
                  <a:bodyPr/>
                  <a:lstStyle/>
                  <a:p>
                    <a:r>
                      <a:rPr lang="en-US" sz="998"/>
                      <a:t>4</a:t>
                    </a:r>
                    <a:r>
                      <a:rPr lang="ru-RU" sz="998"/>
                      <a:t> 650</a:t>
                    </a:r>
                    <a:endParaRPr lang="en-US"/>
                  </a:p>
                </c:rich>
              </c:tx>
              <c:showLegendKey val="0"/>
              <c:showVal val="0"/>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Лист1!$F$2</c:f>
              <c:numCache>
                <c:formatCode>General</c:formatCode>
                <c:ptCount val="1"/>
                <c:pt idx="0">
                  <c:v>4669</c:v>
                </c:pt>
              </c:numCache>
            </c:numRef>
          </c:val>
        </c:ser>
        <c:ser>
          <c:idx val="5"/>
          <c:order val="5"/>
          <c:tx>
            <c:strRef>
              <c:f>Лист1!$G$1</c:f>
              <c:strCache>
                <c:ptCount val="1"/>
                <c:pt idx="0">
                  <c:v>лицевых счетов иных получателей бюджетных средств (10) </c:v>
                </c:pt>
              </c:strCache>
            </c:strRef>
          </c:tx>
          <c:spPr>
            <a:solidFill>
              <a:srgbClr val="C0504D">
                <a:lumMod val="20000"/>
                <a:lumOff val="80000"/>
              </a:srgbClr>
            </a:solidFill>
          </c:spPr>
          <c:invertIfNegative val="0"/>
          <c:dLbls>
            <c:dLbl>
              <c:idx val="0"/>
              <c:layout>
                <c:manualLayout>
                  <c:x val="1.4125318354974905E-2"/>
                  <c:y val="-1.3298541170725752E-2"/>
                </c:manualLayout>
              </c:layout>
              <c:tx>
                <c:rich>
                  <a:bodyPr/>
                  <a:lstStyle/>
                  <a:p>
                    <a:r>
                      <a:rPr lang="ru-RU"/>
                      <a:t>91</a:t>
                    </a:r>
                    <a:endParaRPr lang="en-US"/>
                  </a:p>
                </c:rich>
              </c:tx>
              <c:showLegendKey val="0"/>
              <c:showVal val="1"/>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Лист1!$G$2</c:f>
              <c:numCache>
                <c:formatCode>General</c:formatCode>
                <c:ptCount val="1"/>
                <c:pt idx="0">
                  <c:v>134</c:v>
                </c:pt>
              </c:numCache>
            </c:numRef>
          </c:val>
        </c:ser>
        <c:ser>
          <c:idx val="6"/>
          <c:order val="6"/>
          <c:tx>
            <c:strRef>
              <c:f>Лист1!$H$1</c:f>
              <c:strCache>
                <c:ptCount val="1"/>
                <c:pt idx="0">
                  <c:v>лицевых счетов для учета операций по переданным полномочиям получателя бюджетных средств (14) </c:v>
                </c:pt>
              </c:strCache>
            </c:strRef>
          </c:tx>
          <c:spPr>
            <a:solidFill>
              <a:srgbClr val="EEECE1">
                <a:lumMod val="90000"/>
              </a:srgbClr>
            </a:solidFill>
          </c:spPr>
          <c:invertIfNegative val="0"/>
          <c:dLbls>
            <c:dLbl>
              <c:idx val="0"/>
              <c:layout>
                <c:manualLayout>
                  <c:x val="2.674899574950166E-2"/>
                  <c:y val="-9.4801521902785884E-3"/>
                </c:manualLayout>
              </c:layout>
              <c:tx>
                <c:rich>
                  <a:bodyPr/>
                  <a:lstStyle/>
                  <a:p>
                    <a:r>
                      <a:rPr lang="ru-RU" sz="998"/>
                      <a:t>5 212</a:t>
                    </a:r>
                    <a:endParaRPr lang="en-US"/>
                  </a:p>
                </c:rich>
              </c:tx>
              <c:showLegendKey val="0"/>
              <c:showVal val="0"/>
              <c:showCatName val="0"/>
              <c:showSerName val="0"/>
              <c:showPercent val="0"/>
              <c:showBubbleSize val="0"/>
            </c:dLbl>
            <c:txPr>
              <a:bodyPr/>
              <a:lstStyle/>
              <a:p>
                <a:pPr>
                  <a:defRPr sz="998"/>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Лист1!$H$2</c:f>
              <c:numCache>
                <c:formatCode>General</c:formatCode>
                <c:ptCount val="1"/>
                <c:pt idx="0">
                  <c:v>5973</c:v>
                </c:pt>
              </c:numCache>
            </c:numRef>
          </c:val>
        </c:ser>
        <c:dLbls>
          <c:showLegendKey val="0"/>
          <c:showVal val="0"/>
          <c:showCatName val="0"/>
          <c:showSerName val="0"/>
          <c:showPercent val="0"/>
          <c:showBubbleSize val="0"/>
        </c:dLbls>
        <c:gapWidth val="150"/>
        <c:shape val="box"/>
        <c:axId val="98947072"/>
        <c:axId val="98948608"/>
        <c:axId val="0"/>
      </c:bar3DChart>
      <c:catAx>
        <c:axId val="98947072"/>
        <c:scaling>
          <c:orientation val="minMax"/>
        </c:scaling>
        <c:delete val="0"/>
        <c:axPos val="b"/>
        <c:numFmt formatCode="General" sourceLinked="1"/>
        <c:majorTickMark val="none"/>
        <c:minorTickMark val="none"/>
        <c:tickLblPos val="nextTo"/>
        <c:crossAx val="98948608"/>
        <c:crosses val="autoZero"/>
        <c:auto val="1"/>
        <c:lblAlgn val="ctr"/>
        <c:lblOffset val="100"/>
        <c:noMultiLvlLbl val="0"/>
      </c:catAx>
      <c:valAx>
        <c:axId val="98948608"/>
        <c:scaling>
          <c:orientation val="minMax"/>
        </c:scaling>
        <c:delete val="1"/>
        <c:axPos val="l"/>
        <c:numFmt formatCode="General" sourceLinked="1"/>
        <c:majorTickMark val="out"/>
        <c:minorTickMark val="none"/>
        <c:tickLblPos val="nextTo"/>
        <c:crossAx val="98947072"/>
        <c:crosses val="autoZero"/>
        <c:crossBetween val="between"/>
      </c:valAx>
      <c:spPr>
        <a:noFill/>
        <a:ln w="25343">
          <a:noFill/>
        </a:ln>
      </c:spPr>
    </c:plotArea>
    <c:legend>
      <c:legendPos val="b"/>
      <c:layout>
        <c:manualLayout>
          <c:xMode val="edge"/>
          <c:yMode val="edge"/>
          <c:x val="2.9383755361102628E-2"/>
          <c:y val="0.48486168042554006"/>
          <c:w val="0.9525349814468983"/>
          <c:h val="0.5149277975495552"/>
        </c:manualLayout>
      </c:layout>
      <c:overlay val="0"/>
      <c:spPr>
        <a:ln>
          <a:noFill/>
        </a:ln>
        <a:effectLst>
          <a:outerShdw blurRad="50800" dist="12700" dir="5400000" algn="ctr" rotWithShape="0">
            <a:srgbClr val="000000">
              <a:alpha val="43137"/>
            </a:srgbClr>
          </a:outerShdw>
        </a:effectLst>
      </c:spPr>
      <c:txPr>
        <a:bodyPr/>
        <a:lstStyle/>
        <a:p>
          <a:pPr>
            <a:defRPr sz="998" kern="1000" spc="0" baseline="0"/>
          </a:pPr>
          <a:endParaRPr lang="ru-RU"/>
        </a:p>
      </c:txPr>
    </c:legend>
    <c:plotVisOnly val="1"/>
    <c:dispBlanksAs val="gap"/>
    <c:showDLblsOverMax val="0"/>
  </c:chart>
  <c:spPr>
    <a:ln>
      <a:noFill/>
    </a:ln>
  </c:spPr>
  <c:txPr>
    <a:bodyPr/>
    <a:lstStyle/>
    <a:p>
      <a:pPr>
        <a:defRPr sz="1098">
          <a:latin typeface="Times New Roman" pitchFamily="18" charset="0"/>
          <a:cs typeface="Times New Roman"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b="0" i="0" u="none" strike="noStrike" baseline="0">
                <a:solidFill>
                  <a:srgbClr val="000000"/>
                </a:solidFill>
                <a:latin typeface="Calibri"/>
                <a:ea typeface="Calibri"/>
                <a:cs typeface="Calibri"/>
              </a:defRPr>
            </a:pPr>
            <a:r>
              <a:rPr lang="ru-RU" sz="1200" b="1" i="0" u="none" strike="noStrike" baseline="0">
                <a:solidFill>
                  <a:srgbClr val="000000"/>
                </a:solidFill>
                <a:latin typeface="Times New Roman"/>
                <a:cs typeface="Times New Roman"/>
              </a:rPr>
              <a:t>Количество лицевых счетов, открытых участникам бюджетного </a:t>
            </a:r>
            <a:r>
              <a:rPr lang="ru-RU" sz="1200" b="1" i="0" u="none" strike="noStrike" baseline="0">
                <a:solidFill>
                  <a:srgbClr val="000000"/>
                </a:solidFill>
                <a:latin typeface="Times New Roman" panose="02020603050405020304" pitchFamily="18" charset="0"/>
                <a:cs typeface="Times New Roman" panose="02020603050405020304" pitchFamily="18" charset="0"/>
              </a:rPr>
              <a:t>процесса </a:t>
            </a:r>
            <a:r>
              <a:rPr lang="ru-RU" sz="1200" b="1" i="0" u="none" strike="noStrike" baseline="0">
                <a:effectLst/>
                <a:latin typeface="Times New Roman" panose="02020603050405020304" pitchFamily="18" charset="0"/>
                <a:cs typeface="Times New Roman" panose="02020603050405020304" pitchFamily="18" charset="0"/>
              </a:rPr>
              <a:t>Пенсионного фонда Российской Федерации</a:t>
            </a:r>
            <a:r>
              <a:rPr lang="ru-RU" sz="1200" b="1" i="0" u="none" strike="noStrike" baseline="0">
                <a:solidFill>
                  <a:srgbClr val="000000"/>
                </a:solidFill>
                <a:latin typeface="Times New Roman"/>
                <a:cs typeface="Times New Roman"/>
              </a:rPr>
              <a:t>, </a:t>
            </a:r>
            <a:br>
              <a:rPr lang="ru-RU" sz="1200" b="1" i="0" u="none" strike="noStrike" baseline="0">
                <a:solidFill>
                  <a:srgbClr val="000000"/>
                </a:solidFill>
                <a:latin typeface="Times New Roman"/>
                <a:cs typeface="Times New Roman"/>
              </a:rPr>
            </a:br>
            <a:r>
              <a:rPr lang="ru-RU" sz="1200" b="1" i="0" u="none" strike="noStrike" baseline="0">
                <a:solidFill>
                  <a:srgbClr val="000000"/>
                </a:solidFill>
                <a:latin typeface="Times New Roman"/>
                <a:cs typeface="Times New Roman"/>
              </a:rPr>
              <a:t>по состоянию на 1 января 2017 года</a:t>
            </a:r>
          </a:p>
        </c:rich>
      </c:tx>
      <c:layout>
        <c:manualLayout>
          <c:xMode val="edge"/>
          <c:yMode val="edge"/>
          <c:x val="0.11078504605506702"/>
          <c:y val="1.7021937942921356E-3"/>
        </c:manualLayout>
      </c:layout>
      <c:overlay val="0"/>
    </c:title>
    <c:autoTitleDeleted val="0"/>
    <c:view3D>
      <c:rotX val="30"/>
      <c:rotY val="210"/>
      <c:rAngAx val="0"/>
      <c:perspective val="30"/>
    </c:view3D>
    <c:floor>
      <c:thickness val="0"/>
    </c:floor>
    <c:sideWall>
      <c:thickness val="0"/>
    </c:sideWall>
    <c:backWall>
      <c:thickness val="0"/>
    </c:backWall>
    <c:plotArea>
      <c:layout>
        <c:manualLayout>
          <c:layoutTarget val="inner"/>
          <c:xMode val="edge"/>
          <c:yMode val="edge"/>
          <c:x val="0.23592456855938632"/>
          <c:y val="9.0170741357495972E-3"/>
          <c:w val="0.53841338798167471"/>
          <c:h val="0.63864293050325227"/>
        </c:manualLayout>
      </c:layout>
      <c:pie3DChart>
        <c:varyColors val="1"/>
        <c:ser>
          <c:idx val="0"/>
          <c:order val="0"/>
          <c:tx>
            <c:strRef>
              <c:f>Лист1!$B$1</c:f>
              <c:strCache>
                <c:ptCount val="1"/>
                <c:pt idx="0">
                  <c:v>Столбец1</c:v>
                </c:pt>
              </c:strCache>
            </c:strRef>
          </c:tx>
          <c:explosion val="27"/>
          <c:dPt>
            <c:idx val="0"/>
            <c:bubble3D val="0"/>
            <c:spPr>
              <a:solidFill>
                <a:schemeClr val="accent6">
                  <a:lumMod val="40000"/>
                  <a:lumOff val="60000"/>
                </a:schemeClr>
              </a:solidFill>
            </c:spPr>
          </c:dPt>
          <c:dPt>
            <c:idx val="1"/>
            <c:bubble3D val="0"/>
            <c:spPr>
              <a:solidFill>
                <a:schemeClr val="accent2">
                  <a:lumMod val="40000"/>
                  <a:lumOff val="60000"/>
                </a:schemeClr>
              </a:solidFill>
            </c:spPr>
          </c:dPt>
          <c:dPt>
            <c:idx val="2"/>
            <c:bubble3D val="0"/>
            <c:explosion val="6"/>
            <c:spPr>
              <a:solidFill>
                <a:schemeClr val="accent1">
                  <a:lumMod val="40000"/>
                  <a:lumOff val="60000"/>
                </a:schemeClr>
              </a:solidFill>
            </c:spPr>
          </c:dPt>
          <c:dPt>
            <c:idx val="3"/>
            <c:bubble3D val="0"/>
            <c:explosion val="13"/>
            <c:spPr>
              <a:solidFill>
                <a:schemeClr val="bg1">
                  <a:lumMod val="85000"/>
                </a:schemeClr>
              </a:solidFill>
            </c:spPr>
          </c:dPt>
          <c:dPt>
            <c:idx val="4"/>
            <c:bubble3D val="0"/>
            <c:spPr>
              <a:solidFill>
                <a:schemeClr val="bg2">
                  <a:lumMod val="75000"/>
                </a:schemeClr>
              </a:solidFill>
            </c:spPr>
          </c:dPt>
          <c:dLbls>
            <c:dLbl>
              <c:idx val="0"/>
              <c:layout>
                <c:manualLayout>
                  <c:x val="-2.1212217946460415E-2"/>
                  <c:y val="1.0111706543007495E-3"/>
                </c:manualLayout>
              </c:layout>
              <c:tx>
                <c:rich>
                  <a:bodyPr/>
                  <a:lstStyle/>
                  <a:p>
                    <a:pPr>
                      <a:defRPr sz="996" b="0" i="0" u="none" strike="noStrike" baseline="0">
                        <a:solidFill>
                          <a:srgbClr val="000000"/>
                        </a:solidFill>
                        <a:latin typeface="Times New Roman"/>
                        <a:ea typeface="Times New Roman"/>
                        <a:cs typeface="Times New Roman"/>
                      </a:defRPr>
                    </a:pPr>
                    <a:r>
                      <a:rPr lang="ru-RU" sz="998" b="0"/>
                      <a:t>82</a:t>
                    </a:r>
                  </a:p>
                  <a:p>
                    <a:pPr>
                      <a:defRPr sz="996" b="0" i="0" u="none" strike="noStrike" baseline="0">
                        <a:solidFill>
                          <a:srgbClr val="000000"/>
                        </a:solidFill>
                        <a:latin typeface="Times New Roman"/>
                        <a:ea typeface="Times New Roman"/>
                        <a:cs typeface="Times New Roman"/>
                      </a:defRPr>
                    </a:pPr>
                    <a:r>
                      <a:rPr lang="ru-RU" sz="998" b="0"/>
                      <a:t>(2,15 %)</a:t>
                    </a:r>
                    <a:endParaRPr lang="ru-RU"/>
                  </a:p>
                </c:rich>
              </c:tx>
              <c:spPr/>
              <c:dLblPos val="bestFit"/>
              <c:showLegendKey val="0"/>
              <c:showVal val="0"/>
              <c:showCatName val="0"/>
              <c:showSerName val="0"/>
              <c:showPercent val="0"/>
              <c:showBubbleSize val="0"/>
            </c:dLbl>
            <c:dLbl>
              <c:idx val="1"/>
              <c:layout>
                <c:manualLayout>
                  <c:x val="-6.2607244447144689E-2"/>
                  <c:y val="-8.8835677000720537E-2"/>
                </c:manualLayout>
              </c:layout>
              <c:tx>
                <c:rich>
                  <a:bodyPr/>
                  <a:lstStyle/>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80 </a:t>
                    </a:r>
                  </a:p>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(2,1%)</a:t>
                    </a:r>
                  </a:p>
                </c:rich>
              </c:tx>
              <c:spPr/>
              <c:dLblPos val="bestFit"/>
              <c:showLegendKey val="0"/>
              <c:showVal val="0"/>
              <c:showCatName val="0"/>
              <c:showSerName val="0"/>
              <c:showPercent val="0"/>
              <c:showBubbleSize val="0"/>
            </c:dLbl>
            <c:dLbl>
              <c:idx val="2"/>
              <c:layout>
                <c:manualLayout>
                  <c:x val="-4.0184804485646188E-2"/>
                  <c:y val="7.8607782722811825E-3"/>
                </c:manualLayout>
              </c:layout>
              <c:tx>
                <c:rich>
                  <a:bodyPr/>
                  <a:lstStyle/>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1 835</a:t>
                    </a:r>
                  </a:p>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(48,12 %)</a:t>
                    </a:r>
                  </a:p>
                </c:rich>
              </c:tx>
              <c:spPr/>
              <c:dLblPos val="bestFit"/>
              <c:showLegendKey val="0"/>
              <c:showVal val="0"/>
              <c:showCatName val="0"/>
              <c:showSerName val="0"/>
              <c:showPercent val="0"/>
              <c:showBubbleSize val="0"/>
            </c:dLbl>
            <c:dLbl>
              <c:idx val="3"/>
              <c:layout>
                <c:manualLayout>
                  <c:x val="4.658824070536683E-2"/>
                  <c:y val="-6.7650206786319916E-2"/>
                </c:manualLayout>
              </c:layout>
              <c:tx>
                <c:rich>
                  <a:bodyPr/>
                  <a:lstStyle/>
                  <a:p>
                    <a:pPr>
                      <a:defRPr sz="996" b="0" i="0" u="none" strike="noStrike" baseline="0">
                        <a:solidFill>
                          <a:srgbClr val="000000"/>
                        </a:solidFill>
                        <a:latin typeface="Times New Roman"/>
                        <a:ea typeface="Times New Roman"/>
                        <a:cs typeface="Times New Roman"/>
                      </a:defRPr>
                    </a:pPr>
                    <a:r>
                      <a:rPr lang="ru-RU" sz="998" b="0"/>
                      <a:t>1 813</a:t>
                    </a:r>
                  </a:p>
                  <a:p>
                    <a:pPr>
                      <a:defRPr sz="996" b="0" i="0" u="none" strike="noStrike" baseline="0">
                        <a:solidFill>
                          <a:srgbClr val="000000"/>
                        </a:solidFill>
                        <a:latin typeface="Times New Roman"/>
                        <a:ea typeface="Times New Roman"/>
                        <a:cs typeface="Times New Roman"/>
                      </a:defRPr>
                    </a:pPr>
                    <a:r>
                      <a:rPr lang="ru-RU" sz="998" b="0"/>
                      <a:t>(47,55 %)</a:t>
                    </a:r>
                    <a:endParaRPr lang="ru-RU"/>
                  </a:p>
                </c:rich>
              </c:tx>
              <c:spPr/>
              <c:dLblPos val="bestFit"/>
              <c:showLegendKey val="0"/>
              <c:showVal val="0"/>
              <c:showCatName val="0"/>
              <c:showSerName val="0"/>
              <c:showPercent val="0"/>
              <c:showBubbleSize val="0"/>
            </c:dLbl>
            <c:dLbl>
              <c:idx val="4"/>
              <c:layout>
                <c:manualLayout>
                  <c:x val="0.1201079455370692"/>
                  <c:y val="1.2409350881228626E-2"/>
                </c:manualLayout>
              </c:layout>
              <c:tx>
                <c:rich>
                  <a:bodyPr/>
                  <a:lstStyle/>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3 </a:t>
                    </a:r>
                  </a:p>
                  <a:p>
                    <a:pPr>
                      <a:defRPr sz="996" b="0" i="0" u="none" strike="noStrike" baseline="0">
                        <a:solidFill>
                          <a:srgbClr val="000000"/>
                        </a:solidFill>
                        <a:latin typeface="Calibri"/>
                        <a:ea typeface="Calibri"/>
                        <a:cs typeface="Calibri"/>
                      </a:defRPr>
                    </a:pPr>
                    <a:r>
                      <a:rPr lang="ru-RU" sz="998" b="0" i="0" u="none" strike="noStrike" baseline="0">
                        <a:solidFill>
                          <a:srgbClr val="000000"/>
                        </a:solidFill>
                        <a:latin typeface="Times New Roman"/>
                        <a:cs typeface="Times New Roman"/>
                      </a:rPr>
                      <a:t>(0,08 %)</a:t>
                    </a:r>
                  </a:p>
                </c:rich>
              </c:tx>
              <c:spPr/>
              <c:dLblPos val="bestFit"/>
              <c:showLegendKey val="0"/>
              <c:showVal val="0"/>
              <c:showCatName val="0"/>
              <c:showSerName val="0"/>
              <c:showPercent val="0"/>
              <c:showBubbleSize val="0"/>
            </c:dLbl>
            <c:txPr>
              <a:bodyPr/>
              <a:lstStyle/>
              <a:p>
                <a:pPr>
                  <a:defRPr sz="99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территориального органа государственного внебюджетного фонда Российской Федерации (12)</c:v>
                </c:pt>
                <c:pt idx="1">
                  <c:v>количество лицевых счетов главного распорядителя (распорядителей) бюджетных средств (01)</c:v>
                </c:pt>
                <c:pt idx="2">
                  <c:v>количество лицевых счетов получателей бюджетных средств (03)</c:v>
                </c:pt>
                <c:pt idx="3">
                  <c:v>количество лицевых счетов для учета операций со средствами, поступающими во временное распоряжение получателей бюджетных средств (05)</c:v>
                </c:pt>
                <c:pt idx="4">
                  <c:v>количество лицевых счетов администраторов источников внутреннего финансирования дефицита бюджета (08)</c:v>
                </c:pt>
              </c:strCache>
            </c:strRef>
          </c:cat>
          <c:val>
            <c:numRef>
              <c:f>Лист1!$B$2:$B$6</c:f>
              <c:numCache>
                <c:formatCode>General</c:formatCode>
                <c:ptCount val="5"/>
                <c:pt idx="0">
                  <c:v>81</c:v>
                </c:pt>
                <c:pt idx="1">
                  <c:v>80</c:v>
                </c:pt>
                <c:pt idx="2">
                  <c:v>1991</c:v>
                </c:pt>
                <c:pt idx="3">
                  <c:v>1981</c:v>
                </c:pt>
                <c:pt idx="4">
                  <c:v>2</c:v>
                </c:pt>
              </c:numCache>
            </c:numRef>
          </c:val>
        </c:ser>
        <c:dLbls>
          <c:showLegendKey val="0"/>
          <c:showVal val="0"/>
          <c:showCatName val="0"/>
          <c:showSerName val="0"/>
          <c:showPercent val="0"/>
          <c:showBubbleSize val="0"/>
          <c:showLeaderLines val="1"/>
        </c:dLbls>
      </c:pie3DChart>
      <c:spPr>
        <a:noFill/>
        <a:ln w="25352">
          <a:noFill/>
        </a:ln>
      </c:spPr>
    </c:plotArea>
    <c:legend>
      <c:legendPos val="b"/>
      <c:legendEntry>
        <c:idx val="0"/>
        <c:txPr>
          <a:bodyPr/>
          <a:lstStyle/>
          <a:p>
            <a:pPr>
              <a:defRPr sz="998"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ru-RU"/>
          </a:p>
        </c:txPr>
      </c:legendEntry>
      <c:legendEntry>
        <c:idx val="1"/>
        <c:txPr>
          <a:bodyPr/>
          <a:lstStyle/>
          <a:p>
            <a:pPr>
              <a:defRPr sz="998"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ru-RU"/>
          </a:p>
        </c:txPr>
      </c:legendEntry>
      <c:legendEntry>
        <c:idx val="2"/>
        <c:txPr>
          <a:bodyPr/>
          <a:lstStyle/>
          <a:p>
            <a:pPr>
              <a:defRPr sz="998"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ru-RU"/>
          </a:p>
        </c:txPr>
      </c:legendEntry>
      <c:legendEntry>
        <c:idx val="3"/>
        <c:txPr>
          <a:bodyPr/>
          <a:lstStyle/>
          <a:p>
            <a:pPr>
              <a:defRPr sz="998"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ru-RU"/>
          </a:p>
        </c:txPr>
      </c:legendEntry>
      <c:legendEntry>
        <c:idx val="4"/>
        <c:txPr>
          <a:bodyPr/>
          <a:lstStyle/>
          <a:p>
            <a:pPr>
              <a:defRPr sz="998"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ru-RU"/>
          </a:p>
        </c:txPr>
      </c:legendEntry>
      <c:layout>
        <c:manualLayout>
          <c:xMode val="edge"/>
          <c:yMode val="edge"/>
          <c:x val="6.9642383081820178E-2"/>
          <c:y val="0.61737233119167123"/>
          <c:w val="0.85426787168845286"/>
          <c:h val="0.36994935426811393"/>
        </c:manualLayout>
      </c:layout>
      <c:overlay val="0"/>
      <c:txPr>
        <a:bodyPr/>
        <a:lstStyle/>
        <a:p>
          <a:pPr>
            <a:defRPr sz="998"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
    <c:plotVisOnly val="1"/>
    <c:dispBlanksAs val="gap"/>
    <c:showDLblsOverMax val="0"/>
  </c:chart>
  <c:spPr>
    <a:ln>
      <a:noFill/>
    </a:ln>
  </c:spPr>
  <c:txPr>
    <a:bodyPr/>
    <a:lstStyle/>
    <a:p>
      <a:pPr>
        <a:defRPr sz="99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b="1"/>
            </a:pPr>
            <a:r>
              <a:rPr lang="ru-RU" sz="1200" b="1">
                <a:latin typeface="Times New Roman" panose="02020603050405020304" pitchFamily="18" charset="0"/>
                <a:cs typeface="Times New Roman" panose="02020603050405020304" pitchFamily="18" charset="0"/>
              </a:rPr>
              <a:t>Количество лицевых счетов, открытых участникам бюджетного процесса</a:t>
            </a:r>
            <a:r>
              <a:rPr lang="ru-RU" sz="1200" b="1" baseline="0">
                <a:latin typeface="Times New Roman" panose="02020603050405020304" pitchFamily="18" charset="0"/>
                <a:cs typeface="Times New Roman" panose="02020603050405020304" pitchFamily="18" charset="0"/>
              </a:rPr>
              <a:t> </a:t>
            </a:r>
            <a:r>
              <a:rPr lang="ru-RU" sz="1200" b="1" i="0" u="none" strike="noStrike" baseline="0">
                <a:effectLst/>
                <a:latin typeface="Times New Roman" panose="02020603050405020304" pitchFamily="18" charset="0"/>
                <a:cs typeface="Times New Roman" panose="02020603050405020304" pitchFamily="18" charset="0"/>
              </a:rPr>
              <a:t>Фонда социального страхования Российской Федерации</a:t>
            </a:r>
            <a:r>
              <a:rPr lang="ru-RU" sz="1200" b="1" baseline="0">
                <a:latin typeface="Times New Roman" panose="02020603050405020304" pitchFamily="18" charset="0"/>
                <a:cs typeface="Times New Roman" panose="02020603050405020304" pitchFamily="18" charset="0"/>
              </a:rPr>
              <a:t>, по состоянию на 1 января 2017 года</a:t>
            </a:r>
            <a:endParaRPr lang="ru-RU" sz="1200" b="1">
              <a:latin typeface="Times New Roman" panose="02020603050405020304" pitchFamily="18" charset="0"/>
              <a:cs typeface="Times New Roman" panose="02020603050405020304" pitchFamily="18" charset="0"/>
            </a:endParaRPr>
          </a:p>
        </c:rich>
      </c:tx>
      <c:layout>
        <c:manualLayout>
          <c:xMode val="edge"/>
          <c:yMode val="edge"/>
          <c:x val="9.5519353897541848E-2"/>
          <c:y val="2.370389305779323E-3"/>
        </c:manualLayout>
      </c:layout>
      <c:overlay val="0"/>
    </c:title>
    <c:autoTitleDeleted val="0"/>
    <c:view3D>
      <c:rotX val="30"/>
      <c:rotY val="220"/>
      <c:rAngAx val="0"/>
      <c:perspective val="30"/>
    </c:view3D>
    <c:floor>
      <c:thickness val="0"/>
    </c:floor>
    <c:sideWall>
      <c:thickness val="0"/>
    </c:sideWall>
    <c:backWall>
      <c:thickness val="0"/>
    </c:backWall>
    <c:plotArea>
      <c:layout>
        <c:manualLayout>
          <c:layoutTarget val="inner"/>
          <c:xMode val="edge"/>
          <c:yMode val="edge"/>
          <c:x val="0.23592460033404916"/>
          <c:y val="4.9685096552473426E-2"/>
          <c:w val="0.54936033482063928"/>
          <c:h val="0.65313562060954433"/>
        </c:manualLayout>
      </c:layout>
      <c:pie3DChart>
        <c:varyColors val="1"/>
        <c:ser>
          <c:idx val="0"/>
          <c:order val="0"/>
          <c:tx>
            <c:strRef>
              <c:f>Лист1!$B$1</c:f>
              <c:strCache>
                <c:ptCount val="1"/>
                <c:pt idx="0">
                  <c:v>Столбец1</c:v>
                </c:pt>
              </c:strCache>
            </c:strRef>
          </c:tx>
          <c:explosion val="27"/>
          <c:dPt>
            <c:idx val="0"/>
            <c:bubble3D val="0"/>
            <c:explosion val="0"/>
            <c:spPr>
              <a:solidFill>
                <a:schemeClr val="accent6">
                  <a:lumMod val="40000"/>
                  <a:lumOff val="60000"/>
                </a:schemeClr>
              </a:solidFill>
            </c:spPr>
          </c:dPt>
          <c:dPt>
            <c:idx val="1"/>
            <c:bubble3D val="0"/>
            <c:explosion val="12"/>
            <c:spPr>
              <a:solidFill>
                <a:schemeClr val="accent2">
                  <a:lumMod val="40000"/>
                  <a:lumOff val="60000"/>
                </a:schemeClr>
              </a:solidFill>
            </c:spPr>
          </c:dPt>
          <c:dPt>
            <c:idx val="2"/>
            <c:bubble3D val="0"/>
            <c:explosion val="1"/>
            <c:spPr>
              <a:solidFill>
                <a:schemeClr val="accent1">
                  <a:lumMod val="40000"/>
                  <a:lumOff val="60000"/>
                </a:schemeClr>
              </a:solidFill>
            </c:spPr>
          </c:dPt>
          <c:dPt>
            <c:idx val="3"/>
            <c:bubble3D val="0"/>
            <c:explosion val="17"/>
            <c:spPr>
              <a:solidFill>
                <a:schemeClr val="bg1">
                  <a:lumMod val="85000"/>
                </a:schemeClr>
              </a:solidFill>
            </c:spPr>
          </c:dPt>
          <c:dPt>
            <c:idx val="4"/>
            <c:bubble3D val="0"/>
            <c:explosion val="43"/>
            <c:spPr>
              <a:solidFill>
                <a:schemeClr val="bg2">
                  <a:lumMod val="75000"/>
                </a:schemeClr>
              </a:solidFill>
            </c:spPr>
          </c:dPt>
          <c:dLbls>
            <c:dLbl>
              <c:idx val="0"/>
              <c:layout>
                <c:manualLayout>
                  <c:x val="-6.3083934569828859E-2"/>
                  <c:y val="-5.2599523667607416E-2"/>
                </c:manualLayout>
              </c:layout>
              <c:tx>
                <c:rich>
                  <a:bodyPr/>
                  <a:lstStyle/>
                  <a:p>
                    <a:r>
                      <a:rPr lang="ru-RU" sz="998" b="0"/>
                      <a:t>86</a:t>
                    </a:r>
                  </a:p>
                  <a:p>
                    <a:r>
                      <a:rPr lang="ru-RU" sz="998" b="0"/>
                      <a:t>(11,6 %)</a:t>
                    </a:r>
                    <a:endParaRPr lang="en-US"/>
                  </a:p>
                </c:rich>
              </c:tx>
              <c:dLblPos val="bestFit"/>
              <c:showLegendKey val="0"/>
              <c:showVal val="0"/>
              <c:showCatName val="0"/>
              <c:showSerName val="0"/>
              <c:showPercent val="0"/>
              <c:showBubbleSize val="0"/>
            </c:dLbl>
            <c:dLbl>
              <c:idx val="1"/>
              <c:layout>
                <c:manualLayout>
                  <c:x val="4.0969861072116184E-2"/>
                  <c:y val="3.3745135997879216E-3"/>
                </c:manualLayout>
              </c:layout>
              <c:tx>
                <c:rich>
                  <a:bodyPr/>
                  <a:lstStyle/>
                  <a:p>
                    <a:r>
                      <a:rPr lang="ru-RU" sz="998" b="0"/>
                      <a:t>483 </a:t>
                    </a:r>
                  </a:p>
                  <a:p>
                    <a:r>
                      <a:rPr lang="ru-RU" sz="998" b="0"/>
                      <a:t>(65,0 %)</a:t>
                    </a:r>
                    <a:endParaRPr lang="en-US"/>
                  </a:p>
                </c:rich>
              </c:tx>
              <c:dLblPos val="bestFit"/>
              <c:showLegendKey val="0"/>
              <c:showVal val="0"/>
              <c:showCatName val="0"/>
              <c:showSerName val="0"/>
              <c:showPercent val="0"/>
              <c:showBubbleSize val="0"/>
            </c:dLbl>
            <c:dLbl>
              <c:idx val="2"/>
              <c:layout>
                <c:manualLayout>
                  <c:x val="6.4905430407128706E-2"/>
                  <c:y val="-3.3590973830423303E-2"/>
                </c:manualLayout>
              </c:layout>
              <c:tx>
                <c:rich>
                  <a:bodyPr/>
                  <a:lstStyle/>
                  <a:p>
                    <a:r>
                      <a:rPr lang="ru-RU" sz="998" b="0"/>
                      <a:t>86</a:t>
                    </a:r>
                  </a:p>
                  <a:p>
                    <a:r>
                      <a:rPr lang="ru-RU" sz="998" b="0"/>
                      <a:t>(11,6 %)</a:t>
                    </a:r>
                    <a:endParaRPr lang="en-US"/>
                  </a:p>
                </c:rich>
              </c:tx>
              <c:dLblPos val="bestFit"/>
              <c:showLegendKey val="0"/>
              <c:showVal val="0"/>
              <c:showCatName val="0"/>
              <c:showSerName val="0"/>
              <c:showPercent val="0"/>
              <c:showBubbleSize val="0"/>
            </c:dLbl>
            <c:dLbl>
              <c:idx val="3"/>
              <c:layout>
                <c:manualLayout>
                  <c:x val="0.10829543827682697"/>
                  <c:y val="1.3835275421490188E-2"/>
                </c:manualLayout>
              </c:layout>
              <c:tx>
                <c:rich>
                  <a:bodyPr/>
                  <a:lstStyle/>
                  <a:p>
                    <a:r>
                      <a:rPr lang="ru-RU" sz="998" b="0"/>
                      <a:t>86</a:t>
                    </a:r>
                  </a:p>
                  <a:p>
                    <a:r>
                      <a:rPr lang="ru-RU" sz="998" b="0"/>
                      <a:t>(11,6 %)</a:t>
                    </a:r>
                    <a:endParaRPr lang="en-US"/>
                  </a:p>
                </c:rich>
              </c:tx>
              <c:dLblPos val="bestFit"/>
              <c:showLegendKey val="0"/>
              <c:showVal val="0"/>
              <c:showCatName val="0"/>
              <c:showSerName val="0"/>
              <c:showPercent val="0"/>
              <c:showBubbleSize val="0"/>
            </c:dLbl>
            <c:dLbl>
              <c:idx val="4"/>
              <c:layout>
                <c:manualLayout>
                  <c:x val="-4.2971129195539866E-2"/>
                  <c:y val="-6.0501136798239208E-2"/>
                </c:manualLayout>
              </c:layout>
              <c:tx>
                <c:rich>
                  <a:bodyPr/>
                  <a:lstStyle/>
                  <a:p>
                    <a:r>
                      <a:rPr lang="ru-RU" sz="998" b="0"/>
                      <a:t>1 </a:t>
                    </a:r>
                  </a:p>
                  <a:p>
                    <a:r>
                      <a:rPr lang="ru-RU" sz="998" b="0"/>
                      <a:t>(0,2 %)</a:t>
                    </a:r>
                    <a:endParaRPr lang="en-US"/>
                  </a:p>
                </c:rich>
              </c:tx>
              <c:dLblPos val="bestFit"/>
              <c:showLegendKey val="0"/>
              <c:showVal val="0"/>
              <c:showCatName val="0"/>
              <c:showSerName val="0"/>
              <c:showPercent val="0"/>
              <c:showBubbleSize val="0"/>
            </c:dLbl>
            <c:txPr>
              <a:bodyPr/>
              <a:lstStyle/>
              <a:p>
                <a:pPr>
                  <a:defRPr sz="998"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главного распорядителя (распорядителей) бюджетных средств (01)</c:v>
                </c:pt>
                <c:pt idx="1">
                  <c:v>количество лицевых счетов получателей бюджетных средств (03)</c:v>
                </c:pt>
                <c:pt idx="2">
                  <c:v>количество лицевых счетов для учета операций со средствами, поступающими во временное распоряжение получателей бюджетных средств (05)</c:v>
                </c:pt>
                <c:pt idx="3">
                  <c:v>количество лицевых счетов администраторов источников внутреннего финансирования дефицита бюджета (08)</c:v>
                </c:pt>
                <c:pt idx="4">
                  <c:v>количество лицевых счетов иных получателей бюджетных средств (10)</c:v>
                </c:pt>
              </c:strCache>
            </c:strRef>
          </c:cat>
          <c:val>
            <c:numRef>
              <c:f>Лист1!$B$2:$B$6</c:f>
              <c:numCache>
                <c:formatCode>General</c:formatCode>
                <c:ptCount val="5"/>
                <c:pt idx="0">
                  <c:v>85</c:v>
                </c:pt>
                <c:pt idx="1">
                  <c:v>485</c:v>
                </c:pt>
                <c:pt idx="2">
                  <c:v>85</c:v>
                </c:pt>
                <c:pt idx="3">
                  <c:v>84</c:v>
                </c:pt>
                <c:pt idx="4">
                  <c:v>1</c:v>
                </c:pt>
              </c:numCache>
            </c:numRef>
          </c:val>
        </c:ser>
        <c:dLbls>
          <c:showLegendKey val="0"/>
          <c:showVal val="0"/>
          <c:showCatName val="0"/>
          <c:showSerName val="0"/>
          <c:showPercent val="0"/>
          <c:showBubbleSize val="0"/>
          <c:showLeaderLines val="1"/>
        </c:dLbls>
      </c:pie3DChart>
      <c:spPr>
        <a:noFill/>
        <a:ln w="25357">
          <a:noFill/>
        </a:ln>
      </c:spPr>
    </c:plotArea>
    <c:legend>
      <c:legendPos val="b"/>
      <c:legendEntry>
        <c:idx val="0"/>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998">
                <a:latin typeface="Times New Roman" panose="02020603050405020304" pitchFamily="18" charset="0"/>
                <a:cs typeface="Times New Roman" panose="02020603050405020304" pitchFamily="18" charset="0"/>
              </a:defRPr>
            </a:pPr>
            <a:endParaRPr lang="ru-RU"/>
          </a:p>
        </c:txPr>
      </c:legendEntry>
      <c:layout>
        <c:manualLayout>
          <c:xMode val="edge"/>
          <c:yMode val="edge"/>
          <c:x val="5.8738464143594953E-2"/>
          <c:y val="0.61580498516116855"/>
          <c:w val="0.8542678769568065"/>
          <c:h val="0.3702168928230376"/>
        </c:manualLayout>
      </c:layout>
      <c:overlay val="0"/>
      <c:txPr>
        <a:bodyPr/>
        <a:lstStyle/>
        <a:p>
          <a:pPr>
            <a:defRPr sz="998">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050"/>
            </a:pPr>
            <a:r>
              <a:rPr lang="ru-RU" sz="1200">
                <a:latin typeface="Times New Roman" panose="02020603050405020304" pitchFamily="18" charset="0"/>
                <a:cs typeface="Times New Roman" panose="02020603050405020304" pitchFamily="18" charset="0"/>
              </a:rPr>
              <a:t>Количество лицевых счетов, открытых участникам бюджетного процесса территориальных государственных внебюджетных</a:t>
            </a:r>
            <a:r>
              <a:rPr lang="ru-RU" sz="1200" baseline="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фондов,</a:t>
            </a:r>
            <a:r>
              <a:rPr lang="ru-RU" sz="1200" baseline="0">
                <a:latin typeface="Times New Roman" panose="02020603050405020304" pitchFamily="18" charset="0"/>
                <a:cs typeface="Times New Roman" panose="02020603050405020304" pitchFamily="18" charset="0"/>
              </a:rPr>
              <a:t> по состоянию на 1 января 2017 года</a:t>
            </a:r>
            <a:endParaRPr lang="ru-RU" sz="1200">
              <a:latin typeface="Times New Roman" panose="02020603050405020304" pitchFamily="18" charset="0"/>
              <a:cs typeface="Times New Roman" panose="02020603050405020304" pitchFamily="18" charset="0"/>
            </a:endParaRPr>
          </a:p>
        </c:rich>
      </c:tx>
      <c:layout>
        <c:manualLayout>
          <c:xMode val="edge"/>
          <c:yMode val="edge"/>
          <c:x val="9.6512858152614081E-2"/>
          <c:y val="1.6106304347081959E-3"/>
        </c:manualLayout>
      </c:layout>
      <c:overlay val="0"/>
    </c:title>
    <c:autoTitleDeleted val="0"/>
    <c:view3D>
      <c:rotX val="30"/>
      <c:rotY val="260"/>
      <c:rAngAx val="0"/>
      <c:perspective val="30"/>
    </c:view3D>
    <c:floor>
      <c:thickness val="0"/>
    </c:floor>
    <c:sideWall>
      <c:thickness val="0"/>
    </c:sideWall>
    <c:backWall>
      <c:thickness val="0"/>
    </c:backWall>
    <c:plotArea>
      <c:layout>
        <c:manualLayout>
          <c:layoutTarget val="inner"/>
          <c:xMode val="edge"/>
          <c:yMode val="edge"/>
          <c:x val="0.23368744458782117"/>
          <c:y val="6.9792515159742968E-2"/>
          <c:w val="0.54936033482063928"/>
          <c:h val="0.65313562060954433"/>
        </c:manualLayout>
      </c:layout>
      <c:pie3DChart>
        <c:varyColors val="1"/>
        <c:ser>
          <c:idx val="0"/>
          <c:order val="0"/>
          <c:tx>
            <c:strRef>
              <c:f>Лист1!$B$1</c:f>
              <c:strCache>
                <c:ptCount val="1"/>
                <c:pt idx="0">
                  <c:v>Столбец1</c:v>
                </c:pt>
              </c:strCache>
            </c:strRef>
          </c:tx>
          <c:explosion val="27"/>
          <c:dPt>
            <c:idx val="0"/>
            <c:bubble3D val="0"/>
            <c:explosion val="0"/>
            <c:spPr>
              <a:solidFill>
                <a:schemeClr val="accent6">
                  <a:lumMod val="40000"/>
                  <a:lumOff val="60000"/>
                </a:schemeClr>
              </a:solidFill>
            </c:spPr>
          </c:dPt>
          <c:dPt>
            <c:idx val="1"/>
            <c:bubble3D val="0"/>
            <c:explosion val="12"/>
            <c:spPr>
              <a:solidFill>
                <a:schemeClr val="accent2">
                  <a:lumMod val="40000"/>
                  <a:lumOff val="60000"/>
                </a:schemeClr>
              </a:solidFill>
            </c:spPr>
          </c:dPt>
          <c:dPt>
            <c:idx val="2"/>
            <c:bubble3D val="0"/>
            <c:explosion val="10"/>
            <c:spPr>
              <a:solidFill>
                <a:schemeClr val="accent1">
                  <a:lumMod val="40000"/>
                  <a:lumOff val="60000"/>
                </a:schemeClr>
              </a:solidFill>
            </c:spPr>
          </c:dPt>
          <c:dPt>
            <c:idx val="3"/>
            <c:bubble3D val="0"/>
            <c:explosion val="17"/>
            <c:spPr>
              <a:solidFill>
                <a:schemeClr val="bg1">
                  <a:lumMod val="85000"/>
                </a:schemeClr>
              </a:solidFill>
            </c:spPr>
          </c:dPt>
          <c:dPt>
            <c:idx val="4"/>
            <c:bubble3D val="0"/>
            <c:explosion val="20"/>
            <c:spPr>
              <a:solidFill>
                <a:schemeClr val="bg2">
                  <a:lumMod val="75000"/>
                </a:schemeClr>
              </a:solidFill>
            </c:spPr>
          </c:dPt>
          <c:dLbls>
            <c:dLbl>
              <c:idx val="0"/>
              <c:layout>
                <c:manualLayout>
                  <c:x val="-6.3083934569828859E-2"/>
                  <c:y val="-5.2599523667607416E-2"/>
                </c:manualLayout>
              </c:layout>
              <c:tx>
                <c:rich>
                  <a:bodyPr/>
                  <a:lstStyle/>
                  <a:p>
                    <a:r>
                      <a:rPr lang="ru-RU" sz="998" b="0"/>
                      <a:t>16</a:t>
                    </a:r>
                  </a:p>
                  <a:p>
                    <a:r>
                      <a:rPr lang="ru-RU" sz="998" b="0"/>
                      <a:t>(5,7 %)</a:t>
                    </a:r>
                    <a:endParaRPr lang="en-US"/>
                  </a:p>
                </c:rich>
              </c:tx>
              <c:dLblPos val="bestFit"/>
              <c:showLegendKey val="0"/>
              <c:showVal val="0"/>
              <c:showCatName val="0"/>
              <c:showSerName val="0"/>
              <c:showPercent val="0"/>
              <c:showBubbleSize val="0"/>
            </c:dLbl>
            <c:dLbl>
              <c:idx val="1"/>
              <c:layout>
                <c:manualLayout>
                  <c:x val="0.1165254593175853"/>
                  <c:y val="3.8851196815475671E-2"/>
                </c:manualLayout>
              </c:layout>
              <c:tx>
                <c:rich>
                  <a:bodyPr/>
                  <a:lstStyle/>
                  <a:p>
                    <a:r>
                      <a:rPr lang="ru-RU" sz="998" b="0"/>
                      <a:t>140 </a:t>
                    </a:r>
                  </a:p>
                  <a:p>
                    <a:r>
                      <a:rPr lang="ru-RU" sz="998" b="0"/>
                      <a:t>(50,2 %)</a:t>
                    </a:r>
                    <a:endParaRPr lang="en-US"/>
                  </a:p>
                </c:rich>
              </c:tx>
              <c:dLblPos val="bestFit"/>
              <c:showLegendKey val="0"/>
              <c:showVal val="0"/>
              <c:showCatName val="0"/>
              <c:showSerName val="0"/>
              <c:showPercent val="0"/>
              <c:showBubbleSize val="0"/>
            </c:dLbl>
            <c:dLbl>
              <c:idx val="2"/>
              <c:layout>
                <c:manualLayout>
                  <c:x val="6.4905430407128706E-2"/>
                  <c:y val="-3.3590973830423303E-2"/>
                </c:manualLayout>
              </c:layout>
              <c:tx>
                <c:rich>
                  <a:bodyPr/>
                  <a:lstStyle/>
                  <a:p>
                    <a:r>
                      <a:rPr lang="ru-RU" sz="998" b="0"/>
                      <a:t>85</a:t>
                    </a:r>
                  </a:p>
                  <a:p>
                    <a:r>
                      <a:rPr lang="ru-RU" sz="998" b="0"/>
                      <a:t>(30,5 %)</a:t>
                    </a:r>
                    <a:endParaRPr lang="en-US"/>
                  </a:p>
                </c:rich>
              </c:tx>
              <c:dLblPos val="bestFit"/>
              <c:showLegendKey val="0"/>
              <c:showVal val="0"/>
              <c:showCatName val="0"/>
              <c:showSerName val="0"/>
              <c:showPercent val="0"/>
              <c:showBubbleSize val="0"/>
            </c:dLbl>
            <c:dLbl>
              <c:idx val="3"/>
              <c:layout>
                <c:manualLayout>
                  <c:x val="6.6422215689955932E-2"/>
                  <c:y val="1.5982378571965279E-2"/>
                </c:manualLayout>
              </c:layout>
              <c:tx>
                <c:rich>
                  <a:bodyPr/>
                  <a:lstStyle/>
                  <a:p>
                    <a:r>
                      <a:rPr lang="ru-RU" sz="998" b="0"/>
                      <a:t>1</a:t>
                    </a:r>
                  </a:p>
                  <a:p>
                    <a:r>
                      <a:rPr lang="ru-RU" sz="998" b="0"/>
                      <a:t>(0,3 %)</a:t>
                    </a:r>
                    <a:endParaRPr lang="en-US"/>
                  </a:p>
                </c:rich>
              </c:tx>
              <c:dLblPos val="bestFit"/>
              <c:showLegendKey val="0"/>
              <c:showVal val="0"/>
              <c:showCatName val="0"/>
              <c:showSerName val="0"/>
              <c:showPercent val="0"/>
              <c:showBubbleSize val="0"/>
            </c:dLbl>
            <c:dLbl>
              <c:idx val="4"/>
              <c:layout>
                <c:manualLayout>
                  <c:x val="-4.2971129195539866E-2"/>
                  <c:y val="-6.0501136798239208E-2"/>
                </c:manualLayout>
              </c:layout>
              <c:tx>
                <c:rich>
                  <a:bodyPr/>
                  <a:lstStyle/>
                  <a:p>
                    <a:r>
                      <a:rPr lang="ru-RU" sz="998" b="0"/>
                      <a:t>37 </a:t>
                    </a:r>
                  </a:p>
                  <a:p>
                    <a:r>
                      <a:rPr lang="ru-RU" sz="998" b="0"/>
                      <a:t>(13,3 %)</a:t>
                    </a:r>
                    <a:endParaRPr lang="en-US"/>
                  </a:p>
                </c:rich>
              </c:tx>
              <c:dLblPos val="bestFit"/>
              <c:showLegendKey val="0"/>
              <c:showVal val="0"/>
              <c:showCatName val="0"/>
              <c:showSerName val="0"/>
              <c:showPercent val="0"/>
              <c:showBubbleSize val="0"/>
            </c:dLbl>
            <c:txPr>
              <a:bodyPr/>
              <a:lstStyle/>
              <a:p>
                <a:pPr>
                  <a:defRPr sz="998"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главного распорядителя (распорядителей) бюджетных средств (01)</c:v>
                </c:pt>
                <c:pt idx="1">
                  <c:v>количество лицевых счетов получателей бюджетных средств (03)</c:v>
                </c:pt>
                <c:pt idx="2">
                  <c:v>количество лицевых счетов для учета операций со средствами, поступающими во временное распоряжение получателей бюджетных средств (05)</c:v>
                </c:pt>
                <c:pt idx="3">
                  <c:v>количество лицевых счетов главного администратора источников внутреннего финансирования дефицита бюджета (06)</c:v>
                </c:pt>
                <c:pt idx="4">
                  <c:v>количество лицевых счетов администраторов источников внутреннего финансирования дефицита бюджета (08)</c:v>
                </c:pt>
              </c:strCache>
            </c:strRef>
          </c:cat>
          <c:val>
            <c:numRef>
              <c:f>Лист1!$B$2:$B$6</c:f>
              <c:numCache>
                <c:formatCode>General</c:formatCode>
                <c:ptCount val="5"/>
                <c:pt idx="0">
                  <c:v>15</c:v>
                </c:pt>
                <c:pt idx="1">
                  <c:v>135</c:v>
                </c:pt>
                <c:pt idx="2">
                  <c:v>81</c:v>
                </c:pt>
                <c:pt idx="3">
                  <c:v>1</c:v>
                </c:pt>
                <c:pt idx="4">
                  <c:v>35</c:v>
                </c:pt>
              </c:numCache>
            </c:numRef>
          </c:val>
        </c:ser>
        <c:dLbls>
          <c:showLegendKey val="0"/>
          <c:showVal val="0"/>
          <c:showCatName val="0"/>
          <c:showSerName val="0"/>
          <c:showPercent val="0"/>
          <c:showBubbleSize val="0"/>
          <c:showLeaderLines val="1"/>
        </c:dLbls>
      </c:pie3DChart>
      <c:spPr>
        <a:noFill/>
        <a:ln w="25349">
          <a:noFill/>
        </a:ln>
      </c:spPr>
    </c:plotArea>
    <c:legend>
      <c:legendPos val="b"/>
      <c:legendEntry>
        <c:idx val="0"/>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998">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998">
                <a:latin typeface="Times New Roman" panose="02020603050405020304" pitchFamily="18" charset="0"/>
                <a:cs typeface="Times New Roman" panose="02020603050405020304" pitchFamily="18" charset="0"/>
              </a:defRPr>
            </a:pPr>
            <a:endParaRPr lang="ru-RU"/>
          </a:p>
        </c:txPr>
      </c:legendEntry>
      <c:layout>
        <c:manualLayout>
          <c:xMode val="edge"/>
          <c:yMode val="edge"/>
          <c:x val="5.2145231846019248E-2"/>
          <c:y val="0.62793256164487199"/>
          <c:w val="0.91156797900262465"/>
          <c:h val="0.35622273416067723"/>
        </c:manualLayout>
      </c:layout>
      <c:overlay val="0"/>
      <c:txPr>
        <a:bodyPr/>
        <a:lstStyle/>
        <a:p>
          <a:pPr>
            <a:defRPr sz="998">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100"/>
            </a:pPr>
            <a:r>
              <a:rPr lang="ru-RU" sz="1200"/>
              <a:t>Количество</a:t>
            </a:r>
            <a:r>
              <a:rPr lang="ru-RU" sz="1200" baseline="0"/>
              <a:t> лицевых счетов, открытых участникам бюджетного процесса государственных внебюджетных фондов, по состоянию на 1 июля 2016 года</a:t>
            </a:r>
            <a:endParaRPr lang="ru-RU" sz="1200"/>
          </a:p>
        </c:rich>
      </c:tx>
      <c:layout>
        <c:manualLayout>
          <c:xMode val="edge"/>
          <c:yMode val="edge"/>
          <c:x val="0.12049753296741017"/>
          <c:y val="5.7935901824980737E-4"/>
        </c:manualLayout>
      </c:layout>
      <c:overlay val="0"/>
    </c:title>
    <c:autoTitleDeleted val="0"/>
    <c:view3D>
      <c:rotX val="15"/>
      <c:rotY val="20"/>
      <c:depthPercent val="10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9521780365689584E-2"/>
          <c:y val="8.7026099265681695E-2"/>
          <c:w val="0.95004225131000519"/>
          <c:h val="0.44731674912317376"/>
        </c:manualLayout>
      </c:layout>
      <c:bar3DChart>
        <c:barDir val="col"/>
        <c:grouping val="clustered"/>
        <c:varyColors val="0"/>
        <c:ser>
          <c:idx val="0"/>
          <c:order val="0"/>
          <c:tx>
            <c:strRef>
              <c:f>Лист1!$B$1</c:f>
              <c:strCache>
                <c:ptCount val="1"/>
                <c:pt idx="0">
                  <c:v>ПФ РФ</c:v>
                </c:pt>
              </c:strCache>
            </c:strRef>
          </c:tx>
          <c:spPr>
            <a:solidFill>
              <a:sysClr val="window" lastClr="FFFFFF">
                <a:lumMod val="95000"/>
              </a:sysClr>
            </a:solidFill>
          </c:spPr>
          <c:invertIfNegative val="0"/>
          <c:dLbls>
            <c:dLbl>
              <c:idx val="0"/>
              <c:layout>
                <c:manualLayout>
                  <c:x val="2.8662771469518244E-2"/>
                  <c:y val="-2.8409716634709623E-2"/>
                </c:manualLayout>
              </c:layout>
              <c:tx>
                <c:rich>
                  <a:bodyPr/>
                  <a:lstStyle/>
                  <a:p>
                    <a:r>
                      <a:rPr lang="en-US"/>
                      <a:t>4</a:t>
                    </a:r>
                    <a:r>
                      <a:rPr lang="ru-RU"/>
                      <a:t> </a:t>
                    </a:r>
                    <a:r>
                      <a:rPr lang="en-US"/>
                      <a:t>054</a:t>
                    </a:r>
                  </a:p>
                </c:rich>
              </c:tx>
              <c:showLegendKey val="0"/>
              <c:showVal val="1"/>
              <c:showCatName val="0"/>
              <c:showSerName val="0"/>
              <c:showPercent val="0"/>
              <c:showBubbleSize val="0"/>
            </c:dLbl>
            <c:txPr>
              <a:bodyPr/>
              <a:lstStyle/>
              <a:p>
                <a:pPr>
                  <a:defRPr sz="997"/>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4054</c:v>
                </c:pt>
              </c:numCache>
            </c:numRef>
          </c:val>
        </c:ser>
        <c:ser>
          <c:idx val="1"/>
          <c:order val="1"/>
          <c:tx>
            <c:strRef>
              <c:f>Лист1!$C$1</c:f>
              <c:strCache>
                <c:ptCount val="1"/>
                <c:pt idx="0">
                  <c:v>ФСС РФ</c:v>
                </c:pt>
              </c:strCache>
            </c:strRef>
          </c:tx>
          <c:spPr>
            <a:solidFill>
              <a:srgbClr val="4BACC6">
                <a:lumMod val="20000"/>
                <a:lumOff val="80000"/>
              </a:srgbClr>
            </a:solidFill>
          </c:spPr>
          <c:invertIfNegative val="0"/>
          <c:dLbls>
            <c:dLbl>
              <c:idx val="0"/>
              <c:layout>
                <c:manualLayout>
                  <c:x val="2.0501594325502699E-2"/>
                  <c:y val="-3.1257246690317556E-2"/>
                </c:manualLayout>
              </c:layout>
              <c:showLegendKey val="0"/>
              <c:showVal val="1"/>
              <c:showCatName val="0"/>
              <c:showSerName val="0"/>
              <c:showPercent val="0"/>
              <c:showBubbleSize val="0"/>
            </c:dLbl>
            <c:txPr>
              <a:bodyPr/>
              <a:lstStyle/>
              <a:p>
                <a:pPr>
                  <a:defRPr sz="997"/>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742</c:v>
                </c:pt>
              </c:numCache>
            </c:numRef>
          </c:val>
        </c:ser>
        <c:ser>
          <c:idx val="2"/>
          <c:order val="2"/>
          <c:tx>
            <c:strRef>
              <c:f>Лист1!$D$1</c:f>
              <c:strCache>
                <c:ptCount val="1"/>
                <c:pt idx="0">
                  <c:v>ФФОМС</c:v>
                </c:pt>
              </c:strCache>
            </c:strRef>
          </c:tx>
          <c:spPr>
            <a:solidFill>
              <a:srgbClr val="9BBB59">
                <a:lumMod val="20000"/>
                <a:lumOff val="80000"/>
              </a:srgbClr>
            </a:solidFill>
          </c:spPr>
          <c:invertIfNegative val="0"/>
          <c:dLbls>
            <c:dLbl>
              <c:idx val="0"/>
              <c:layout>
                <c:manualLayout>
                  <c:x val="3.7037037037037035E-2"/>
                  <c:y val="-2.5477707006369324E-2"/>
                </c:manualLayout>
              </c:layout>
              <c:showLegendKey val="0"/>
              <c:showVal val="1"/>
              <c:showCatName val="0"/>
              <c:showSerName val="0"/>
              <c:showPercent val="0"/>
              <c:showBubbleSize val="0"/>
            </c:dLbl>
            <c:txPr>
              <a:bodyPr/>
              <a:lstStyle/>
              <a:p>
                <a:pPr>
                  <a:defRPr sz="997"/>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7</c:v>
                </c:pt>
              </c:numCache>
            </c:numRef>
          </c:val>
        </c:ser>
        <c:ser>
          <c:idx val="3"/>
          <c:order val="3"/>
          <c:tx>
            <c:strRef>
              <c:f>Лист1!$E$1</c:f>
              <c:strCache>
                <c:ptCount val="1"/>
                <c:pt idx="0">
                  <c:v>территориальный государственный внебюджетный фонд</c:v>
                </c:pt>
              </c:strCache>
            </c:strRef>
          </c:tx>
          <c:spPr>
            <a:solidFill>
              <a:srgbClr val="8064A2">
                <a:lumMod val="20000"/>
                <a:lumOff val="80000"/>
              </a:srgbClr>
            </a:solidFill>
          </c:spPr>
          <c:invertIfNegative val="0"/>
          <c:dLbls>
            <c:dLbl>
              <c:idx val="0"/>
              <c:layout>
                <c:manualLayout>
                  <c:x val="3.2034185809418532E-2"/>
                  <c:y val="-3.436855008508552E-2"/>
                </c:manualLayout>
              </c:layout>
              <c:showLegendKey val="0"/>
              <c:showVal val="1"/>
              <c:showCatName val="0"/>
              <c:showSerName val="0"/>
              <c:showPercent val="0"/>
              <c:showBubbleSize val="0"/>
            </c:dLbl>
            <c:txPr>
              <a:bodyPr/>
              <a:lstStyle/>
              <a:p>
                <a:pPr>
                  <a:defRPr sz="997"/>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267</c:v>
                </c:pt>
              </c:numCache>
            </c:numRef>
          </c:val>
        </c:ser>
        <c:dLbls>
          <c:showLegendKey val="0"/>
          <c:showVal val="0"/>
          <c:showCatName val="0"/>
          <c:showSerName val="0"/>
          <c:showPercent val="0"/>
          <c:showBubbleSize val="0"/>
        </c:dLbls>
        <c:gapWidth val="150"/>
        <c:shape val="box"/>
        <c:axId val="102052992"/>
        <c:axId val="102054528"/>
        <c:axId val="0"/>
      </c:bar3DChart>
      <c:catAx>
        <c:axId val="102052992"/>
        <c:scaling>
          <c:orientation val="minMax"/>
        </c:scaling>
        <c:delete val="0"/>
        <c:axPos val="b"/>
        <c:numFmt formatCode="General" sourceLinked="1"/>
        <c:majorTickMark val="none"/>
        <c:minorTickMark val="none"/>
        <c:tickLblPos val="nextTo"/>
        <c:crossAx val="102054528"/>
        <c:crosses val="autoZero"/>
        <c:auto val="1"/>
        <c:lblAlgn val="ctr"/>
        <c:lblOffset val="100"/>
        <c:noMultiLvlLbl val="0"/>
      </c:catAx>
      <c:valAx>
        <c:axId val="102054528"/>
        <c:scaling>
          <c:orientation val="minMax"/>
        </c:scaling>
        <c:delete val="1"/>
        <c:axPos val="l"/>
        <c:numFmt formatCode="General" sourceLinked="1"/>
        <c:majorTickMark val="out"/>
        <c:minorTickMark val="none"/>
        <c:tickLblPos val="nextTo"/>
        <c:crossAx val="102052992"/>
        <c:crosses val="autoZero"/>
        <c:crossBetween val="between"/>
      </c:valAx>
      <c:spPr>
        <a:noFill/>
        <a:ln w="25328">
          <a:noFill/>
        </a:ln>
      </c:spPr>
    </c:plotArea>
    <c:legend>
      <c:legendPos val="b"/>
      <c:legendEntry>
        <c:idx val="0"/>
        <c:txPr>
          <a:bodyPr/>
          <a:lstStyle/>
          <a:p>
            <a:pPr>
              <a:defRPr sz="997" kern="1000" spc="0" baseline="0"/>
            </a:pPr>
            <a:endParaRPr lang="ru-RU"/>
          </a:p>
        </c:txPr>
      </c:legendEntry>
      <c:legendEntry>
        <c:idx val="1"/>
        <c:txPr>
          <a:bodyPr/>
          <a:lstStyle/>
          <a:p>
            <a:pPr>
              <a:defRPr sz="997" kern="1000" spc="0" baseline="0"/>
            </a:pPr>
            <a:endParaRPr lang="ru-RU"/>
          </a:p>
        </c:txPr>
      </c:legendEntry>
      <c:legendEntry>
        <c:idx val="2"/>
        <c:txPr>
          <a:bodyPr/>
          <a:lstStyle/>
          <a:p>
            <a:pPr>
              <a:defRPr sz="997" kern="1000" spc="0" baseline="0"/>
            </a:pPr>
            <a:endParaRPr lang="ru-RU"/>
          </a:p>
        </c:txPr>
      </c:legendEntry>
      <c:legendEntry>
        <c:idx val="3"/>
        <c:txPr>
          <a:bodyPr/>
          <a:lstStyle/>
          <a:p>
            <a:pPr>
              <a:defRPr sz="997" kern="1000" spc="0" baseline="0"/>
            </a:pPr>
            <a:endParaRPr lang="ru-RU"/>
          </a:p>
        </c:txPr>
      </c:legendEntry>
      <c:layout>
        <c:manualLayout>
          <c:xMode val="edge"/>
          <c:yMode val="edge"/>
          <c:x val="6.7147544056992872E-2"/>
          <c:y val="0.62689666681838174"/>
          <c:w val="0.6864923134608174"/>
          <c:h val="0.22132160131527873"/>
        </c:manualLayout>
      </c:layout>
      <c:overlay val="0"/>
      <c:spPr>
        <a:ln>
          <a:noFill/>
        </a:ln>
        <a:effectLst>
          <a:outerShdw blurRad="50800" dist="12700" dir="5400000" algn="ctr" rotWithShape="0">
            <a:srgbClr val="000000">
              <a:alpha val="43137"/>
            </a:srgbClr>
          </a:outerShdw>
        </a:effectLst>
      </c:spPr>
      <c:txPr>
        <a:bodyPr/>
        <a:lstStyle/>
        <a:p>
          <a:pPr>
            <a:defRPr sz="997" kern="1000" spc="-100" baseline="0"/>
          </a:pPr>
          <a:endParaRPr lang="ru-RU"/>
        </a:p>
      </c:txPr>
    </c:legend>
    <c:plotVisOnly val="1"/>
    <c:dispBlanksAs val="gap"/>
    <c:showDLblsOverMax val="0"/>
  </c:chart>
  <c:spPr>
    <a:ln>
      <a:noFill/>
    </a:ln>
  </c:spPr>
  <c:txPr>
    <a:bodyPr/>
    <a:lstStyle/>
    <a:p>
      <a:pPr>
        <a:defRPr sz="1097">
          <a:latin typeface="Times New Roman" pitchFamily="18" charset="0"/>
          <a:cs typeface="Times New Roman"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998">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Поступление доходов в бюджетную систему Российской</a:t>
            </a:r>
            <a:r>
              <a:rPr lang="ru-RU" sz="1200" baseline="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федерации за 2016 год, млрд рублей</a:t>
            </a:r>
          </a:p>
        </c:rich>
      </c:tx>
      <c:layout>
        <c:manualLayout>
          <c:xMode val="edge"/>
          <c:yMode val="edge"/>
          <c:x val="0.15494140694757594"/>
          <c:y val="4.3823343914715339E-3"/>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7100362454693164E-2"/>
          <c:y val="0.27392611011342882"/>
          <c:w val="0.58172874335679581"/>
          <c:h val="0.58445258797626598"/>
        </c:manualLayout>
      </c:layout>
      <c:pie3DChart>
        <c:varyColors val="1"/>
        <c:ser>
          <c:idx val="0"/>
          <c:order val="0"/>
          <c:tx>
            <c:strRef>
              <c:f>Лист1!$B$1</c:f>
              <c:strCache>
                <c:ptCount val="1"/>
                <c:pt idx="0">
                  <c:v>Поступление доходов в бюджетную систему Российской федерации за 2015 год, млрд. рублей</c:v>
                </c:pt>
              </c:strCache>
            </c:strRef>
          </c:tx>
          <c:explosion val="17"/>
          <c:dPt>
            <c:idx val="0"/>
            <c:bubble3D val="0"/>
          </c:dPt>
          <c:dPt>
            <c:idx val="1"/>
            <c:bubble3D val="0"/>
          </c:dPt>
          <c:dPt>
            <c:idx val="2"/>
            <c:bubble3D val="0"/>
          </c:dPt>
          <c:dPt>
            <c:idx val="3"/>
            <c:bubble3D val="0"/>
          </c:dPt>
          <c:dLbls>
            <c:dLbl>
              <c:idx val="0"/>
              <c:layout>
                <c:manualLayout>
                  <c:x val="-7.7496280280247784E-2"/>
                  <c:y val="-7.5396825396825393E-2"/>
                </c:manualLayout>
              </c:layout>
              <c:tx>
                <c:rich>
                  <a:bodyPr/>
                  <a:lstStyle/>
                  <a:p>
                    <a:r>
                      <a:rPr lang="en-US">
                        <a:latin typeface="Times New Roman" panose="02020603050405020304" pitchFamily="18" charset="0"/>
                        <a:cs typeface="Times New Roman" panose="02020603050405020304" pitchFamily="18" charset="0"/>
                      </a:rPr>
                      <a:t>1</a:t>
                    </a:r>
                    <a:r>
                      <a:rPr lang="ru-RU">
                        <a:latin typeface="Times New Roman" panose="02020603050405020304" pitchFamily="18" charset="0"/>
                        <a:cs typeface="Times New Roman" panose="02020603050405020304" pitchFamily="18" charset="0"/>
                      </a:rPr>
                      <a:t>3 460,00</a:t>
                    </a:r>
                    <a:endParaRPr lang="ru-RU" baseline="0">
                      <a:latin typeface="Times New Roman" panose="02020603050405020304" pitchFamily="18" charset="0"/>
                      <a:cs typeface="Times New Roman" panose="02020603050405020304" pitchFamily="18" charset="0"/>
                    </a:endParaRPr>
                  </a:p>
                  <a:p>
                    <a:r>
                      <a:rPr lang="ru-RU">
                        <a:latin typeface="Times New Roman" panose="02020603050405020304" pitchFamily="18" charset="0"/>
                        <a:cs typeface="Times New Roman" panose="02020603050405020304" pitchFamily="18" charset="0"/>
                      </a:rPr>
                      <a:t>36,17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1"/>
              <c:layout>
                <c:manualLayout>
                  <c:x val="-7.7496280280247701E-2"/>
                  <c:y val="-2.7777777777777776E-2"/>
                </c:manualLayout>
              </c:layout>
              <c:tx>
                <c:rich>
                  <a:bodyPr/>
                  <a:lstStyle/>
                  <a:p>
                    <a:r>
                      <a:rPr lang="ru-RU">
                        <a:latin typeface="Times New Roman" panose="02020603050405020304" pitchFamily="18" charset="0"/>
                        <a:cs typeface="Times New Roman" panose="02020603050405020304" pitchFamily="18" charset="0"/>
                      </a:rPr>
                      <a:t>11 099,59</a:t>
                    </a:r>
                  </a:p>
                  <a:p>
                    <a:r>
                      <a:rPr lang="ru-RU">
                        <a:latin typeface="Times New Roman" panose="02020603050405020304" pitchFamily="18" charset="0"/>
                        <a:cs typeface="Times New Roman" panose="02020603050405020304" pitchFamily="18" charset="0"/>
                      </a:rPr>
                      <a:t>29,83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2"/>
              <c:layout>
                <c:manualLayout>
                  <c:x val="1.2916046713374617E-2"/>
                  <c:y val="0"/>
                </c:manualLayout>
              </c:layout>
              <c:tx>
                <c:rich>
                  <a:bodyPr/>
                  <a:lstStyle/>
                  <a:p>
                    <a:r>
                      <a:rPr lang="ru-RU">
                        <a:latin typeface="Times New Roman" panose="02020603050405020304" pitchFamily="18" charset="0"/>
                        <a:cs typeface="Times New Roman" panose="02020603050405020304" pitchFamily="18" charset="0"/>
                      </a:rPr>
                      <a:t>8 637,52</a:t>
                    </a:r>
                  </a:p>
                  <a:p>
                    <a:r>
                      <a:rPr lang="ru-RU">
                        <a:latin typeface="Times New Roman" panose="02020603050405020304" pitchFamily="18" charset="0"/>
                        <a:cs typeface="Times New Roman" panose="02020603050405020304" pitchFamily="18" charset="0"/>
                      </a:rPr>
                      <a:t>23,21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3"/>
              <c:layout>
                <c:manualLayout>
                  <c:x val="2.7438983920113433E-2"/>
                  <c:y val="-3.1617933723196878E-2"/>
                </c:manualLayout>
              </c:layout>
              <c:tx>
                <c:rich>
                  <a:bodyPr/>
                  <a:lstStyle/>
                  <a:p>
                    <a:r>
                      <a:rPr lang="ru-RU">
                        <a:latin typeface="Times New Roman" panose="02020603050405020304" pitchFamily="18" charset="0"/>
                        <a:cs typeface="Times New Roman" panose="02020603050405020304" pitchFamily="18" charset="0"/>
                      </a:rPr>
                      <a:t>4 016,60</a:t>
                    </a:r>
                  </a:p>
                  <a:p>
                    <a:r>
                      <a:rPr lang="ru-RU">
                        <a:latin typeface="Times New Roman" panose="02020603050405020304" pitchFamily="18" charset="0"/>
                        <a:cs typeface="Times New Roman" panose="02020603050405020304" pitchFamily="18" charset="0"/>
                      </a:rPr>
                      <a:t>10,7 9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txPr>
              <a:bodyPr rot="0"/>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1"/>
            <c:showBubbleSize val="0"/>
            <c:showLeaderLines val="0"/>
          </c:dLbls>
          <c:cat>
            <c:strRef>
              <c:f>Лист1!$A$2:$A$5</c:f>
              <c:strCache>
                <c:ptCount val="4"/>
                <c:pt idx="0">
                  <c:v>федеральный бюджет</c:v>
                </c:pt>
                <c:pt idx="1">
                  <c:v>бюджет государственных внебюджетных фондов</c:v>
                </c:pt>
                <c:pt idx="2">
                  <c:v>бюджеты субъектов Российской Федерации</c:v>
                </c:pt>
                <c:pt idx="3">
                  <c:v>местные бюджеты</c:v>
                </c:pt>
              </c:strCache>
            </c:strRef>
          </c:cat>
          <c:val>
            <c:numRef>
              <c:f>Лист1!$B$2:$B$5</c:f>
              <c:numCache>
                <c:formatCode>General</c:formatCode>
                <c:ptCount val="4"/>
                <c:pt idx="0">
                  <c:v>13460</c:v>
                </c:pt>
                <c:pt idx="1">
                  <c:v>11099.59</c:v>
                </c:pt>
                <c:pt idx="2">
                  <c:v>8637.52</c:v>
                </c:pt>
                <c:pt idx="3">
                  <c:v>4016.6</c:v>
                </c:pt>
              </c:numCache>
            </c:numRef>
          </c:val>
        </c:ser>
        <c:ser>
          <c:idx val="1"/>
          <c:order val="1"/>
          <c:tx>
            <c:strRef>
              <c:f>Лист1!$C$1</c:f>
              <c:strCache>
                <c:ptCount val="1"/>
                <c:pt idx="0">
                  <c:v>Столбец1</c:v>
                </c:pt>
              </c:strCache>
            </c:strRef>
          </c:tx>
          <c:explosion val="25"/>
          <c:dPt>
            <c:idx val="0"/>
            <c:bubble3D val="0"/>
          </c:dPt>
          <c:dPt>
            <c:idx val="1"/>
            <c:bubble3D val="0"/>
          </c:dPt>
          <c:dPt>
            <c:idx val="2"/>
            <c:bubble3D val="0"/>
          </c:dPt>
          <c:dPt>
            <c:idx val="3"/>
            <c:bubble3D val="0"/>
          </c:dPt>
          <c:cat>
            <c:strRef>
              <c:f>Лист1!$A$2:$A$5</c:f>
              <c:strCache>
                <c:ptCount val="4"/>
                <c:pt idx="0">
                  <c:v>федеральный бюджет</c:v>
                </c:pt>
                <c:pt idx="1">
                  <c:v>бюджет государственных внебюджетных фондов</c:v>
                </c:pt>
                <c:pt idx="2">
                  <c:v>бюджеты субъектов Российской Федерации</c:v>
                </c:pt>
                <c:pt idx="3">
                  <c:v>местные бюджеты</c:v>
                </c:pt>
              </c:strCache>
            </c:strRef>
          </c:cat>
          <c:val>
            <c:numRef>
              <c:f>Лист1!$C$2:$C$5</c:f>
              <c:numCache>
                <c:formatCode>0.00%</c:formatCode>
                <c:ptCount val="4"/>
                <c:pt idx="0">
                  <c:v>0.36170000000000002</c:v>
                </c:pt>
                <c:pt idx="1">
                  <c:v>0.29830000000000001</c:v>
                </c:pt>
                <c:pt idx="2">
                  <c:v>0.2321</c:v>
                </c:pt>
                <c:pt idx="3">
                  <c:v>0.1079</c:v>
                </c:pt>
              </c:numCache>
            </c:numRef>
          </c:val>
        </c:ser>
        <c:dLbls>
          <c:showLegendKey val="0"/>
          <c:showVal val="0"/>
          <c:showCatName val="0"/>
          <c:showSerName val="0"/>
          <c:showPercent val="0"/>
          <c:showBubbleSize val="0"/>
          <c:showLeaderLines val="0"/>
        </c:dLbls>
      </c:pie3DChart>
      <c:spPr>
        <a:noFill/>
        <a:ln w="25356">
          <a:noFill/>
        </a:ln>
      </c:spPr>
    </c:plotArea>
    <c:legend>
      <c:legendPos val="r"/>
      <c:layout>
        <c:manualLayout>
          <c:xMode val="edge"/>
          <c:yMode val="edge"/>
          <c:x val="0.67221459535928896"/>
          <c:y val="0.40924958941535816"/>
          <c:w val="0.32778522268771859"/>
          <c:h val="0.4238268023514604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100"/>
            </a:pPr>
            <a:r>
              <a:rPr lang="ru-RU" sz="1200"/>
              <a:t>Объем невыясненных поступлений, зачисляемых </a:t>
            </a:r>
            <a:br>
              <a:rPr lang="ru-RU" sz="1200"/>
            </a:br>
            <a:r>
              <a:rPr lang="ru-RU" sz="1200"/>
              <a:t>в федеральный бюджет,</a:t>
            </a:r>
            <a:r>
              <a:rPr lang="ru-RU" sz="1200" baseline="0"/>
              <a:t> </a:t>
            </a:r>
            <a:r>
              <a:rPr lang="ru-RU" sz="1200"/>
              <a:t>млрд рублей</a:t>
            </a:r>
          </a:p>
        </c:rich>
      </c:tx>
      <c:layout>
        <c:manualLayout>
          <c:xMode val="edge"/>
          <c:yMode val="edge"/>
          <c:x val="0.16688502536460681"/>
          <c:y val="2.6208936559967384E-2"/>
        </c:manualLayout>
      </c:layout>
      <c:overlay val="0"/>
    </c:title>
    <c:autoTitleDeleted val="0"/>
    <c:plotArea>
      <c:layout>
        <c:manualLayout>
          <c:layoutTarget val="inner"/>
          <c:xMode val="edge"/>
          <c:yMode val="edge"/>
          <c:x val="6.8396265360902223E-2"/>
          <c:y val="0.20216554499803341"/>
          <c:w val="0.90592429958666898"/>
          <c:h val="0.43814205042551491"/>
        </c:manualLayout>
      </c:layout>
      <c:lineChart>
        <c:grouping val="stacked"/>
        <c:varyColors val="0"/>
        <c:ser>
          <c:idx val="0"/>
          <c:order val="0"/>
          <c:tx>
            <c:strRef>
              <c:f>Лист1!$B$1</c:f>
              <c:strCache>
                <c:ptCount val="1"/>
                <c:pt idx="0">
                  <c:v>объем невыясненных поступлений, зачисляемых в федеральный бюджет</c:v>
                </c:pt>
              </c:strCache>
            </c:strRef>
          </c:tx>
          <c:spPr>
            <a:ln w="38090">
              <a:solidFill>
                <a:schemeClr val="accent2"/>
              </a:solidFill>
              <a:tailEnd type="none" w="lg" len="lg"/>
            </a:ln>
          </c:spPr>
          <c:marker>
            <c:symbol val="none"/>
          </c:marker>
          <c:dPt>
            <c:idx val="0"/>
            <c:bubble3D val="0"/>
            <c:spPr>
              <a:ln w="38090">
                <a:solidFill>
                  <a:schemeClr val="accent2"/>
                </a:solidFill>
                <a:tailEnd type="stealth" w="lg" len="lg"/>
              </a:ln>
            </c:spPr>
          </c:dPt>
          <c:dPt>
            <c:idx val="1"/>
            <c:bubble3D val="0"/>
            <c:spPr>
              <a:ln w="38090">
                <a:solidFill>
                  <a:schemeClr val="tx2"/>
                </a:solidFill>
                <a:tailEnd type="none" w="lg" len="lg"/>
              </a:ln>
            </c:spPr>
          </c:dPt>
          <c:dPt>
            <c:idx val="2"/>
            <c:bubble3D val="0"/>
            <c:spPr>
              <a:ln w="38090">
                <a:solidFill>
                  <a:schemeClr val="tx2"/>
                </a:solidFill>
                <a:tailEnd type="none" w="lg" len="lg"/>
              </a:ln>
            </c:spPr>
          </c:dPt>
          <c:dPt>
            <c:idx val="3"/>
            <c:bubble3D val="0"/>
            <c:spPr>
              <a:ln w="38090">
                <a:solidFill>
                  <a:schemeClr val="tx2"/>
                </a:solidFill>
                <a:tailEnd type="none" w="lg" len="lg"/>
              </a:ln>
            </c:spPr>
          </c:dPt>
          <c:dPt>
            <c:idx val="4"/>
            <c:bubble3D val="0"/>
            <c:spPr>
              <a:ln w="38090">
                <a:gradFill>
                  <a:gsLst>
                    <a:gs pos="0">
                      <a:schemeClr val="accent1">
                        <a:tint val="66000"/>
                        <a:satMod val="160000"/>
                      </a:schemeClr>
                    </a:gs>
                    <a:gs pos="50000">
                      <a:schemeClr val="accent1">
                        <a:tint val="44500"/>
                        <a:satMod val="160000"/>
                      </a:schemeClr>
                    </a:gs>
                    <a:gs pos="5850">
                      <a:schemeClr val="tx2"/>
                    </a:gs>
                    <a:gs pos="100000">
                      <a:schemeClr val="accent2"/>
                    </a:gs>
                  </a:gsLst>
                  <a:lin ang="5400000" scaled="0"/>
                </a:gradFill>
                <a:tailEnd type="none" w="lg" len="lg"/>
              </a:ln>
            </c:spPr>
          </c:dPt>
          <c:dPt>
            <c:idx val="10"/>
            <c:bubble3D val="0"/>
          </c:dPt>
          <c:dPt>
            <c:idx val="11"/>
            <c:bubble3D val="0"/>
            <c:spPr>
              <a:ln w="34916">
                <a:solidFill>
                  <a:schemeClr val="accent2"/>
                </a:solidFill>
                <a:tailEnd type="stealth" w="lg" len="lg"/>
              </a:ln>
            </c:spPr>
          </c:dPt>
          <c:dLbls>
            <c:dLbl>
              <c:idx val="1"/>
              <c:layout>
                <c:manualLayout>
                  <c:x val="-3.3703701956322767E-2"/>
                  <c:y val="3.5818713450292396E-2"/>
                </c:manualLayout>
              </c:layout>
              <c:spPr/>
              <c:txPr>
                <a:bodyPr/>
                <a:lstStyle/>
                <a:p>
                  <a:pPr>
                    <a:defRPr/>
                  </a:pPr>
                  <a:endParaRPr lang="ru-RU"/>
                </a:p>
              </c:txPr>
              <c:dLblPos val="r"/>
              <c:showLegendKey val="0"/>
              <c:showVal val="1"/>
              <c:showCatName val="0"/>
              <c:showSerName val="0"/>
              <c:showPercent val="0"/>
              <c:showBubbleSize val="0"/>
            </c:dLbl>
            <c:dLbl>
              <c:idx val="3"/>
              <c:layout>
                <c:manualLayout>
                  <c:x val="-2.9568269099859715E-2"/>
                  <c:y val="-3.902357184799933E-2"/>
                </c:manualLayout>
              </c:layout>
              <c:spPr/>
              <c:txPr>
                <a:bodyPr/>
                <a:lstStyle/>
                <a:p>
                  <a:pPr>
                    <a:defRPr/>
                  </a:pPr>
                  <a:endParaRPr lang="ru-RU"/>
                </a:p>
              </c:txPr>
              <c:dLblPos val="r"/>
              <c:showLegendKey val="0"/>
              <c:showVal val="1"/>
              <c:showCatName val="0"/>
              <c:showSerName val="0"/>
              <c:showPercent val="0"/>
              <c:showBubbleSize val="0"/>
            </c:dLbl>
            <c:dLbl>
              <c:idx val="4"/>
              <c:layout>
                <c:manualLayout>
                  <c:x val="-3.3703701956322767E-2"/>
                  <c:y val="2.7046783625730993E-2"/>
                </c:manualLayout>
              </c:layout>
              <c:spPr/>
              <c:txPr>
                <a:bodyPr/>
                <a:lstStyle/>
                <a:p>
                  <a:pPr>
                    <a:defRPr/>
                  </a:pPr>
                  <a:endParaRPr lang="ru-RU"/>
                </a:p>
              </c:txPr>
              <c:dLblPos val="r"/>
              <c:showLegendKey val="0"/>
              <c:showVal val="1"/>
              <c:showCatName val="0"/>
              <c:showSerName val="0"/>
              <c:showPercent val="0"/>
              <c:showBubbleSize val="0"/>
            </c:dLbl>
            <c:dLbl>
              <c:idx val="5"/>
              <c:layout>
                <c:manualLayout>
                  <c:x val="-2.9423866787265905E-2"/>
                  <c:y val="3.874269005847953E-2"/>
                </c:manualLayout>
              </c:layout>
              <c:spPr/>
              <c:txPr>
                <a:bodyPr/>
                <a:lstStyle/>
                <a:p>
                  <a:pPr>
                    <a:defRPr/>
                  </a:pPr>
                  <a:endParaRPr lang="ru-RU"/>
                </a:p>
              </c:txPr>
              <c:dLblPos val="r"/>
              <c:showLegendKey val="0"/>
              <c:showVal val="1"/>
              <c:showCatName val="0"/>
              <c:showSerName val="0"/>
              <c:showPercent val="0"/>
              <c:showBubbleSize val="0"/>
            </c:dLbl>
            <c:dLbl>
              <c:idx val="6"/>
              <c:layout>
                <c:manualLayout>
                  <c:x val="-1.4444443695566979E-2"/>
                  <c:y val="3.5818713450292396E-2"/>
                </c:manualLayout>
              </c:layout>
              <c:spPr/>
              <c:txPr>
                <a:bodyPr/>
                <a:lstStyle/>
                <a:p>
                  <a:pPr>
                    <a:defRPr/>
                  </a:pPr>
                  <a:endParaRPr lang="ru-RU"/>
                </a:p>
              </c:txPr>
              <c:dLblPos val="r"/>
              <c:showLegendKey val="0"/>
              <c:showVal val="1"/>
              <c:showCatName val="0"/>
              <c:showSerName val="0"/>
              <c:showPercent val="0"/>
              <c:showBubbleSize val="0"/>
            </c:dLbl>
            <c:dLbl>
              <c:idx val="7"/>
              <c:layout>
                <c:manualLayout>
                  <c:x val="-3.4993044425362968E-2"/>
                  <c:y val="-3.0722167690542802E-2"/>
                </c:manualLayout>
              </c:layout>
              <c:spPr/>
              <c:txPr>
                <a:bodyPr/>
                <a:lstStyle/>
                <a:p>
                  <a:pPr>
                    <a:defRPr/>
                  </a:pPr>
                  <a:endParaRPr lang="ru-RU"/>
                </a:p>
              </c:txPr>
              <c:dLblPos val="r"/>
              <c:showLegendKey val="0"/>
              <c:showVal val="1"/>
              <c:showCatName val="0"/>
              <c:showSerName val="0"/>
              <c:showPercent val="0"/>
              <c:showBubbleSize val="0"/>
            </c:dLbl>
            <c:dLbl>
              <c:idx val="8"/>
              <c:layout>
                <c:manualLayout>
                  <c:x val="-3.4993044425362968E-2"/>
                  <c:y val="-3.0722167690542854E-2"/>
                </c:manualLayout>
              </c:layout>
              <c:spPr/>
              <c:txPr>
                <a:bodyPr/>
                <a:lstStyle/>
                <a:p>
                  <a:pPr>
                    <a:defRPr/>
                  </a:pPr>
                  <a:endParaRPr lang="ru-RU"/>
                </a:p>
              </c:txPr>
              <c:dLblPos val="r"/>
              <c:showLegendKey val="0"/>
              <c:showVal val="1"/>
              <c:showCatName val="0"/>
              <c:showSerName val="0"/>
              <c:showPercent val="0"/>
              <c:showBubbleSize val="0"/>
            </c:dLbl>
            <c:dLbl>
              <c:idx val="9"/>
              <c:layout>
                <c:manualLayout>
                  <c:x val="-1.7873703749135609E-2"/>
                  <c:y val="-3.3489302409694971E-2"/>
                </c:manualLayout>
              </c:layout>
              <c:spPr/>
              <c:txPr>
                <a:bodyPr/>
                <a:lstStyle/>
                <a:p>
                  <a:pPr>
                    <a:defRPr/>
                  </a:pPr>
                  <a:endParaRPr lang="ru-RU"/>
                </a:p>
              </c:txPr>
              <c:dLblPos val="r"/>
              <c:showLegendKey val="0"/>
              <c:showVal val="1"/>
              <c:showCatName val="0"/>
              <c:showSerName val="0"/>
              <c:showPercent val="0"/>
              <c:showBubbleSize val="0"/>
            </c:dLbl>
            <c:dLbl>
              <c:idx val="10"/>
              <c:layout>
                <c:manualLayout>
                  <c:x val="-2.2153538918192467E-2"/>
                  <c:y val="-3.3489302409694992E-2"/>
                </c:manualLayout>
              </c:layout>
              <c:spPr/>
              <c:txPr>
                <a:bodyPr/>
                <a:lstStyle/>
                <a:p>
                  <a:pPr>
                    <a:defRPr/>
                  </a:pPr>
                  <a:endParaRPr lang="ru-RU"/>
                </a:p>
              </c:txPr>
              <c:dLblPos val="r"/>
              <c:showLegendKey val="0"/>
              <c:showVal val="1"/>
              <c:showCatName val="0"/>
              <c:showSerName val="0"/>
              <c:showPercent val="0"/>
              <c:showBubbleSize val="0"/>
            </c:dLbl>
            <c:dLbl>
              <c:idx val="11"/>
              <c:layout>
                <c:manualLayout>
                  <c:x val="-2.2142755081546023E-2"/>
                  <c:y val="-3.902357184799933E-2"/>
                </c:manualLayout>
              </c:layout>
              <c:spPr/>
              <c:txPr>
                <a:bodyPr/>
                <a:lstStyle/>
                <a:p>
                  <a:pPr>
                    <a:defRPr/>
                  </a:pPr>
                  <a:endParaRPr lang="ru-RU"/>
                </a:p>
              </c:txPr>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strRef>
              <c:f>Лист1!$A$2:$A$13</c:f>
              <c:strCache>
                <c:ptCount val="12"/>
                <c:pt idx="0">
                  <c:v>на 01.02.2016</c:v>
                </c:pt>
                <c:pt idx="1">
                  <c:v>на 01.03.2016</c:v>
                </c:pt>
                <c:pt idx="2">
                  <c:v>на 01.04.2016</c:v>
                </c:pt>
                <c:pt idx="3">
                  <c:v>на 01.05.2016</c:v>
                </c:pt>
                <c:pt idx="4">
                  <c:v>на 01.06.2016</c:v>
                </c:pt>
                <c:pt idx="5">
                  <c:v>на 01.07.2016</c:v>
                </c:pt>
                <c:pt idx="6">
                  <c:v>на 01.08.2016</c:v>
                </c:pt>
                <c:pt idx="7">
                  <c:v>на 01.09.2016</c:v>
                </c:pt>
                <c:pt idx="8">
                  <c:v>на 01.10.2016</c:v>
                </c:pt>
                <c:pt idx="9">
                  <c:v>на 01.11.2016</c:v>
                </c:pt>
                <c:pt idx="10">
                  <c:v>на 01.12.2016</c:v>
                </c:pt>
                <c:pt idx="11">
                  <c:v>на 01.01.2017</c:v>
                </c:pt>
              </c:strCache>
            </c:strRef>
          </c:cat>
          <c:val>
            <c:numRef>
              <c:f>Лист1!$B$2:$B$13</c:f>
              <c:numCache>
                <c:formatCode>General</c:formatCode>
                <c:ptCount val="12"/>
                <c:pt idx="0">
                  <c:v>4.5999999999999996</c:v>
                </c:pt>
                <c:pt idx="1">
                  <c:v>2.5</c:v>
                </c:pt>
                <c:pt idx="2">
                  <c:v>2.7</c:v>
                </c:pt>
                <c:pt idx="3">
                  <c:v>3.1</c:v>
                </c:pt>
                <c:pt idx="4">
                  <c:v>-0.8</c:v>
                </c:pt>
                <c:pt idx="5">
                  <c:v>-1</c:v>
                </c:pt>
                <c:pt idx="6">
                  <c:v>-1.1000000000000001</c:v>
                </c:pt>
                <c:pt idx="7">
                  <c:v>-3.8</c:v>
                </c:pt>
                <c:pt idx="8">
                  <c:v>-3.7</c:v>
                </c:pt>
                <c:pt idx="9">
                  <c:v>-4.2</c:v>
                </c:pt>
                <c:pt idx="10">
                  <c:v>-5.9</c:v>
                </c:pt>
                <c:pt idx="11">
                  <c:v>-5.87</c:v>
                </c:pt>
              </c:numCache>
            </c:numRef>
          </c:val>
          <c:smooth val="0"/>
        </c:ser>
        <c:dLbls>
          <c:showLegendKey val="0"/>
          <c:showVal val="0"/>
          <c:showCatName val="0"/>
          <c:showSerName val="0"/>
          <c:showPercent val="0"/>
          <c:showBubbleSize val="0"/>
        </c:dLbls>
        <c:marker val="1"/>
        <c:smooth val="0"/>
        <c:axId val="101890688"/>
        <c:axId val="101908864"/>
      </c:lineChart>
      <c:catAx>
        <c:axId val="101890688"/>
        <c:scaling>
          <c:orientation val="minMax"/>
        </c:scaling>
        <c:delete val="0"/>
        <c:axPos val="b"/>
        <c:numFmt formatCode="dd/mm/yyyy" sourceLinked="1"/>
        <c:majorTickMark val="none"/>
        <c:minorTickMark val="none"/>
        <c:tickLblPos val="low"/>
        <c:crossAx val="101908864"/>
        <c:crosses val="autoZero"/>
        <c:auto val="1"/>
        <c:lblAlgn val="ctr"/>
        <c:lblOffset val="100"/>
        <c:noMultiLvlLbl val="0"/>
      </c:catAx>
      <c:valAx>
        <c:axId val="101908864"/>
        <c:scaling>
          <c:orientation val="minMax"/>
        </c:scaling>
        <c:delete val="0"/>
        <c:axPos val="l"/>
        <c:majorGridlines/>
        <c:numFmt formatCode="General" sourceLinked="1"/>
        <c:majorTickMark val="none"/>
        <c:minorTickMark val="none"/>
        <c:tickLblPos val="nextTo"/>
        <c:spPr>
          <a:ln w="9523">
            <a:noFill/>
          </a:ln>
        </c:spPr>
        <c:crossAx val="10189068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a:latin typeface="Times New Roman" panose="02020603050405020304" pitchFamily="18" charset="0"/>
                <a:cs typeface="Times New Roman" panose="02020603050405020304" pitchFamily="18" charset="0"/>
              </a:defRPr>
            </a:pPr>
            <a:r>
              <a:rPr lang="ru-RU" sz="1200" b="1">
                <a:latin typeface="Times New Roman" panose="02020603050405020304" pitchFamily="18" charset="0"/>
                <a:cs typeface="Times New Roman" panose="02020603050405020304" pitchFamily="18" charset="0"/>
              </a:rPr>
              <a:t>Соотношение невыясненных поступлений,</a:t>
            </a:r>
            <a:r>
              <a:rPr lang="ru-RU" sz="1200" b="1" baseline="0">
                <a:latin typeface="Times New Roman" panose="02020603050405020304" pitchFamily="18" charset="0"/>
                <a:cs typeface="Times New Roman" panose="02020603050405020304" pitchFamily="18" charset="0"/>
              </a:rPr>
              <a:t> </a:t>
            </a:r>
            <a:r>
              <a:rPr lang="ru-RU" sz="1200" b="1">
                <a:latin typeface="Times New Roman" panose="02020603050405020304" pitchFamily="18" charset="0"/>
                <a:cs typeface="Times New Roman" panose="02020603050405020304" pitchFamily="18" charset="0"/>
              </a:rPr>
              <a:t>зачисляемых</a:t>
            </a:r>
            <a:r>
              <a:rPr lang="ru-RU" sz="1200" b="1" baseline="0">
                <a:latin typeface="Times New Roman" panose="02020603050405020304" pitchFamily="18" charset="0"/>
                <a:cs typeface="Times New Roman" panose="02020603050405020304" pitchFamily="18" charset="0"/>
              </a:rPr>
              <a:t> </a:t>
            </a:r>
            <a:br>
              <a:rPr lang="ru-RU" sz="1200" b="1" baseline="0">
                <a:latin typeface="Times New Roman" panose="02020603050405020304" pitchFamily="18" charset="0"/>
                <a:cs typeface="Times New Roman" panose="02020603050405020304" pitchFamily="18" charset="0"/>
              </a:rPr>
            </a:br>
            <a:r>
              <a:rPr lang="ru-RU" sz="1200" b="1">
                <a:latin typeface="Times New Roman" panose="02020603050405020304" pitchFamily="18" charset="0"/>
                <a:cs typeface="Times New Roman" panose="02020603050405020304" pitchFamily="18" charset="0"/>
              </a:rPr>
              <a:t>в федеральный бюджет к общему объему поступлений </a:t>
            </a:r>
            <a:br>
              <a:rPr lang="ru-RU" sz="1200" b="1">
                <a:latin typeface="Times New Roman" panose="02020603050405020304" pitchFamily="18" charset="0"/>
                <a:cs typeface="Times New Roman" panose="02020603050405020304" pitchFamily="18" charset="0"/>
              </a:rPr>
            </a:br>
            <a:r>
              <a:rPr lang="ru-RU" sz="1200" b="1">
                <a:latin typeface="Times New Roman" panose="02020603050405020304" pitchFamily="18" charset="0"/>
                <a:cs typeface="Times New Roman" panose="02020603050405020304" pitchFamily="18" charset="0"/>
              </a:rPr>
              <a:t>в федеральный бюджет,</a:t>
            </a:r>
            <a:r>
              <a:rPr lang="ru-RU" sz="1200" b="1" baseline="0">
                <a:latin typeface="Times New Roman" panose="02020603050405020304" pitchFamily="18" charset="0"/>
                <a:cs typeface="Times New Roman" panose="02020603050405020304" pitchFamily="18" charset="0"/>
              </a:rPr>
              <a:t> </a:t>
            </a:r>
            <a:r>
              <a:rPr lang="ru-RU" sz="1200" b="1">
                <a:latin typeface="Times New Roman" panose="02020603050405020304" pitchFamily="18" charset="0"/>
                <a:cs typeface="Times New Roman" panose="02020603050405020304" pitchFamily="18" charset="0"/>
              </a:rPr>
              <a:t>млрд рублей</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доходы федерального бюджета, всего</c:v>
                </c:pt>
              </c:strCache>
            </c:strRef>
          </c:tx>
          <c:spPr>
            <a:solidFill>
              <a:schemeClr val="accent2"/>
            </a:solidFill>
          </c:spPr>
          <c:invertIfNegative val="0"/>
          <c:dLbls>
            <c:dLbl>
              <c:idx val="0"/>
              <c:layout>
                <c:manualLayout>
                  <c:x val="1.2954658355737659E-2"/>
                  <c:y val="0"/>
                </c:manualLayout>
              </c:layout>
              <c:tx>
                <c:rich>
                  <a:bodyPr/>
                  <a:lstStyle/>
                  <a:p>
                    <a:pPr>
                      <a:defRPr sz="998" b="0" i="0" baseline="0">
                        <a:latin typeface="Times New Roman" panose="02020603050405020304" pitchFamily="18" charset="0"/>
                        <a:cs typeface="Times New Roman" panose="02020603050405020304" pitchFamily="18" charset="0"/>
                      </a:defRPr>
                    </a:pPr>
                    <a:r>
                      <a:rPr lang="en-US"/>
                      <a:t>2</a:t>
                    </a:r>
                    <a:r>
                      <a:rPr lang="ru-RU"/>
                      <a:t> </a:t>
                    </a:r>
                    <a:r>
                      <a:rPr lang="en-US"/>
                      <a:t>907,33</a:t>
                    </a:r>
                  </a:p>
                </c:rich>
              </c:tx>
              <c:spPr/>
              <c:showLegendKey val="0"/>
              <c:showVal val="1"/>
              <c:showCatName val="0"/>
              <c:showSerName val="0"/>
              <c:showPercent val="0"/>
              <c:showBubbleSize val="0"/>
            </c:dLbl>
            <c:dLbl>
              <c:idx val="1"/>
              <c:layout>
                <c:manualLayout>
                  <c:x val="1.5113768081693912E-2"/>
                  <c:y val="0"/>
                </c:manualLayout>
              </c:layout>
              <c:tx>
                <c:rich>
                  <a:bodyPr/>
                  <a:lstStyle/>
                  <a:p>
                    <a:pPr>
                      <a:defRPr sz="998" b="0" i="0" baseline="0">
                        <a:latin typeface="Times New Roman" panose="02020603050405020304" pitchFamily="18" charset="0"/>
                        <a:cs typeface="Times New Roman" panose="02020603050405020304" pitchFamily="18" charset="0"/>
                      </a:defRPr>
                    </a:pPr>
                    <a:r>
                      <a:rPr lang="en-US"/>
                      <a:t>5</a:t>
                    </a:r>
                    <a:r>
                      <a:rPr lang="ru-RU"/>
                      <a:t> </a:t>
                    </a:r>
                    <a:r>
                      <a:rPr lang="en-US"/>
                      <a:t>864,34</a:t>
                    </a:r>
                  </a:p>
                </c:rich>
              </c:tx>
              <c:spPr/>
              <c:showLegendKey val="0"/>
              <c:showVal val="1"/>
              <c:showCatName val="0"/>
              <c:showSerName val="0"/>
              <c:showPercent val="0"/>
              <c:showBubbleSize val="0"/>
            </c:dLbl>
            <c:dLbl>
              <c:idx val="2"/>
              <c:layout>
                <c:manualLayout>
                  <c:x val="1.5334960850557414E-2"/>
                  <c:y val="0"/>
                </c:manualLayout>
              </c:layout>
              <c:tx>
                <c:rich>
                  <a:bodyPr/>
                  <a:lstStyle/>
                  <a:p>
                    <a:pPr>
                      <a:defRPr sz="998" b="0" i="0" baseline="0">
                        <a:latin typeface="Times New Roman" panose="02020603050405020304" pitchFamily="18" charset="0"/>
                        <a:cs typeface="Times New Roman" panose="02020603050405020304" pitchFamily="18" charset="0"/>
                      </a:defRPr>
                    </a:pPr>
                    <a:r>
                      <a:rPr lang="en-US"/>
                      <a:t>9</a:t>
                    </a:r>
                    <a:r>
                      <a:rPr lang="ru-RU"/>
                      <a:t> </a:t>
                    </a:r>
                    <a:r>
                      <a:rPr lang="en-US"/>
                      <a:t>287,57</a:t>
                    </a:r>
                  </a:p>
                </c:rich>
              </c:tx>
              <c:spPr/>
              <c:showLegendKey val="0"/>
              <c:showVal val="1"/>
              <c:showCatName val="0"/>
              <c:showSerName val="0"/>
              <c:showPercent val="0"/>
              <c:showBubbleSize val="0"/>
            </c:dLbl>
            <c:dLbl>
              <c:idx val="3"/>
              <c:layout>
                <c:manualLayout>
                  <c:x val="1.9431987533606459E-2"/>
                  <c:y val="6.5224568960684576E-17"/>
                </c:manualLayout>
              </c:layout>
              <c:tx>
                <c:rich>
                  <a:bodyPr/>
                  <a:lstStyle/>
                  <a:p>
                    <a:pPr>
                      <a:defRPr sz="998" b="0" i="0" baseline="0">
                        <a:latin typeface="Times New Roman" panose="02020603050405020304" pitchFamily="18" charset="0"/>
                        <a:cs typeface="Times New Roman" panose="02020603050405020304" pitchFamily="18" charset="0"/>
                      </a:defRPr>
                    </a:pPr>
                    <a:r>
                      <a:rPr lang="ru-RU" sz="998" b="0">
                        <a:latin typeface="Times New Roman" panose="02020603050405020304" pitchFamily="18" charset="0"/>
                        <a:cs typeface="Times New Roman" panose="02020603050405020304" pitchFamily="18" charset="0"/>
                      </a:rPr>
                      <a:t>13 460</a:t>
                    </a:r>
                    <a:endParaRPr lang="en-US"/>
                  </a:p>
                </c:rich>
              </c:tx>
              <c:spPr/>
              <c:showLegendKey val="0"/>
              <c:showVal val="0"/>
              <c:showCatName val="0"/>
              <c:showSerName val="0"/>
              <c:showPercent val="0"/>
              <c:showBubbleSize val="0"/>
            </c:dLbl>
            <c:txPr>
              <a:bodyPr/>
              <a:lstStyle/>
              <a:p>
                <a:pPr>
                  <a:defRPr sz="998"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I квартал</c:v>
                </c:pt>
                <c:pt idx="1">
                  <c:v>I полугодие</c:v>
                </c:pt>
                <c:pt idx="2">
                  <c:v>9 месяцев</c:v>
                </c:pt>
                <c:pt idx="3">
                  <c:v> 2016 год</c:v>
                </c:pt>
              </c:strCache>
            </c:strRef>
          </c:cat>
          <c:val>
            <c:numRef>
              <c:f>Лист1!$B$2:$B$5</c:f>
              <c:numCache>
                <c:formatCode>General</c:formatCode>
                <c:ptCount val="4"/>
                <c:pt idx="0">
                  <c:v>2907.33</c:v>
                </c:pt>
                <c:pt idx="1">
                  <c:v>5864.34</c:v>
                </c:pt>
                <c:pt idx="2">
                  <c:v>9287.57</c:v>
                </c:pt>
                <c:pt idx="3">
                  <c:v>13460</c:v>
                </c:pt>
              </c:numCache>
            </c:numRef>
          </c:val>
        </c:ser>
        <c:ser>
          <c:idx val="1"/>
          <c:order val="1"/>
          <c:tx>
            <c:strRef>
              <c:f>Лист1!$C$1</c:f>
              <c:strCache>
                <c:ptCount val="1"/>
                <c:pt idx="0">
                  <c:v>невыясненные поступления, зачисляемые в федеральный бюджет</c:v>
                </c:pt>
              </c:strCache>
            </c:strRef>
          </c:tx>
          <c:spPr>
            <a:solidFill>
              <a:schemeClr val="accent1"/>
            </a:solidFill>
          </c:spPr>
          <c:invertIfNegative val="0"/>
          <c:dLbls>
            <c:dLbl>
              <c:idx val="0"/>
              <c:layout>
                <c:manualLayout>
                  <c:x val="6.477329177868839E-3"/>
                  <c:y val="-4.2692938324671949E-2"/>
                </c:manualLayout>
              </c:layout>
              <c:showLegendKey val="0"/>
              <c:showVal val="1"/>
              <c:showCatName val="0"/>
              <c:showSerName val="0"/>
              <c:showPercent val="0"/>
              <c:showBubbleSize val="0"/>
            </c:dLbl>
            <c:dLbl>
              <c:idx val="1"/>
              <c:layout>
                <c:manualLayout>
                  <c:x val="8.6364389038250926E-3"/>
                  <c:y val="-4.2692938324671949E-2"/>
                </c:manualLayout>
              </c:layout>
              <c:showLegendKey val="0"/>
              <c:showVal val="1"/>
              <c:showCatName val="0"/>
              <c:showSerName val="0"/>
              <c:showPercent val="0"/>
              <c:showBubbleSize val="0"/>
            </c:dLbl>
            <c:dLbl>
              <c:idx val="2"/>
              <c:layout>
                <c:manualLayout>
                  <c:x val="1.2954658355737638E-2"/>
                  <c:y val="-4.980842804545061E-2"/>
                </c:manualLayout>
              </c:layout>
              <c:showLegendKey val="0"/>
              <c:showVal val="1"/>
              <c:showCatName val="0"/>
              <c:showSerName val="0"/>
              <c:showPercent val="0"/>
              <c:showBubbleSize val="0"/>
            </c:dLbl>
            <c:dLbl>
              <c:idx val="3"/>
              <c:layout>
                <c:manualLayout>
                  <c:x val="1.2954658355737638E-2"/>
                  <c:y val="-4.625068318506128E-2"/>
                </c:manualLayout>
              </c:layout>
              <c:showLegendKey val="0"/>
              <c:showVal val="1"/>
              <c:showCatName val="0"/>
              <c:showSerName val="0"/>
              <c:showPercent val="0"/>
              <c:showBubbleSize val="0"/>
            </c:dLbl>
            <c:txPr>
              <a:bodyPr/>
              <a:lstStyle/>
              <a:p>
                <a:pPr>
                  <a:defRPr>
                    <a:solidFill>
                      <a:schemeClr val="tx2"/>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I квартал</c:v>
                </c:pt>
                <c:pt idx="1">
                  <c:v>I полугодие</c:v>
                </c:pt>
                <c:pt idx="2">
                  <c:v>9 месяцев</c:v>
                </c:pt>
                <c:pt idx="3">
                  <c:v> 2016 год</c:v>
                </c:pt>
              </c:strCache>
            </c:strRef>
          </c:cat>
          <c:val>
            <c:numRef>
              <c:f>Лист1!$C$2:$C$5</c:f>
              <c:numCache>
                <c:formatCode>General</c:formatCode>
                <c:ptCount val="4"/>
                <c:pt idx="0">
                  <c:v>2.7</c:v>
                </c:pt>
                <c:pt idx="1">
                  <c:v>-1</c:v>
                </c:pt>
                <c:pt idx="2">
                  <c:v>-3.7</c:v>
                </c:pt>
                <c:pt idx="3">
                  <c:v>-5.87</c:v>
                </c:pt>
              </c:numCache>
            </c:numRef>
          </c:val>
        </c:ser>
        <c:dLbls>
          <c:showLegendKey val="0"/>
          <c:showVal val="0"/>
          <c:showCatName val="0"/>
          <c:showSerName val="0"/>
          <c:showPercent val="0"/>
          <c:showBubbleSize val="0"/>
        </c:dLbls>
        <c:gapWidth val="55"/>
        <c:gapDepth val="55"/>
        <c:shape val="cylinder"/>
        <c:axId val="101986304"/>
        <c:axId val="101987840"/>
        <c:axId val="0"/>
      </c:bar3DChart>
      <c:catAx>
        <c:axId val="101986304"/>
        <c:scaling>
          <c:orientation val="minMax"/>
        </c:scaling>
        <c:delete val="0"/>
        <c:axPos val="b"/>
        <c:numFmt formatCode="General" sourceLinked="1"/>
        <c:majorTickMark val="none"/>
        <c:minorTickMark val="none"/>
        <c:tickLblPos val="low"/>
        <c:txPr>
          <a:bodyPr/>
          <a:lstStyle/>
          <a:p>
            <a:pPr>
              <a:defRPr baseline="0">
                <a:latin typeface="Times New Roman" panose="02020603050405020304" pitchFamily="18" charset="0"/>
              </a:defRPr>
            </a:pPr>
            <a:endParaRPr lang="ru-RU"/>
          </a:p>
        </c:txPr>
        <c:crossAx val="101987840"/>
        <c:crosses val="autoZero"/>
        <c:auto val="1"/>
        <c:lblAlgn val="ctr"/>
        <c:lblOffset val="100"/>
        <c:noMultiLvlLbl val="0"/>
      </c:catAx>
      <c:valAx>
        <c:axId val="101987840"/>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01986304"/>
        <c:crosses val="autoZero"/>
        <c:crossBetween val="between"/>
      </c:valAx>
      <c:spPr>
        <a:noFill/>
        <a:ln w="25360">
          <a:noFill/>
        </a:ln>
      </c:spPr>
    </c:plotArea>
    <c:legend>
      <c:legendPos val="r"/>
      <c:layout>
        <c:manualLayout>
          <c:xMode val="edge"/>
          <c:yMode val="edge"/>
          <c:x val="0.66952141238755414"/>
          <c:y val="0.39167094679202835"/>
          <c:w val="0.31680337393723224"/>
          <c:h val="0.30242283205321657"/>
        </c:manualLayout>
      </c:layout>
      <c:overlay val="0"/>
      <c:txPr>
        <a:bodyPr/>
        <a:lstStyle/>
        <a:p>
          <a:pPr>
            <a:defRPr baseline="0">
              <a:latin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Перечисление средств с единых счетов бюджетов, необходимых для осуществления возврата (зачета, уточнения), в 2016 году, млрд рублей</a:t>
            </a:r>
          </a:p>
        </c:rich>
      </c:tx>
      <c:layout>
        <c:manualLayout>
          <c:xMode val="edge"/>
          <c:yMode val="edge"/>
          <c:x val="0.11718763507702454"/>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621766506690908E-2"/>
          <c:y val="0.30484067269369108"/>
          <c:w val="0.576395815106445"/>
          <c:h val="0.63001531058617677"/>
        </c:manualLayout>
      </c:layout>
      <c:pie3DChart>
        <c:varyColors val="1"/>
        <c:ser>
          <c:idx val="0"/>
          <c:order val="0"/>
          <c:tx>
            <c:strRef>
              <c:f>Лист1!$B$1</c:f>
              <c:strCache>
                <c:ptCount val="1"/>
                <c:pt idx="0">
                  <c:v>Перечисление средств с единых счетов бюджетов, необходимых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c:v>
                </c:pt>
              </c:strCache>
            </c:strRef>
          </c:tx>
          <c:explosion val="25"/>
          <c:dPt>
            <c:idx val="0"/>
            <c:bubble3D val="0"/>
          </c:dPt>
          <c:dPt>
            <c:idx val="1"/>
            <c:bubble3D val="0"/>
          </c:dPt>
          <c:dPt>
            <c:idx val="2"/>
            <c:bubble3D val="0"/>
          </c:dPt>
          <c:dPt>
            <c:idx val="3"/>
            <c:bubble3D val="0"/>
          </c:dPt>
          <c:dLbls>
            <c:dLbl>
              <c:idx val="0"/>
              <c:tx>
                <c:rich>
                  <a:bodyPr/>
                  <a:lstStyle/>
                  <a:p>
                    <a:r>
                      <a:rPr lang="en-US">
                        <a:latin typeface="Times New Roman" panose="02020603050405020304" pitchFamily="18" charset="0"/>
                        <a:cs typeface="Times New Roman" panose="02020603050405020304" pitchFamily="18" charset="0"/>
                      </a:rPr>
                      <a:t>1</a:t>
                    </a:r>
                    <a:r>
                      <a:rPr lang="ru-RU">
                        <a:latin typeface="Times New Roman" panose="02020603050405020304" pitchFamily="18" charset="0"/>
                        <a:cs typeface="Times New Roman" panose="02020603050405020304" pitchFamily="18" charset="0"/>
                      </a:rPr>
                      <a:t> 412,19</a:t>
                    </a:r>
                  </a:p>
                  <a:p>
                    <a:r>
                      <a:rPr lang="en-US">
                        <a:latin typeface="Times New Roman" panose="02020603050405020304" pitchFamily="18" charset="0"/>
                        <a:cs typeface="Times New Roman" panose="02020603050405020304" pitchFamily="18" charset="0"/>
                      </a:rPr>
                      <a:t> </a:t>
                    </a:r>
                    <a:r>
                      <a:rPr lang="ru-RU">
                        <a:latin typeface="Times New Roman" panose="02020603050405020304" pitchFamily="18" charset="0"/>
                        <a:cs typeface="Times New Roman" panose="02020603050405020304" pitchFamily="18" charset="0"/>
                      </a:rPr>
                      <a:t>81,31 </a:t>
                    </a:r>
                    <a:r>
                      <a:rPr lang="en-US">
                        <a:latin typeface="Times New Roman" panose="02020603050405020304" pitchFamily="18" charset="0"/>
                        <a:cs typeface="Times New Roman" panose="02020603050405020304" pitchFamily="18" charset="0"/>
                      </a:rPr>
                      <a:t>%</a:t>
                    </a:r>
                    <a:endParaRPr lang="en-US"/>
                  </a:p>
                </c:rich>
              </c:tx>
              <c:showLegendKey val="0"/>
              <c:showVal val="0"/>
              <c:showCatName val="0"/>
              <c:showSerName val="0"/>
              <c:showPercent val="0"/>
              <c:showBubbleSize val="0"/>
            </c:dLbl>
            <c:dLbl>
              <c:idx val="1"/>
              <c:layout>
                <c:manualLayout>
                  <c:x val="-6.3406785700604327E-3"/>
                  <c:y val="0.21673282494248886"/>
                </c:manualLayout>
              </c:layout>
              <c:tx>
                <c:rich>
                  <a:bodyPr/>
                  <a:lstStyle/>
                  <a:p>
                    <a:r>
                      <a:rPr lang="ru-RU">
                        <a:latin typeface="Times New Roman" panose="02020603050405020304" pitchFamily="18" charset="0"/>
                        <a:cs typeface="Times New Roman" panose="02020603050405020304" pitchFamily="18" charset="0"/>
                      </a:rPr>
                      <a:t>176,77</a:t>
                    </a:r>
                  </a:p>
                  <a:p>
                    <a:r>
                      <a:rPr lang="ru-RU">
                        <a:latin typeface="Times New Roman" panose="02020603050405020304" pitchFamily="18" charset="0"/>
                        <a:cs typeface="Times New Roman" panose="02020603050405020304" pitchFamily="18" charset="0"/>
                      </a:rPr>
                      <a:t>10,18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2"/>
              <c:layout>
                <c:manualLayout>
                  <c:x val="2.4202636378464138E-2"/>
                  <c:y val="-2.5576891429341164E-2"/>
                </c:manualLayout>
              </c:layout>
              <c:tx>
                <c:rich>
                  <a:bodyPr/>
                  <a:lstStyle/>
                  <a:p>
                    <a:r>
                      <a:rPr lang="ru-RU">
                        <a:latin typeface="Times New Roman" panose="02020603050405020304" pitchFamily="18" charset="0"/>
                        <a:cs typeface="Times New Roman" panose="02020603050405020304" pitchFamily="18" charset="0"/>
                      </a:rPr>
                      <a:t>93,07</a:t>
                    </a:r>
                  </a:p>
                  <a:p>
                    <a:r>
                      <a:rPr lang="ru-RU">
                        <a:latin typeface="Times New Roman" panose="02020603050405020304" pitchFamily="18" charset="0"/>
                        <a:cs typeface="Times New Roman" panose="02020603050405020304" pitchFamily="18" charset="0"/>
                      </a:rPr>
                      <a:t>5,36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3"/>
              <c:layout>
                <c:manualLayout>
                  <c:x val="0.10728777530386452"/>
                  <c:y val="-1.5365310812407343E-2"/>
                </c:manualLayout>
              </c:layout>
              <c:tx>
                <c:rich>
                  <a:bodyPr/>
                  <a:lstStyle/>
                  <a:p>
                    <a:r>
                      <a:rPr lang="ru-RU">
                        <a:latin typeface="Times New Roman" panose="02020603050405020304" pitchFamily="18" charset="0"/>
                        <a:cs typeface="Times New Roman" panose="02020603050405020304" pitchFamily="18" charset="0"/>
                      </a:rPr>
                      <a:t>54,73</a:t>
                    </a:r>
                  </a:p>
                  <a:p>
                    <a:r>
                      <a:rPr lang="ru-RU">
                        <a:latin typeface="Times New Roman" panose="02020603050405020304" pitchFamily="18" charset="0"/>
                        <a:cs typeface="Times New Roman" panose="02020603050405020304" pitchFamily="18" charset="0"/>
                      </a:rPr>
                      <a:t>3,15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1"/>
            <c:showBubbleSize val="0"/>
            <c:showLeaderLines val="0"/>
          </c:dLbls>
          <c:cat>
            <c:strRef>
              <c:f>Лист1!$A$2:$A$5</c:f>
              <c:strCache>
                <c:ptCount val="4"/>
                <c:pt idx="0">
                  <c:v>привлечено с единого счета федерального бюджета</c:v>
                </c:pt>
                <c:pt idx="1">
                  <c:v>привлечено с единых счетов государственных внебюджетных фондов</c:v>
                </c:pt>
                <c:pt idx="2">
                  <c:v>привлечено с единых счетов бюджетов субъектов Российской Федерации</c:v>
                </c:pt>
                <c:pt idx="3">
                  <c:v>привлечено с единых счетов местных бюджетов</c:v>
                </c:pt>
              </c:strCache>
            </c:strRef>
          </c:cat>
          <c:val>
            <c:numRef>
              <c:f>Лист1!$B$2:$B$5</c:f>
              <c:numCache>
                <c:formatCode>General</c:formatCode>
                <c:ptCount val="4"/>
                <c:pt idx="0">
                  <c:v>1412.19</c:v>
                </c:pt>
                <c:pt idx="1">
                  <c:v>176.77</c:v>
                </c:pt>
                <c:pt idx="2">
                  <c:v>93.07</c:v>
                </c:pt>
                <c:pt idx="3">
                  <c:v>54.73</c:v>
                </c:pt>
              </c:numCache>
            </c:numRef>
          </c:val>
        </c:ser>
        <c:dLbls>
          <c:showLegendKey val="0"/>
          <c:showVal val="0"/>
          <c:showCatName val="0"/>
          <c:showSerName val="0"/>
          <c:showPercent val="0"/>
          <c:showBubbleSize val="0"/>
          <c:showLeaderLines val="0"/>
        </c:dLbls>
      </c:pie3DChart>
      <c:spPr>
        <a:noFill/>
        <a:ln w="25387">
          <a:noFill/>
        </a:ln>
      </c:spPr>
    </c:plotArea>
    <c:legend>
      <c:legendPos val="r"/>
      <c:layout>
        <c:manualLayout>
          <c:xMode val="edge"/>
          <c:yMode val="edge"/>
          <c:x val="0.65145551203383112"/>
          <c:y val="0.21220686303101002"/>
          <c:w val="0.33570489597119546"/>
          <c:h val="0.62768815009234957"/>
        </c:manualLayout>
      </c:layout>
      <c:overlay val="0"/>
      <c:txPr>
        <a:bodyPr/>
        <a:lstStyle/>
        <a:p>
          <a:pPr>
            <a:defRPr baseline="0">
              <a:latin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b="1" i="0" u="none" strike="noStrike" baseline="0">
                <a:solidFill>
                  <a:srgbClr val="000000"/>
                </a:solidFill>
                <a:latin typeface="Times New Roman"/>
                <a:ea typeface="Times New Roman"/>
                <a:cs typeface="Times New Roman"/>
              </a:defRPr>
            </a:pPr>
            <a:r>
              <a:rPr lang="ru-RU" sz="1200"/>
              <a:t>Наличие</a:t>
            </a:r>
            <a:r>
              <a:rPr lang="ru-RU" sz="1200" baseline="0"/>
              <a:t> </a:t>
            </a:r>
            <a:r>
              <a:rPr lang="ru-RU" sz="1200"/>
              <a:t>в 66 соглашениях о кассовом обслуживании положений о передаче ТОФК</a:t>
            </a:r>
            <a:r>
              <a:rPr lang="ru-RU" sz="1200" baseline="0"/>
              <a:t> </a:t>
            </a:r>
            <a:r>
              <a:rPr lang="ru-RU" sz="1200"/>
              <a:t>следующих функций:</a:t>
            </a:r>
          </a:p>
        </c:rich>
      </c:tx>
      <c:layout>
        <c:manualLayout>
          <c:xMode val="edge"/>
          <c:yMode val="edge"/>
          <c:x val="0.1675406840258091"/>
          <c:y val="1.1634844232751703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1976335275163775"/>
          <c:y val="0.22968732935228733"/>
          <c:w val="0.63869438576275528"/>
          <c:h val="0.44726262158406671"/>
        </c:manualLayout>
      </c:layout>
      <c:pie3DChart>
        <c:varyColors val="1"/>
        <c:ser>
          <c:idx val="0"/>
          <c:order val="0"/>
          <c:tx>
            <c:strRef>
              <c:f>Лист1!$B$1</c:f>
              <c:strCache>
                <c:ptCount val="1"/>
                <c:pt idx="0">
                  <c:v>Кассовое обслуживание исполенния бюджетов субъектов Российской Федерации (по состоянию на 01.01.2015)</c:v>
                </c:pt>
              </c:strCache>
            </c:strRef>
          </c:tx>
          <c:explosion val="16"/>
          <c:dPt>
            <c:idx val="0"/>
            <c:bubble3D val="0"/>
            <c:explosion val="4"/>
            <c:spPr>
              <a:solidFill>
                <a:srgbClr val="1F497D">
                  <a:lumMod val="60000"/>
                  <a:lumOff val="40000"/>
                </a:srgbClr>
              </a:solidFill>
            </c:spPr>
          </c:dPt>
          <c:dPt>
            <c:idx val="1"/>
            <c:bubble3D val="0"/>
            <c:explosion val="5"/>
            <c:spPr>
              <a:solidFill>
                <a:sysClr val="window" lastClr="FFFFFF">
                  <a:lumMod val="75000"/>
                </a:sysClr>
              </a:solidFill>
            </c:spPr>
          </c:dPt>
          <c:dPt>
            <c:idx val="2"/>
            <c:bubble3D val="0"/>
            <c:explosion val="2"/>
            <c:spPr>
              <a:solidFill>
                <a:srgbClr val="F79646">
                  <a:lumMod val="60000"/>
                  <a:lumOff val="40000"/>
                </a:srgbClr>
              </a:solidFill>
            </c:spPr>
          </c:dPt>
          <c:dPt>
            <c:idx val="3"/>
            <c:bubble3D val="0"/>
            <c:spPr>
              <a:solidFill>
                <a:srgbClr val="4BACC6">
                  <a:lumMod val="60000"/>
                  <a:lumOff val="40000"/>
                </a:srgbClr>
              </a:solidFill>
            </c:spPr>
          </c:dPt>
          <c:dLbls>
            <c:dLbl>
              <c:idx val="0"/>
              <c:layout>
                <c:manualLayout>
                  <c:x val="9.913760779902513E-3"/>
                  <c:y val="-3.9142033475323785E-3"/>
                </c:manualLayout>
              </c:layout>
              <c:tx>
                <c:rich>
                  <a:bodyPr/>
                  <a:lstStyle/>
                  <a:p>
                    <a:r>
                      <a:rPr lang="ru-RU" sz="1000" b="0" i="0" u="none" strike="noStrike" baseline="0">
                        <a:solidFill>
                          <a:srgbClr val="000000"/>
                        </a:solidFill>
                        <a:latin typeface="Times New Roman"/>
                        <a:cs typeface="Times New Roman"/>
                      </a:rPr>
                      <a:t>1</a:t>
                    </a:r>
                  </a:p>
                  <a:p>
                    <a:r>
                      <a:rPr lang="ru-RU" sz="1000" b="0" i="0" u="none" strike="noStrike" baseline="0">
                        <a:solidFill>
                          <a:srgbClr val="000000"/>
                        </a:solidFill>
                        <a:latin typeface="Times New Roman"/>
                        <a:cs typeface="Times New Roman"/>
                      </a:rPr>
                      <a:t>1,5 %</a:t>
                    </a:r>
                    <a:endParaRPr lang="ru-RU" sz="798" b="0" i="0" u="none" strike="noStrike" baseline="0">
                      <a:solidFill>
                        <a:srgbClr val="000000"/>
                      </a:solidFill>
                      <a:latin typeface="Times New Roman"/>
                      <a:cs typeface="Times New Roman"/>
                    </a:endParaRPr>
                  </a:p>
                </c:rich>
              </c:tx>
              <c:dLblPos val="bestFit"/>
              <c:showLegendKey val="0"/>
              <c:showVal val="0"/>
              <c:showCatName val="0"/>
              <c:showSerName val="0"/>
              <c:showPercent val="0"/>
              <c:showBubbleSize val="0"/>
            </c:dLbl>
            <c:dLbl>
              <c:idx val="1"/>
              <c:tx>
                <c:rich>
                  <a:bodyPr/>
                  <a:lstStyle/>
                  <a:p>
                    <a:r>
                      <a:rPr lang="ru-RU" sz="1000" b="0" i="0" u="none" strike="noStrike" baseline="0">
                        <a:solidFill>
                          <a:srgbClr val="000000"/>
                        </a:solidFill>
                        <a:latin typeface="Times New Roman"/>
                        <a:cs typeface="Times New Roman"/>
                      </a:rPr>
                      <a:t>39</a:t>
                    </a:r>
                  </a:p>
                  <a:p>
                    <a:r>
                      <a:rPr lang="ru-RU" sz="1000" b="0" i="0" u="none" strike="noStrike" baseline="0">
                        <a:solidFill>
                          <a:srgbClr val="000000"/>
                        </a:solidFill>
                        <a:latin typeface="Times New Roman"/>
                        <a:cs typeface="Times New Roman"/>
                      </a:rPr>
                      <a:t>59,1 %</a:t>
                    </a:r>
                    <a:endParaRPr lang="ru-RU" sz="798" b="0" i="0" u="none" strike="noStrike" baseline="0">
                      <a:solidFill>
                        <a:srgbClr val="000000"/>
                      </a:solidFill>
                      <a:latin typeface="Times New Roman"/>
                      <a:cs typeface="Times New Roman"/>
                    </a:endParaRPr>
                  </a:p>
                </c:rich>
              </c:tx>
              <c:showLegendKey val="0"/>
              <c:showVal val="0"/>
              <c:showCatName val="0"/>
              <c:showSerName val="0"/>
              <c:showPercent val="0"/>
              <c:showBubbleSize val="0"/>
            </c:dLbl>
            <c:dLbl>
              <c:idx val="2"/>
              <c:tx>
                <c:rich>
                  <a:bodyPr/>
                  <a:lstStyle/>
                  <a:p>
                    <a:r>
                      <a:rPr lang="ru-RU" sz="1000" b="0" i="0" u="none" strike="noStrike" baseline="0">
                        <a:solidFill>
                          <a:srgbClr val="000000"/>
                        </a:solidFill>
                        <a:latin typeface="Times New Roman"/>
                        <a:cs typeface="Times New Roman"/>
                      </a:rPr>
                      <a:t>17</a:t>
                    </a:r>
                  </a:p>
                  <a:p>
                    <a:r>
                      <a:rPr lang="ru-RU" sz="1000" b="0" i="0" u="none" strike="noStrike" baseline="0">
                        <a:solidFill>
                          <a:srgbClr val="000000"/>
                        </a:solidFill>
                        <a:latin typeface="Times New Roman"/>
                        <a:cs typeface="Times New Roman"/>
                      </a:rPr>
                      <a:t>25,8 %</a:t>
                    </a:r>
                    <a:endParaRPr lang="ru-RU" sz="798" b="0" i="0" u="none" strike="noStrike" baseline="0">
                      <a:solidFill>
                        <a:srgbClr val="000000"/>
                      </a:solidFill>
                      <a:latin typeface="Times New Roman"/>
                      <a:cs typeface="Times New Roman"/>
                    </a:endParaRPr>
                  </a:p>
                </c:rich>
              </c:tx>
              <c:showLegendKey val="0"/>
              <c:showVal val="0"/>
              <c:showCatName val="0"/>
              <c:showSerName val="0"/>
              <c:showPercent val="0"/>
              <c:showBubbleSize val="0"/>
            </c:dLbl>
            <c:dLbl>
              <c:idx val="3"/>
              <c:layout>
                <c:manualLayout>
                  <c:x val="-0.13126308363996872"/>
                  <c:y val="9.2103609999569722E-2"/>
                </c:manualLayout>
              </c:layout>
              <c:tx>
                <c:rich>
                  <a:bodyPr/>
                  <a:lstStyle/>
                  <a:p>
                    <a:r>
                      <a:rPr lang="ru-RU" sz="1000" b="0" i="0" u="none" strike="noStrike" kern="1200" baseline="0">
                        <a:solidFill>
                          <a:srgbClr val="000000"/>
                        </a:solidFill>
                        <a:latin typeface="Times New Roman"/>
                        <a:cs typeface="Times New Roman"/>
                      </a:rPr>
                      <a:t> </a:t>
                    </a:r>
                    <a:r>
                      <a:rPr lang="ru-RU" sz="1000" b="0" i="0" u="none" strike="noStrike" baseline="0">
                        <a:solidFill>
                          <a:srgbClr val="000000"/>
                        </a:solidFill>
                        <a:latin typeface="Times New Roman"/>
                        <a:cs typeface="Times New Roman"/>
                      </a:rPr>
                      <a:t>9</a:t>
                    </a:r>
                  </a:p>
                  <a:p>
                    <a:r>
                      <a:rPr lang="ru-RU" sz="1000" b="0" i="0" u="none" strike="noStrike" baseline="0">
                        <a:solidFill>
                          <a:srgbClr val="000000"/>
                        </a:solidFill>
                        <a:latin typeface="Times New Roman"/>
                        <a:cs typeface="Times New Roman"/>
                      </a:rPr>
                      <a:t>13,6 %</a:t>
                    </a:r>
                    <a:endParaRPr lang="ru-RU" sz="798" b="0" i="0" u="none" strike="noStrike" baseline="0">
                      <a:solidFill>
                        <a:srgbClr val="000000"/>
                      </a:solidFill>
                      <a:latin typeface="Times New Roman"/>
                      <a:cs typeface="Times New Roman"/>
                    </a:endParaRPr>
                  </a:p>
                </c:rich>
              </c:tx>
              <c:dLblPos val="bestFit"/>
              <c:showLegendKey val="0"/>
              <c:showVal val="0"/>
              <c:showCatName val="0"/>
              <c:showSerName val="0"/>
              <c:showPercent val="0"/>
              <c:showBubbleSize val="0"/>
            </c:dLbl>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dLbls>
          <c:cat>
            <c:strRef>
              <c:f>Лист1!$A$2:$A$5</c:f>
              <c:strCache>
                <c:ptCount val="4"/>
                <c:pt idx="0">
                  <c:v>по учету бюджетных обязательств</c:v>
                </c:pt>
                <c:pt idx="1">
                  <c:v>по санкционированию оплаты денежных обязательств</c:v>
                </c:pt>
                <c:pt idx="2">
                  <c:v>по учету бюджетных обязательств и санкционированию оплаты денежных обязательств</c:v>
                </c:pt>
                <c:pt idx="3">
                  <c:v>полномочия не переданы</c:v>
                </c:pt>
              </c:strCache>
            </c:strRef>
          </c:cat>
          <c:val>
            <c:numRef>
              <c:f>Лист1!$B$2:$B$5</c:f>
              <c:numCache>
                <c:formatCode>General</c:formatCode>
                <c:ptCount val="4"/>
                <c:pt idx="0">
                  <c:v>1</c:v>
                </c:pt>
                <c:pt idx="1">
                  <c:v>39</c:v>
                </c:pt>
                <c:pt idx="2">
                  <c:v>17</c:v>
                </c:pt>
                <c:pt idx="3">
                  <c:v>9</c:v>
                </c:pt>
              </c:numCache>
            </c:numRef>
          </c:val>
        </c:ser>
        <c:dLbls>
          <c:showLegendKey val="0"/>
          <c:showVal val="0"/>
          <c:showCatName val="0"/>
          <c:showSerName val="0"/>
          <c:showPercent val="0"/>
          <c:showBubbleSize val="0"/>
          <c:showLeaderLines val="1"/>
        </c:dLbls>
      </c:pie3DChart>
      <c:spPr>
        <a:noFill/>
        <a:ln w="25344">
          <a:noFill/>
        </a:ln>
      </c:spPr>
    </c:plotArea>
    <c:legend>
      <c:legendPos val="b"/>
      <c:layout>
        <c:manualLayout>
          <c:xMode val="edge"/>
          <c:yMode val="edge"/>
          <c:x val="5.4425779099969524E-3"/>
          <c:y val="0.69951683906461992"/>
          <c:w val="0.94348852073090961"/>
          <c:h val="0.25725138699876882"/>
        </c:manualLayout>
      </c:layout>
      <c:overlay val="0"/>
      <c:txPr>
        <a:bodyPr/>
        <a:lstStyle/>
        <a:p>
          <a:pPr>
            <a:defRPr sz="998"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ln>
      <a:noFill/>
    </a:ln>
  </c:spPr>
  <c:txPr>
    <a:bodyPr/>
    <a:lstStyle/>
    <a:p>
      <a:pPr>
        <a:defRPr sz="1397" b="0" i="0" u="none" strike="noStrike" baseline="0">
          <a:solidFill>
            <a:srgbClr val="000000"/>
          </a:solidFill>
          <a:latin typeface="Times New Roman"/>
          <a:ea typeface="Times New Roman"/>
          <a:cs typeface="Times New Roman"/>
        </a:defRPr>
      </a:pPr>
      <a:endParaRPr lang="ru-RU"/>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99"/>
            </a:pPr>
            <a:r>
              <a:rPr lang="ru-RU" sz="1200">
                <a:latin typeface="Times New Roman" panose="02020603050405020304" pitchFamily="18" charset="0"/>
                <a:cs typeface="Times New Roman" panose="02020603050405020304" pitchFamily="18" charset="0"/>
              </a:rPr>
              <a:t>Перечисленные</a:t>
            </a:r>
            <a:r>
              <a:rPr lang="ru-RU" sz="1200" baseline="0">
                <a:latin typeface="Times New Roman" panose="02020603050405020304" pitchFamily="18" charset="0"/>
                <a:cs typeface="Times New Roman" panose="02020603050405020304" pitchFamily="18" charset="0"/>
              </a:rPr>
              <a:t> в 2016 году </a:t>
            </a:r>
            <a:r>
              <a:rPr lang="ru-RU" sz="1200">
                <a:latin typeface="Times New Roman" panose="02020603050405020304" pitchFamily="18" charset="0"/>
                <a:cs typeface="Times New Roman" panose="02020603050405020304" pitchFamily="18" charset="0"/>
              </a:rPr>
              <a:t>ввозные таможенные</a:t>
            </a:r>
            <a:r>
              <a:rPr lang="ru-RU" sz="1200" baseline="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пошлины</a:t>
            </a:r>
            <a:r>
              <a:rPr lang="ru-RU" sz="1200" baseline="0">
                <a:latin typeface="Times New Roman" panose="02020603050405020304" pitchFamily="18" charset="0"/>
                <a:cs typeface="Times New Roman" panose="02020603050405020304" pitchFamily="18" charset="0"/>
              </a:rPr>
              <a:t>, специальные, антидемпинговые </a:t>
            </a:r>
            <a:br>
              <a:rPr lang="ru-RU" sz="1200" baseline="0">
                <a:latin typeface="Times New Roman" panose="02020603050405020304" pitchFamily="18" charset="0"/>
                <a:cs typeface="Times New Roman" panose="02020603050405020304" pitchFamily="18" charset="0"/>
              </a:rPr>
            </a:br>
            <a:r>
              <a:rPr lang="ru-RU" sz="1200" baseline="0">
                <a:latin typeface="Times New Roman" panose="02020603050405020304" pitchFamily="18" charset="0"/>
                <a:cs typeface="Times New Roman" panose="02020603050405020304" pitchFamily="18" charset="0"/>
              </a:rPr>
              <a:t>и компенсационные пошлины, млрд рублей</a:t>
            </a:r>
            <a:endParaRPr lang="ru-RU" sz="1200">
              <a:latin typeface="Times New Roman" panose="02020603050405020304" pitchFamily="18" charset="0"/>
              <a:cs typeface="Times New Roman" panose="02020603050405020304" pitchFamily="18" charset="0"/>
            </a:endParaRPr>
          </a:p>
        </c:rich>
      </c:tx>
      <c:layout>
        <c:manualLayout>
          <c:xMode val="edge"/>
          <c:yMode val="edge"/>
          <c:x val="0.14983961631505266"/>
          <c:y val="3.497472162430855E-3"/>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6036655211912942E-2"/>
          <c:y val="0.31647344819904888"/>
          <c:w val="0.62784497298662423"/>
          <c:h val="0.63662818221341955"/>
        </c:manualLayout>
      </c:layout>
      <c:pie3DChart>
        <c:varyColors val="1"/>
        <c:ser>
          <c:idx val="0"/>
          <c:order val="0"/>
          <c:tx>
            <c:strRef>
              <c:f>Лист1!$B$1</c:f>
              <c:strCache>
                <c:ptCount val="1"/>
                <c:pt idx="0">
                  <c:v>Перечислено </c:v>
                </c:pt>
              </c:strCache>
            </c:strRef>
          </c:tx>
          <c:explosion val="18"/>
          <c:dPt>
            <c:idx val="0"/>
            <c:bubble3D val="0"/>
            <c:explosion val="5"/>
          </c:dPt>
          <c:dPt>
            <c:idx val="1"/>
            <c:bubble3D val="0"/>
          </c:dPt>
          <c:dPt>
            <c:idx val="2"/>
            <c:bubble3D val="0"/>
          </c:dPt>
          <c:dPt>
            <c:idx val="3"/>
            <c:bubble3D val="0"/>
          </c:dPt>
          <c:dPt>
            <c:idx val="4"/>
            <c:bubble3D val="0"/>
          </c:dPt>
          <c:dLbls>
            <c:dLbl>
              <c:idx val="0"/>
              <c:layout>
                <c:manualLayout>
                  <c:x val="-6.3493790080363668E-2"/>
                  <c:y val="-0.44857382091042303"/>
                </c:manualLayout>
              </c:layout>
              <c:tx>
                <c:rich>
                  <a:bodyPr/>
                  <a:lstStyle/>
                  <a:p>
                    <a:r>
                      <a:rPr lang="en-US" baseline="0">
                        <a:latin typeface="Times New Roman" panose="02020603050405020304" pitchFamily="18" charset="0"/>
                      </a:rPr>
                      <a:t>48</a:t>
                    </a:r>
                    <a:r>
                      <a:rPr lang="ru-RU" baseline="0">
                        <a:latin typeface="Times New Roman" panose="02020603050405020304" pitchFamily="18" charset="0"/>
                      </a:rPr>
                      <a:t>9</a:t>
                    </a:r>
                    <a:r>
                      <a:rPr lang="en-US" baseline="0">
                        <a:latin typeface="Times New Roman" panose="02020603050405020304" pitchFamily="18" charset="0"/>
                      </a:rPr>
                      <a:t>,</a:t>
                    </a:r>
                    <a:r>
                      <a:rPr lang="ru-RU" baseline="0">
                        <a:latin typeface="Times New Roman" panose="02020603050405020304" pitchFamily="18" charset="0"/>
                      </a:rPr>
                      <a:t>87</a:t>
                    </a:r>
                    <a:endParaRPr lang="en-US"/>
                  </a:p>
                </c:rich>
              </c:tx>
              <c:dLblPos val="bestFit"/>
              <c:showLegendKey val="0"/>
              <c:showVal val="0"/>
              <c:showCatName val="0"/>
              <c:showSerName val="0"/>
              <c:showPercent val="0"/>
              <c:showBubbleSize val="0"/>
            </c:dLbl>
            <c:dLbl>
              <c:idx val="1"/>
              <c:layout>
                <c:manualLayout>
                  <c:x val="-3.9004608959962481E-2"/>
                  <c:y val="-7.0112554949036277E-3"/>
                </c:manualLayout>
              </c:layout>
              <c:tx>
                <c:rich>
                  <a:bodyPr/>
                  <a:lstStyle/>
                  <a:p>
                    <a:r>
                      <a:rPr lang="en-US" baseline="0">
                        <a:latin typeface="Times New Roman" panose="02020603050405020304" pitchFamily="18" charset="0"/>
                      </a:rPr>
                      <a:t>40,</a:t>
                    </a:r>
                    <a:r>
                      <a:rPr lang="ru-RU" baseline="0">
                        <a:latin typeface="Times New Roman" panose="02020603050405020304" pitchFamily="18" charset="0"/>
                      </a:rPr>
                      <a:t>82</a:t>
                    </a:r>
                    <a:endParaRPr lang="en-US"/>
                  </a:p>
                </c:rich>
              </c:tx>
              <c:dLblPos val="bestFit"/>
              <c:showLegendKey val="0"/>
              <c:showVal val="0"/>
              <c:showCatName val="0"/>
              <c:showSerName val="0"/>
              <c:showPercent val="0"/>
              <c:showBubbleSize val="0"/>
            </c:dLbl>
            <c:dLbl>
              <c:idx val="2"/>
              <c:layout>
                <c:manualLayout>
                  <c:x val="-4.5339899522868918E-2"/>
                  <c:y val="-3.2040320113360062E-2"/>
                </c:manualLayout>
              </c:layout>
              <c:tx>
                <c:rich>
                  <a:bodyPr/>
                  <a:lstStyle/>
                  <a:p>
                    <a:r>
                      <a:rPr lang="en-US" baseline="0">
                        <a:latin typeface="Times New Roman" panose="02020603050405020304" pitchFamily="18" charset="0"/>
                      </a:rPr>
                      <a:t>2</a:t>
                    </a:r>
                    <a:r>
                      <a:rPr lang="ru-RU" baseline="0">
                        <a:latin typeface="Times New Roman" panose="02020603050405020304" pitchFamily="18" charset="0"/>
                      </a:rPr>
                      <a:t>6</a:t>
                    </a:r>
                    <a:r>
                      <a:rPr lang="en-US" baseline="0">
                        <a:latin typeface="Times New Roman" panose="02020603050405020304" pitchFamily="18" charset="0"/>
                      </a:rPr>
                      <a:t>,</a:t>
                    </a:r>
                    <a:r>
                      <a:rPr lang="ru-RU" baseline="0">
                        <a:latin typeface="Times New Roman" panose="02020603050405020304" pitchFamily="18" charset="0"/>
                      </a:rPr>
                      <a:t>18</a:t>
                    </a:r>
                    <a:endParaRPr lang="en-US"/>
                  </a:p>
                </c:rich>
              </c:tx>
              <c:dLblPos val="bestFit"/>
              <c:showLegendKey val="0"/>
              <c:showVal val="0"/>
              <c:showCatName val="0"/>
              <c:showSerName val="0"/>
              <c:showPercent val="0"/>
              <c:showBubbleSize val="0"/>
            </c:dLbl>
            <c:dLbl>
              <c:idx val="3"/>
              <c:layout>
                <c:manualLayout>
                  <c:x val="1.2300233304170313E-2"/>
                  <c:y val="-3.615525648527404E-2"/>
                </c:manualLayout>
              </c:layout>
              <c:tx>
                <c:rich>
                  <a:bodyPr/>
                  <a:lstStyle/>
                  <a:p>
                    <a:r>
                      <a:rPr lang="en-US" baseline="0">
                        <a:latin typeface="Times New Roman" panose="02020603050405020304" pitchFamily="18" charset="0"/>
                      </a:rPr>
                      <a:t>6,3</a:t>
                    </a:r>
                    <a:r>
                      <a:rPr lang="ru-RU" baseline="0">
                        <a:latin typeface="Times New Roman" panose="02020603050405020304" pitchFamily="18" charset="0"/>
                      </a:rPr>
                      <a:t>8</a:t>
                    </a:r>
                  </a:p>
                </c:rich>
              </c:tx>
              <c:dLblPos val="bestFit"/>
              <c:showLegendKey val="0"/>
              <c:showVal val="0"/>
              <c:showCatName val="0"/>
              <c:showSerName val="0"/>
              <c:showPercent val="0"/>
              <c:showBubbleSize val="0"/>
            </c:dLbl>
            <c:dLbl>
              <c:idx val="4"/>
              <c:layout>
                <c:manualLayout>
                  <c:x val="5.2007648528470021E-2"/>
                  <c:y val="-2.4824565640951323E-2"/>
                </c:manualLayout>
              </c:layout>
              <c:tx>
                <c:rich>
                  <a:bodyPr/>
                  <a:lstStyle/>
                  <a:p>
                    <a:r>
                      <a:rPr lang="en-US" baseline="0">
                        <a:latin typeface="Times New Roman" panose="02020603050405020304" pitchFamily="18" charset="0"/>
                        <a:cs typeface="Times New Roman" panose="02020603050405020304" pitchFamily="18" charset="0"/>
                      </a:rPr>
                      <a:t>10,</a:t>
                    </a:r>
                    <a:r>
                      <a:rPr lang="ru-RU" baseline="0">
                        <a:latin typeface="Times New Roman" panose="02020603050405020304" pitchFamily="18" charset="0"/>
                        <a:cs typeface="Times New Roman" panose="02020603050405020304" pitchFamily="18" charset="0"/>
                      </a:rPr>
                      <a:t>91</a:t>
                    </a:r>
                    <a:endParaRPr lang="en-US">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dLbl>
            <c:txPr>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в бюджт Российской Федерации</c:v>
                </c:pt>
                <c:pt idx="1">
                  <c:v>в  бюджет Республики Казахстан</c:v>
                </c:pt>
                <c:pt idx="2">
                  <c:v>в бюджет Республики Беларусь</c:v>
                </c:pt>
                <c:pt idx="3">
                  <c:v>в бюджет Республики Армения</c:v>
                </c:pt>
                <c:pt idx="4">
                  <c:v>в бюджет Кыргызской Республики</c:v>
                </c:pt>
              </c:strCache>
            </c:strRef>
          </c:cat>
          <c:val>
            <c:numRef>
              <c:f>Лист1!$B$2:$B$6</c:f>
              <c:numCache>
                <c:formatCode>General</c:formatCode>
                <c:ptCount val="5"/>
                <c:pt idx="0">
                  <c:v>489.87</c:v>
                </c:pt>
                <c:pt idx="1">
                  <c:v>40.82</c:v>
                </c:pt>
                <c:pt idx="2">
                  <c:v>26.18</c:v>
                </c:pt>
                <c:pt idx="3">
                  <c:v>6.38</c:v>
                </c:pt>
                <c:pt idx="4">
                  <c:v>10.91</c:v>
                </c:pt>
              </c:numCache>
            </c:numRef>
          </c:val>
        </c:ser>
        <c:dLbls>
          <c:showLegendKey val="0"/>
          <c:showVal val="0"/>
          <c:showCatName val="0"/>
          <c:showSerName val="0"/>
          <c:showPercent val="0"/>
          <c:showBubbleSize val="0"/>
          <c:showLeaderLines val="1"/>
        </c:dLbls>
      </c:pie3DChart>
      <c:spPr>
        <a:noFill/>
        <a:ln w="25376">
          <a:noFill/>
        </a:ln>
      </c:spPr>
    </c:plotArea>
    <c:legend>
      <c:legendPos val="r"/>
      <c:layout>
        <c:manualLayout>
          <c:xMode val="edge"/>
          <c:yMode val="edge"/>
          <c:x val="0.65354493059501584"/>
          <c:y val="0.23755198496866858"/>
          <c:w val="0.30509853794048936"/>
          <c:h val="0.6494937108020040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Поступившие в 2016 году от государств-членов Евразийского экономического союза ввозные таможенные пошлины, специальные, антидемпинговые и компенсационные пошлины</a:t>
            </a:r>
          </a:p>
        </c:rich>
      </c:tx>
      <c:layout>
        <c:manualLayout>
          <c:xMode val="edge"/>
          <c:yMode val="edge"/>
          <c:x val="0.12885305033556929"/>
          <c:y val="7.3927779838034902E-4"/>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7892325315005728E-2"/>
          <c:y val="0.3007909604519774"/>
          <c:w val="0.5251084593807217"/>
          <c:h val="0.60910431958717026"/>
        </c:manualLayout>
      </c:layout>
      <c:pie3DChart>
        <c:varyColors val="1"/>
        <c:ser>
          <c:idx val="0"/>
          <c:order val="0"/>
          <c:tx>
            <c:strRef>
              <c:f>Лист1!$B$1</c:f>
              <c:strCache>
                <c:ptCount val="1"/>
                <c:pt idx="0">
                  <c:v>Продажи</c:v>
                </c:pt>
              </c:strCache>
            </c:strRef>
          </c:tx>
          <c:explosion val="19"/>
          <c:dPt>
            <c:idx val="0"/>
            <c:bubble3D val="0"/>
            <c:explosion val="0"/>
          </c:dPt>
          <c:dPt>
            <c:idx val="1"/>
            <c:bubble3D val="0"/>
          </c:dPt>
          <c:dPt>
            <c:idx val="2"/>
            <c:bubble3D val="0"/>
          </c:dPt>
          <c:dPt>
            <c:idx val="3"/>
            <c:bubble3D val="0"/>
          </c:dPt>
          <c:dLbls>
            <c:dLbl>
              <c:idx val="0"/>
              <c:layout>
                <c:manualLayout>
                  <c:x val="-0.18907334499854184"/>
                  <c:y val="-8.1605130138577744E-2"/>
                </c:manualLayout>
              </c:layout>
              <c:tx>
                <c:rich>
                  <a:bodyPr/>
                  <a:lstStyle/>
                  <a:p>
                    <a:r>
                      <a:rPr lang="en-US">
                        <a:latin typeface="Times New Roman" panose="02020603050405020304" pitchFamily="18" charset="0"/>
                        <a:cs typeface="Times New Roman" panose="02020603050405020304" pitchFamily="18" charset="0"/>
                      </a:rPr>
                      <a:t>638,93</a:t>
                    </a:r>
                    <a:endParaRPr lang="ru-RU">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dLbl>
            <c:dLbl>
              <c:idx val="1"/>
              <c:tx>
                <c:rich>
                  <a:bodyPr/>
                  <a:lstStyle/>
                  <a:p>
                    <a:r>
                      <a:rPr lang="en-US">
                        <a:latin typeface="Times New Roman" panose="02020603050405020304" pitchFamily="18" charset="0"/>
                        <a:cs typeface="Times New Roman" panose="02020603050405020304" pitchFamily="18" charset="0"/>
                      </a:rPr>
                      <a:t>225,22</a:t>
                    </a:r>
                    <a:endParaRPr lang="en-US"/>
                  </a:p>
                </c:rich>
              </c:tx>
              <c:showLegendKey val="0"/>
              <c:showVal val="0"/>
              <c:showCatName val="0"/>
              <c:showSerName val="0"/>
              <c:showPercent val="0"/>
              <c:showBubbleSize val="0"/>
            </c:dLbl>
            <c:dLbl>
              <c:idx val="2"/>
              <c:layout>
                <c:manualLayout>
                  <c:x val="1.2702591863517061E-2"/>
                  <c:y val="-5.1817585745916939E-2"/>
                </c:manualLayout>
              </c:layout>
              <c:tx>
                <c:rich>
                  <a:bodyPr/>
                  <a:lstStyle/>
                  <a:p>
                    <a:r>
                      <a:rPr lang="en-US">
                        <a:latin typeface="Times New Roman" panose="02020603050405020304" pitchFamily="18" charset="0"/>
                        <a:cs typeface="Times New Roman" panose="02020603050405020304" pitchFamily="18" charset="0"/>
                      </a:rPr>
                      <a:t>57,16</a:t>
                    </a:r>
                    <a:endParaRPr lang="ru-RU">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dLbl>
            <c:dLbl>
              <c:idx val="3"/>
              <c:layout>
                <c:manualLayout>
                  <c:x val="6.6629325973428535E-2"/>
                  <c:y val="-2.2704467571580362E-2"/>
                </c:manualLayout>
              </c:layout>
              <c:tx>
                <c:rich>
                  <a:bodyPr/>
                  <a:lstStyle/>
                  <a:p>
                    <a:r>
                      <a:rPr lang="en-US">
                        <a:latin typeface="Times New Roman" panose="02020603050405020304" pitchFamily="18" charset="0"/>
                        <a:cs typeface="Times New Roman" panose="02020603050405020304" pitchFamily="18" charset="0"/>
                      </a:rPr>
                      <a:t>144,87</a:t>
                    </a:r>
                    <a:endParaRPr lang="ru-RU"/>
                  </a:p>
                </c:rich>
              </c:tx>
              <c:dLblPos val="bestFit"/>
              <c:showLegendKey val="0"/>
              <c:showVal val="0"/>
              <c:showCatName val="0"/>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Лист1!$A$2:$A$5</c:f>
              <c:strCache>
                <c:ptCount val="4"/>
                <c:pt idx="0">
                  <c:v>от Республики Казахстан</c:v>
                </c:pt>
                <c:pt idx="1">
                  <c:v>от Республики Беларусь</c:v>
                </c:pt>
                <c:pt idx="2">
                  <c:v>от Республики Армения</c:v>
                </c:pt>
                <c:pt idx="3">
                  <c:v>от Кыргызской Республики</c:v>
                </c:pt>
              </c:strCache>
            </c:strRef>
          </c:cat>
          <c:val>
            <c:numRef>
              <c:f>Лист1!$B$2:$B$5</c:f>
              <c:numCache>
                <c:formatCode>General</c:formatCode>
                <c:ptCount val="4"/>
                <c:pt idx="0">
                  <c:v>638.92999999999995</c:v>
                </c:pt>
                <c:pt idx="1">
                  <c:v>225.22</c:v>
                </c:pt>
                <c:pt idx="2">
                  <c:v>57.160000000000004</c:v>
                </c:pt>
                <c:pt idx="3">
                  <c:v>144.87</c:v>
                </c:pt>
              </c:numCache>
            </c:numRef>
          </c:val>
        </c:ser>
        <c:dLbls>
          <c:showLegendKey val="0"/>
          <c:showVal val="0"/>
          <c:showCatName val="0"/>
          <c:showSerName val="0"/>
          <c:showPercent val="0"/>
          <c:showBubbleSize val="0"/>
          <c:showLeaderLines val="1"/>
        </c:dLbls>
      </c:pie3DChart>
      <c:spPr>
        <a:noFill/>
        <a:ln w="25344">
          <a:noFill/>
        </a:ln>
      </c:spPr>
    </c:plotArea>
    <c:legend>
      <c:legendPos val="r"/>
      <c:layout>
        <c:manualLayout>
          <c:xMode val="edge"/>
          <c:yMode val="edge"/>
          <c:x val="0.6491778733843836"/>
          <c:y val="0.39078571110814542"/>
          <c:w val="0.30268852991314232"/>
          <c:h val="0.28441122825748477"/>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Times New Roman"/>
                <a:ea typeface="Times New Roman"/>
                <a:cs typeface="Times New Roman"/>
              </a:defRPr>
            </a:pPr>
            <a:r>
              <a:rPr lang="ru-RU" sz="1200"/>
              <a:t>Предоставление бюджетных кредитов</a:t>
            </a:r>
          </a:p>
        </c:rich>
      </c:tx>
      <c:layout>
        <c:manualLayout>
          <c:xMode val="edge"/>
          <c:yMode val="edge"/>
          <c:x val="0.24782055617280968"/>
          <c:y val="0"/>
        </c:manualLayout>
      </c:layout>
      <c:overlay val="1"/>
    </c:title>
    <c:autoTitleDeleted val="0"/>
    <c:plotArea>
      <c:layout>
        <c:manualLayout>
          <c:layoutTarget val="inner"/>
          <c:xMode val="edge"/>
          <c:yMode val="edge"/>
          <c:x val="5.6717664893115367E-2"/>
          <c:y val="0.12751889884732154"/>
          <c:w val="0.91584174342858904"/>
          <c:h val="0.6666673923824038"/>
        </c:manualLayout>
      </c:layout>
      <c:barChart>
        <c:barDir val="col"/>
        <c:grouping val="clustered"/>
        <c:varyColors val="0"/>
        <c:ser>
          <c:idx val="1"/>
          <c:order val="0"/>
          <c:tx>
            <c:strRef>
              <c:f>БК!$M$7</c:f>
              <c:strCache>
                <c:ptCount val="1"/>
                <c:pt idx="0">
                  <c:v>Предоставлено бюджетных кредитов в 2015 году</c:v>
                </c:pt>
              </c:strCache>
            </c:strRef>
          </c:tx>
          <c:spPr>
            <a:solidFill>
              <a:schemeClr val="accent5">
                <a:lumMod val="60000"/>
                <a:lumOff val="40000"/>
              </a:schemeClr>
            </a:solidFill>
          </c:spPr>
          <c:invertIfNegative val="0"/>
          <c:dPt>
            <c:idx val="7"/>
            <c:invertIfNegative val="0"/>
            <c:bubble3D val="0"/>
          </c:dPt>
          <c:dLbls>
            <c:dLbl>
              <c:idx val="1"/>
              <c:layout>
                <c:manualLayout>
                  <c:x val="-4.2598509052183178E-3"/>
                  <c:y val="9.2165898617511521E-3"/>
                </c:manualLayout>
              </c:layout>
              <c:dLblPos val="outEnd"/>
              <c:showLegendKey val="0"/>
              <c:showVal val="1"/>
              <c:showCatName val="0"/>
              <c:showSerName val="0"/>
              <c:showPercent val="0"/>
              <c:showBubbleSize val="0"/>
            </c:dLbl>
            <c:dLbl>
              <c:idx val="2"/>
              <c:tx>
                <c:rich>
                  <a:bodyPr/>
                  <a:lstStyle/>
                  <a:p>
                    <a:r>
                      <a:rPr lang="ru-RU" sz="900"/>
                      <a:t>91,6</a:t>
                    </a:r>
                    <a:endParaRPr lang="ru-RU"/>
                  </a:p>
                </c:rich>
              </c:tx>
              <c:dLblPos val="outEnd"/>
              <c:showLegendKey val="0"/>
              <c:showVal val="0"/>
              <c:showCatName val="0"/>
              <c:showSerName val="0"/>
              <c:showPercent val="0"/>
              <c:showBubbleSize val="0"/>
            </c:dLbl>
            <c:dLbl>
              <c:idx val="10"/>
              <c:layout>
                <c:manualLayout>
                  <c:x val="5.6798018419998838E-3"/>
                  <c:y val="0"/>
                </c:manualLayout>
              </c:layout>
              <c:dLblPos val="outEnd"/>
              <c:showLegendKey val="0"/>
              <c:showVal val="1"/>
              <c:showCatName val="0"/>
              <c:showSerName val="0"/>
              <c:showPercent val="0"/>
              <c:showBubbleSize val="0"/>
            </c:dLbl>
            <c:txPr>
              <a:bodyPr/>
              <a:lstStyle/>
              <a:p>
                <a:pPr>
                  <a:defRPr sz="9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dLbls>
          <c:cat>
            <c:strRef>
              <c:f>БК!$B$5:$L$5</c:f>
              <c:strCache>
                <c:ptCount val="11"/>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strCache>
            </c:strRef>
          </c:cat>
          <c:val>
            <c:numRef>
              <c:f>БК!$B$7:$L$7</c:f>
              <c:numCache>
                <c:formatCode>#,##0.0,,,</c:formatCode>
                <c:ptCount val="11"/>
                <c:pt idx="0">
                  <c:v>23234441000</c:v>
                </c:pt>
                <c:pt idx="1">
                  <c:v>77790981000</c:v>
                </c:pt>
                <c:pt idx="2">
                  <c:v>91632009000</c:v>
                </c:pt>
                <c:pt idx="3">
                  <c:v>90931596000</c:v>
                </c:pt>
                <c:pt idx="4">
                  <c:v>87043360000</c:v>
                </c:pt>
                <c:pt idx="5">
                  <c:v>106883201000</c:v>
                </c:pt>
                <c:pt idx="6">
                  <c:v>113175002000</c:v>
                </c:pt>
                <c:pt idx="7">
                  <c:v>99699925000</c:v>
                </c:pt>
                <c:pt idx="8">
                  <c:v>94342995500</c:v>
                </c:pt>
                <c:pt idx="9">
                  <c:v>97953156557</c:v>
                </c:pt>
                <c:pt idx="10">
                  <c:v>34089442000</c:v>
                </c:pt>
              </c:numCache>
            </c:numRef>
          </c:val>
        </c:ser>
        <c:ser>
          <c:idx val="2"/>
          <c:order val="1"/>
          <c:tx>
            <c:strRef>
              <c:f>БК!$M$8</c:f>
              <c:strCache>
                <c:ptCount val="1"/>
                <c:pt idx="0">
                  <c:v>Предоставлено бюджетных кредитов в 2016 году</c:v>
                </c:pt>
              </c:strCache>
            </c:strRef>
          </c:tx>
          <c:spPr>
            <a:solidFill>
              <a:schemeClr val="accent6">
                <a:lumMod val="60000"/>
                <a:lumOff val="40000"/>
              </a:schemeClr>
            </a:solidFill>
          </c:spPr>
          <c:invertIfNegative val="0"/>
          <c:dLbls>
            <c:dLbl>
              <c:idx val="1"/>
              <c:layout>
                <c:manualLayout>
                  <c:x val="7.099751508697196E-3"/>
                  <c:y val="0"/>
                </c:manualLayout>
              </c:layout>
              <c:tx>
                <c:rich>
                  <a:bodyPr/>
                  <a:lstStyle/>
                  <a:p>
                    <a:r>
                      <a:rPr lang="ru-RU" sz="900"/>
                      <a:t>77,9</a:t>
                    </a:r>
                    <a:endParaRPr lang="ru-RU"/>
                  </a:p>
                </c:rich>
              </c:tx>
              <c:dLblPos val="outEnd"/>
              <c:showLegendKey val="0"/>
              <c:showVal val="0"/>
              <c:showCatName val="0"/>
              <c:showSerName val="0"/>
              <c:showPercent val="0"/>
              <c:showBubbleSize val="0"/>
            </c:dLbl>
            <c:dLbl>
              <c:idx val="3"/>
              <c:layout>
                <c:manualLayout>
                  <c:x val="5.6798012069577564E-3"/>
                  <c:y val="-5.6322954063129924E-17"/>
                </c:manualLayout>
              </c:layout>
              <c:dLblPos val="outEnd"/>
              <c:showLegendKey val="0"/>
              <c:showVal val="1"/>
              <c:showCatName val="0"/>
              <c:showSerName val="0"/>
              <c:showPercent val="0"/>
              <c:showBubbleSize val="0"/>
            </c:dLbl>
            <c:dLbl>
              <c:idx val="4"/>
              <c:layout>
                <c:manualLayout>
                  <c:x val="2.8399006034788782E-3"/>
                  <c:y val="3.0721966205837174E-3"/>
                </c:manualLayout>
              </c:layout>
              <c:dLblPos val="outEnd"/>
              <c:showLegendKey val="0"/>
              <c:showVal val="1"/>
              <c:showCatName val="0"/>
              <c:showSerName val="0"/>
              <c:showPercent val="0"/>
              <c:showBubbleSize val="0"/>
            </c:dLbl>
            <c:dLbl>
              <c:idx val="5"/>
              <c:layout>
                <c:manualLayout>
                  <c:x val="5.6798012069576524E-3"/>
                  <c:y val="0"/>
                </c:manualLayout>
              </c:layout>
              <c:dLblPos val="outEnd"/>
              <c:showLegendKey val="0"/>
              <c:showVal val="1"/>
              <c:showCatName val="0"/>
              <c:showSerName val="0"/>
              <c:showPercent val="0"/>
              <c:showBubbleSize val="0"/>
            </c:dLbl>
            <c:dLbl>
              <c:idx val="8"/>
              <c:layout>
                <c:manualLayout>
                  <c:x val="2.8399006034788782E-3"/>
                  <c:y val="6.1443932411674347E-3"/>
                </c:manualLayout>
              </c:layout>
              <c:dLblPos val="outEnd"/>
              <c:showLegendKey val="0"/>
              <c:showVal val="1"/>
              <c:showCatName val="0"/>
              <c:showSerName val="0"/>
              <c:showPercent val="0"/>
              <c:showBubbleSize val="0"/>
            </c:dLbl>
            <c:dLbl>
              <c:idx val="9"/>
              <c:layout>
                <c:manualLayout>
                  <c:x val="-1.1180711037318418E-7"/>
                  <c:y val="3.0721966205837174E-3"/>
                </c:manualLayout>
              </c:layout>
              <c:dLblPos val="outEnd"/>
              <c:showLegendKey val="0"/>
              <c:showVal val="1"/>
              <c:showCatName val="0"/>
              <c:showSerName val="0"/>
              <c:showPercent val="0"/>
              <c:showBubbleSize val="0"/>
            </c:dLbl>
            <c:txPr>
              <a:bodyPr/>
              <a:lstStyle/>
              <a:p>
                <a:pPr>
                  <a:defRPr sz="900" b="0" i="0" u="none" strike="noStrike" baseline="0">
                    <a:solidFill>
                      <a:srgbClr val="000000"/>
                    </a:solidFill>
                    <a:latin typeface="Times New Roman"/>
                    <a:ea typeface="Times New Roman"/>
                    <a:cs typeface="Times New Roman"/>
                  </a:defRPr>
                </a:pPr>
                <a:endParaRPr lang="ru-RU"/>
              </a:p>
            </c:txPr>
            <c:dLblPos val="outEnd"/>
            <c:showLegendKey val="0"/>
            <c:showVal val="1"/>
            <c:showCatName val="0"/>
            <c:showSerName val="0"/>
            <c:showPercent val="0"/>
            <c:showBubbleSize val="0"/>
            <c:showLeaderLines val="0"/>
          </c:dLbls>
          <c:cat>
            <c:strRef>
              <c:f>БК!$B$5:$L$5</c:f>
              <c:strCache>
                <c:ptCount val="11"/>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strCache>
            </c:strRef>
          </c:cat>
          <c:val>
            <c:numRef>
              <c:f>БК!$B$8:$L$8</c:f>
              <c:numCache>
                <c:formatCode>#,##0.0,,,</c:formatCode>
                <c:ptCount val="11"/>
                <c:pt idx="0">
                  <c:v>83133380000</c:v>
                </c:pt>
                <c:pt idx="1">
                  <c:v>77917402000</c:v>
                </c:pt>
                <c:pt idx="2">
                  <c:v>103744292000</c:v>
                </c:pt>
                <c:pt idx="3">
                  <c:v>82451028000</c:v>
                </c:pt>
                <c:pt idx="4">
                  <c:v>81068754000</c:v>
                </c:pt>
                <c:pt idx="5">
                  <c:v>90392367000</c:v>
                </c:pt>
                <c:pt idx="6">
                  <c:v>81416153000</c:v>
                </c:pt>
                <c:pt idx="7">
                  <c:v>109729970000</c:v>
                </c:pt>
                <c:pt idx="8">
                  <c:v>70460268250</c:v>
                </c:pt>
                <c:pt idx="9">
                  <c:v>61419111500</c:v>
                </c:pt>
                <c:pt idx="10">
                  <c:v>6531782250</c:v>
                </c:pt>
              </c:numCache>
            </c:numRef>
          </c:val>
        </c:ser>
        <c:dLbls>
          <c:showLegendKey val="0"/>
          <c:showVal val="0"/>
          <c:showCatName val="0"/>
          <c:showSerName val="0"/>
          <c:showPercent val="0"/>
          <c:showBubbleSize val="0"/>
        </c:dLbls>
        <c:gapWidth val="42"/>
        <c:overlap val="-2"/>
        <c:axId val="103379328"/>
        <c:axId val="103380864"/>
      </c:barChart>
      <c:catAx>
        <c:axId val="103379328"/>
        <c:scaling>
          <c:orientation val="minMax"/>
        </c:scaling>
        <c:delete val="0"/>
        <c:axPos val="b"/>
        <c:numFmt formatCode="General" sourceLinked="1"/>
        <c:majorTickMark val="cross"/>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03380864"/>
        <c:crosses val="autoZero"/>
        <c:auto val="0"/>
        <c:lblAlgn val="ctr"/>
        <c:lblOffset val="100"/>
        <c:tickLblSkip val="1"/>
        <c:tickMarkSkip val="1"/>
        <c:noMultiLvlLbl val="0"/>
      </c:catAx>
      <c:valAx>
        <c:axId val="103380864"/>
        <c:scaling>
          <c:orientation val="minMax"/>
        </c:scaling>
        <c:delete val="0"/>
        <c:axPos val="l"/>
        <c:numFmt formatCode="#,##0.0,,," sourceLinked="1"/>
        <c:majorTickMark val="cross"/>
        <c:minorTickMark val="none"/>
        <c:tickLblPos val="nextTo"/>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103379328"/>
        <c:crosses val="autoZero"/>
        <c:crossBetween val="between"/>
      </c:valAx>
      <c:spPr>
        <a:noFill/>
        <a:ln w="25400">
          <a:noFill/>
        </a:ln>
      </c:spPr>
    </c:plotArea>
    <c:legend>
      <c:legendPos val="r"/>
      <c:legendEntry>
        <c:idx val="0"/>
        <c:txPr>
          <a:bodyPr/>
          <a:lstStyle/>
          <a:p>
            <a:pPr>
              <a:defRPr sz="900" b="1"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900" b="1" i="0" u="none" strike="noStrike" baseline="0">
                <a:solidFill>
                  <a:srgbClr val="000000"/>
                </a:solidFill>
                <a:latin typeface="Times New Roman"/>
                <a:ea typeface="Times New Roman"/>
                <a:cs typeface="Times New Roman"/>
              </a:defRPr>
            </a:pPr>
            <a:endParaRPr lang="ru-RU"/>
          </a:p>
        </c:txPr>
      </c:legendEntry>
      <c:layout>
        <c:manualLayout>
          <c:xMode val="edge"/>
          <c:yMode val="edge"/>
          <c:x val="0"/>
          <c:y val="0.88039997941433767"/>
          <c:w val="1"/>
          <c:h val="0.1196000205856621"/>
        </c:manualLayout>
      </c:layout>
      <c:overlay val="0"/>
      <c:txPr>
        <a:bodyPr/>
        <a:lstStyle/>
        <a:p>
          <a:pPr>
            <a:defRPr sz="9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исполнительных документов, шт.</c:v>
                </c:pt>
                <c:pt idx="1">
                  <c:v>количество возвращенных исполнительных документов, шт.</c:v>
                </c:pt>
                <c:pt idx="2">
                  <c:v>количество принятых к исполнению исполнительных документов, шт.</c:v>
                </c:pt>
                <c:pt idx="3">
                  <c:v>количество исполненных исполнительных документов, шт.</c:v>
                </c:pt>
              </c:strCache>
            </c:strRef>
          </c:cat>
          <c:val>
            <c:numRef>
              <c:f>Лист1!$B$10:$B$13</c:f>
              <c:numCache>
                <c:formatCode>#,##0</c:formatCode>
                <c:ptCount val="4"/>
                <c:pt idx="0">
                  <c:v>49707</c:v>
                </c:pt>
                <c:pt idx="1">
                  <c:v>8903</c:v>
                </c:pt>
                <c:pt idx="2">
                  <c:v>40804</c:v>
                </c:pt>
                <c:pt idx="3">
                  <c:v>42698</c:v>
                </c:pt>
              </c:numCache>
            </c:numRef>
          </c:val>
        </c:ser>
        <c:dLbls>
          <c:showLegendKey val="0"/>
          <c:showVal val="0"/>
          <c:showCatName val="0"/>
          <c:showSerName val="0"/>
          <c:showPercent val="0"/>
          <c:showBubbleSize val="0"/>
        </c:dLbls>
        <c:gapWidth val="150"/>
        <c:axId val="103437056"/>
        <c:axId val="103438592"/>
      </c:barChart>
      <c:catAx>
        <c:axId val="103437056"/>
        <c:scaling>
          <c:orientation val="minMax"/>
        </c:scaling>
        <c:delete val="1"/>
        <c:axPos val="b"/>
        <c:numFmt formatCode="[$-419]mmmm\ yyyy;@" sourceLinked="1"/>
        <c:majorTickMark val="none"/>
        <c:minorTickMark val="none"/>
        <c:tickLblPos val="nextTo"/>
        <c:crossAx val="103438592"/>
        <c:crosses val="autoZero"/>
        <c:auto val="1"/>
        <c:lblAlgn val="ctr"/>
        <c:lblOffset val="100"/>
        <c:noMultiLvlLbl val="1"/>
      </c:catAx>
      <c:valAx>
        <c:axId val="103438592"/>
        <c:scaling>
          <c:orientation val="minMax"/>
        </c:scaling>
        <c:delete val="0"/>
        <c:axPos val="l"/>
        <c:majorGridlines/>
        <c:numFmt formatCode="#,##0" sourceLinked="1"/>
        <c:majorTickMark val="none"/>
        <c:minorTickMark val="none"/>
        <c:tickLblPos val="nextTo"/>
        <c:txPr>
          <a:bodyPr/>
          <a:lstStyle/>
          <a:p>
            <a:pPr>
              <a:defRPr sz="1050">
                <a:latin typeface="Times New Roman" pitchFamily="18" charset="0"/>
                <a:cs typeface="Times New Roman" pitchFamily="18" charset="0"/>
              </a:defRPr>
            </a:pPr>
            <a:endParaRPr lang="ru-RU"/>
          </a:p>
        </c:txPr>
        <c:crossAx val="103437056"/>
        <c:crosses val="autoZero"/>
        <c:crossBetween val="between"/>
      </c:valAx>
      <c:dTable>
        <c:showHorzBorder val="1"/>
        <c:showVertBorder val="1"/>
        <c:showOutline val="1"/>
        <c:showKeys val="1"/>
        <c:txPr>
          <a:bodyPr/>
          <a:lstStyle/>
          <a:p>
            <a:pPr rtl="0">
              <a:defRPr sz="10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28997535831696"/>
          <c:y val="3.3267807322421211E-2"/>
          <c:w val="0.84073103744886346"/>
          <c:h val="0.77544606612271405"/>
        </c:manualLayout>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исполнительным документам, млн рублей</c:v>
                </c:pt>
                <c:pt idx="1">
                  <c:v>сумма по возвращенным исполнительным документам, млн рублей</c:v>
                </c:pt>
                <c:pt idx="2">
                  <c:v>сумма по принятым к 
исполнению исполнительным документам, млн рублей</c:v>
                </c:pt>
                <c:pt idx="3">
                  <c:v>сумма по 
исполненным исполнительных документов, млн рублей</c:v>
                </c:pt>
              </c:strCache>
            </c:strRef>
          </c:cat>
          <c:val>
            <c:numRef>
              <c:f>Лист1!$B$10:$B$13</c:f>
              <c:numCache>
                <c:formatCode>#,##0</c:formatCode>
                <c:ptCount val="4"/>
                <c:pt idx="0">
                  <c:v>17630</c:v>
                </c:pt>
                <c:pt idx="1">
                  <c:v>6407</c:v>
                </c:pt>
                <c:pt idx="2">
                  <c:v>11222</c:v>
                </c:pt>
                <c:pt idx="3">
                  <c:v>12033</c:v>
                </c:pt>
              </c:numCache>
            </c:numRef>
          </c:val>
        </c:ser>
        <c:dLbls>
          <c:showLegendKey val="0"/>
          <c:showVal val="0"/>
          <c:showCatName val="0"/>
          <c:showSerName val="0"/>
          <c:showPercent val="0"/>
          <c:showBubbleSize val="0"/>
        </c:dLbls>
        <c:gapWidth val="150"/>
        <c:axId val="103461632"/>
        <c:axId val="103463168"/>
      </c:barChart>
      <c:catAx>
        <c:axId val="103461632"/>
        <c:scaling>
          <c:orientation val="minMax"/>
        </c:scaling>
        <c:delete val="1"/>
        <c:axPos val="b"/>
        <c:numFmt formatCode="[$-419]mmmm\ yyyy;@" sourceLinked="1"/>
        <c:majorTickMark val="none"/>
        <c:minorTickMark val="none"/>
        <c:tickLblPos val="nextTo"/>
        <c:crossAx val="103463168"/>
        <c:crosses val="autoZero"/>
        <c:auto val="1"/>
        <c:lblAlgn val="ctr"/>
        <c:lblOffset val="100"/>
        <c:noMultiLvlLbl val="1"/>
      </c:catAx>
      <c:valAx>
        <c:axId val="103463168"/>
        <c:scaling>
          <c:orientation val="minMax"/>
        </c:scaling>
        <c:delete val="0"/>
        <c:axPos val="l"/>
        <c:majorGridlines/>
        <c:numFmt formatCode="#,##0" sourceLinked="1"/>
        <c:majorTickMark val="none"/>
        <c:minorTickMark val="none"/>
        <c:tickLblPos val="nextTo"/>
        <c:txPr>
          <a:bodyPr/>
          <a:lstStyle/>
          <a:p>
            <a:pPr>
              <a:defRPr sz="1050"/>
            </a:pPr>
            <a:endParaRPr lang="ru-RU"/>
          </a:p>
        </c:txPr>
        <c:crossAx val="103461632"/>
        <c:crosses val="autoZero"/>
        <c:crossBetween val="between"/>
      </c:valAx>
      <c:dTable>
        <c:showHorzBorder val="1"/>
        <c:showVertBorder val="1"/>
        <c:showOutline val="1"/>
        <c:showKeys val="1"/>
        <c:txPr>
          <a:bodyPr/>
          <a:lstStyle/>
          <a:p>
            <a:pPr rtl="0">
              <a:defRPr sz="1000"/>
            </a:pPr>
            <a:endParaRPr lang="ru-RU"/>
          </a:p>
        </c:txPr>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исполнительных документов, шт.</c:v>
                </c:pt>
                <c:pt idx="1">
                  <c:v>количество возвращенных исполнительных документов, шт.</c:v>
                </c:pt>
                <c:pt idx="2">
                  <c:v>количество принятых к исполнению исполнительных документов, шт.</c:v>
                </c:pt>
                <c:pt idx="3">
                  <c:v>количество исполненных исполнительных документов, шт.</c:v>
                </c:pt>
              </c:strCache>
            </c:strRef>
          </c:cat>
          <c:val>
            <c:numRef>
              <c:f>Лист1!$B$10:$B$13</c:f>
              <c:numCache>
                <c:formatCode>#,##0</c:formatCode>
                <c:ptCount val="4"/>
                <c:pt idx="0">
                  <c:v>66464</c:v>
                </c:pt>
                <c:pt idx="1">
                  <c:v>11352</c:v>
                </c:pt>
                <c:pt idx="2">
                  <c:v>55112</c:v>
                </c:pt>
                <c:pt idx="3">
                  <c:v>61332</c:v>
                </c:pt>
              </c:numCache>
            </c:numRef>
          </c:val>
        </c:ser>
        <c:dLbls>
          <c:showLegendKey val="0"/>
          <c:showVal val="0"/>
          <c:showCatName val="0"/>
          <c:showSerName val="0"/>
          <c:showPercent val="0"/>
          <c:showBubbleSize val="0"/>
        </c:dLbls>
        <c:gapWidth val="150"/>
        <c:axId val="103502208"/>
        <c:axId val="103503744"/>
      </c:barChart>
      <c:catAx>
        <c:axId val="103502208"/>
        <c:scaling>
          <c:orientation val="minMax"/>
        </c:scaling>
        <c:delete val="1"/>
        <c:axPos val="b"/>
        <c:numFmt formatCode="[$-419]mmmm\ yyyy;@" sourceLinked="1"/>
        <c:majorTickMark val="none"/>
        <c:minorTickMark val="none"/>
        <c:tickLblPos val="nextTo"/>
        <c:crossAx val="103503744"/>
        <c:crosses val="autoZero"/>
        <c:auto val="1"/>
        <c:lblAlgn val="ctr"/>
        <c:lblOffset val="100"/>
        <c:noMultiLvlLbl val="1"/>
      </c:catAx>
      <c:valAx>
        <c:axId val="103503744"/>
        <c:scaling>
          <c:orientation val="minMax"/>
        </c:scaling>
        <c:delete val="0"/>
        <c:axPos val="l"/>
        <c:majorGridlines/>
        <c:numFmt formatCode="#,##0" sourceLinked="1"/>
        <c:majorTickMark val="none"/>
        <c:minorTickMark val="none"/>
        <c:tickLblPos val="nextTo"/>
        <c:txPr>
          <a:bodyPr/>
          <a:lstStyle/>
          <a:p>
            <a:pPr>
              <a:defRPr sz="1100"/>
            </a:pPr>
            <a:endParaRPr lang="ru-RU"/>
          </a:p>
        </c:txPr>
        <c:crossAx val="103502208"/>
        <c:crosses val="autoZero"/>
        <c:crossBetween val="between"/>
      </c:valAx>
      <c:dTable>
        <c:showHorzBorder val="1"/>
        <c:showVertBorder val="1"/>
        <c:showOutline val="1"/>
        <c:showKeys val="1"/>
        <c:txPr>
          <a:bodyPr/>
          <a:lstStyle/>
          <a:p>
            <a:pPr rtl="0">
              <a:defRPr sz="1000"/>
            </a:pPr>
            <a:endParaRPr lang="ru-RU"/>
          </a:p>
        </c:txPr>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исполнительным документам, млн рублей</c:v>
                </c:pt>
                <c:pt idx="1">
                  <c:v>сумма по возвращенным исполнительным документам, млн рублей</c:v>
                </c:pt>
                <c:pt idx="2">
                  <c:v>сумма по принятым к 
исполнению исполнительным документам, млн рублей</c:v>
                </c:pt>
                <c:pt idx="3">
                  <c:v>сумма по 
исполненным исполнительным документам, млн рублей</c:v>
                </c:pt>
              </c:strCache>
            </c:strRef>
          </c:cat>
          <c:val>
            <c:numRef>
              <c:f>Лист1!$B$10:$B$13</c:f>
              <c:numCache>
                <c:formatCode>#,##0</c:formatCode>
                <c:ptCount val="4"/>
                <c:pt idx="0">
                  <c:v>10650</c:v>
                </c:pt>
                <c:pt idx="1">
                  <c:v>4441</c:v>
                </c:pt>
                <c:pt idx="2">
                  <c:v>6208</c:v>
                </c:pt>
                <c:pt idx="3">
                  <c:v>7076</c:v>
                </c:pt>
              </c:numCache>
            </c:numRef>
          </c:val>
        </c:ser>
        <c:dLbls>
          <c:showLegendKey val="0"/>
          <c:showVal val="0"/>
          <c:showCatName val="0"/>
          <c:showSerName val="0"/>
          <c:showPercent val="0"/>
          <c:showBubbleSize val="0"/>
        </c:dLbls>
        <c:gapWidth val="150"/>
        <c:axId val="103530496"/>
        <c:axId val="103532032"/>
      </c:barChart>
      <c:catAx>
        <c:axId val="103530496"/>
        <c:scaling>
          <c:orientation val="minMax"/>
        </c:scaling>
        <c:delete val="1"/>
        <c:axPos val="b"/>
        <c:numFmt formatCode="[$-419]mmmm\ yyyy;@" sourceLinked="1"/>
        <c:majorTickMark val="none"/>
        <c:minorTickMark val="none"/>
        <c:tickLblPos val="nextTo"/>
        <c:crossAx val="103532032"/>
        <c:crosses val="autoZero"/>
        <c:auto val="1"/>
        <c:lblAlgn val="ctr"/>
        <c:lblOffset val="100"/>
        <c:noMultiLvlLbl val="1"/>
      </c:catAx>
      <c:valAx>
        <c:axId val="103532032"/>
        <c:scaling>
          <c:orientation val="minMax"/>
        </c:scaling>
        <c:delete val="0"/>
        <c:axPos val="l"/>
        <c:majorGridlines/>
        <c:numFmt formatCode="#,##0" sourceLinked="1"/>
        <c:majorTickMark val="none"/>
        <c:minorTickMark val="none"/>
        <c:tickLblPos val="nextTo"/>
        <c:txPr>
          <a:bodyPr/>
          <a:lstStyle/>
          <a:p>
            <a:pPr>
              <a:defRPr sz="1050"/>
            </a:pPr>
            <a:endParaRPr lang="ru-RU"/>
          </a:p>
        </c:txPr>
        <c:crossAx val="103530496"/>
        <c:crosses val="autoZero"/>
        <c:crossBetween val="between"/>
      </c:valAx>
      <c:dTable>
        <c:showHorzBorder val="1"/>
        <c:showVertBorder val="1"/>
        <c:showOutline val="1"/>
        <c:showKeys val="1"/>
        <c:txPr>
          <a:bodyPr/>
          <a:lstStyle/>
          <a:p>
            <a:pPr rtl="0">
              <a:defRPr sz="1000"/>
            </a:pPr>
            <a:endParaRPr lang="ru-RU"/>
          </a:p>
        </c:txPr>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исполнительных документов, шт.</c:v>
                </c:pt>
                <c:pt idx="1">
                  <c:v>количество возвращенных исполнительных документов, шт.</c:v>
                </c:pt>
                <c:pt idx="2">
                  <c:v>количество принятых к исполнению исполнительных документов, шт.</c:v>
                </c:pt>
                <c:pt idx="3">
                  <c:v>количество исполненных исполнительных документов, шт.</c:v>
                </c:pt>
              </c:strCache>
            </c:strRef>
          </c:cat>
          <c:val>
            <c:numRef>
              <c:f>Лист1!$B$10:$B$13</c:f>
              <c:numCache>
                <c:formatCode>#,##0</c:formatCode>
                <c:ptCount val="4"/>
                <c:pt idx="0">
                  <c:v>134908</c:v>
                </c:pt>
                <c:pt idx="1">
                  <c:v>17363</c:v>
                </c:pt>
                <c:pt idx="2">
                  <c:v>117545</c:v>
                </c:pt>
                <c:pt idx="3">
                  <c:v>116141</c:v>
                </c:pt>
              </c:numCache>
            </c:numRef>
          </c:val>
        </c:ser>
        <c:dLbls>
          <c:showLegendKey val="0"/>
          <c:showVal val="0"/>
          <c:showCatName val="0"/>
          <c:showSerName val="0"/>
          <c:showPercent val="0"/>
          <c:showBubbleSize val="0"/>
        </c:dLbls>
        <c:gapWidth val="150"/>
        <c:axId val="103619968"/>
        <c:axId val="103634048"/>
      </c:barChart>
      <c:catAx>
        <c:axId val="103619968"/>
        <c:scaling>
          <c:orientation val="minMax"/>
        </c:scaling>
        <c:delete val="1"/>
        <c:axPos val="b"/>
        <c:numFmt formatCode="[$-419]mmmm\ yyyy;@" sourceLinked="1"/>
        <c:majorTickMark val="none"/>
        <c:minorTickMark val="none"/>
        <c:tickLblPos val="nextTo"/>
        <c:crossAx val="103634048"/>
        <c:crosses val="autoZero"/>
        <c:auto val="1"/>
        <c:lblAlgn val="ctr"/>
        <c:lblOffset val="100"/>
        <c:noMultiLvlLbl val="1"/>
      </c:catAx>
      <c:valAx>
        <c:axId val="103634048"/>
        <c:scaling>
          <c:orientation val="minMax"/>
        </c:scaling>
        <c:delete val="0"/>
        <c:axPos val="l"/>
        <c:majorGridlines/>
        <c:numFmt formatCode="#,##0" sourceLinked="1"/>
        <c:majorTickMark val="none"/>
        <c:minorTickMark val="none"/>
        <c:tickLblPos val="nextTo"/>
        <c:txPr>
          <a:bodyPr/>
          <a:lstStyle/>
          <a:p>
            <a:pPr>
              <a:defRPr sz="1050"/>
            </a:pPr>
            <a:endParaRPr lang="ru-RU"/>
          </a:p>
        </c:txPr>
        <c:crossAx val="103619968"/>
        <c:crosses val="autoZero"/>
        <c:crossBetween val="between"/>
      </c:valAx>
      <c:dTable>
        <c:showHorzBorder val="1"/>
        <c:showVertBorder val="1"/>
        <c:showOutline val="1"/>
        <c:showKeys val="1"/>
        <c:txPr>
          <a:bodyPr/>
          <a:lstStyle/>
          <a:p>
            <a:pPr rtl="0">
              <a:defRPr sz="1000"/>
            </a:pPr>
            <a:endParaRPr lang="ru-RU"/>
          </a:p>
        </c:txPr>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исполнительным документам, млн рублей</c:v>
                </c:pt>
                <c:pt idx="1">
                  <c:v>сумма по возвращенным исполнительным документам, млн рублей</c:v>
                </c:pt>
                <c:pt idx="2">
                  <c:v>сумма по принятым к 
исполнению исполнительным документам, млн рублей</c:v>
                </c:pt>
                <c:pt idx="3">
                  <c:v>сумма по 
исполненным исполнительным документам, млн рублей</c:v>
                </c:pt>
              </c:strCache>
            </c:strRef>
          </c:cat>
          <c:val>
            <c:numRef>
              <c:f>Лист1!$B$10:$B$13</c:f>
              <c:numCache>
                <c:formatCode>#,##0</c:formatCode>
                <c:ptCount val="4"/>
                <c:pt idx="0">
                  <c:v>18142</c:v>
                </c:pt>
                <c:pt idx="1">
                  <c:v>4069</c:v>
                </c:pt>
                <c:pt idx="2">
                  <c:v>14073</c:v>
                </c:pt>
                <c:pt idx="3">
                  <c:v>11351</c:v>
                </c:pt>
              </c:numCache>
            </c:numRef>
          </c:val>
        </c:ser>
        <c:dLbls>
          <c:showLegendKey val="0"/>
          <c:showVal val="0"/>
          <c:showCatName val="0"/>
          <c:showSerName val="0"/>
          <c:showPercent val="0"/>
          <c:showBubbleSize val="0"/>
        </c:dLbls>
        <c:gapWidth val="150"/>
        <c:axId val="103652352"/>
        <c:axId val="103666432"/>
      </c:barChart>
      <c:catAx>
        <c:axId val="103652352"/>
        <c:scaling>
          <c:orientation val="minMax"/>
        </c:scaling>
        <c:delete val="1"/>
        <c:axPos val="b"/>
        <c:numFmt formatCode="[$-419]mmmm\ yyyy;@" sourceLinked="1"/>
        <c:majorTickMark val="none"/>
        <c:minorTickMark val="none"/>
        <c:tickLblPos val="nextTo"/>
        <c:crossAx val="103666432"/>
        <c:crosses val="autoZero"/>
        <c:auto val="1"/>
        <c:lblAlgn val="ctr"/>
        <c:lblOffset val="100"/>
        <c:noMultiLvlLbl val="1"/>
      </c:catAx>
      <c:valAx>
        <c:axId val="103666432"/>
        <c:scaling>
          <c:orientation val="minMax"/>
        </c:scaling>
        <c:delete val="0"/>
        <c:axPos val="l"/>
        <c:majorGridlines/>
        <c:numFmt formatCode="#,##0" sourceLinked="1"/>
        <c:majorTickMark val="none"/>
        <c:minorTickMark val="none"/>
        <c:tickLblPos val="nextTo"/>
        <c:txPr>
          <a:bodyPr/>
          <a:lstStyle/>
          <a:p>
            <a:pPr>
              <a:defRPr sz="1050"/>
            </a:pPr>
            <a:endParaRPr lang="ru-RU"/>
          </a:p>
        </c:txPr>
        <c:crossAx val="103652352"/>
        <c:crosses val="autoZero"/>
        <c:crossBetween val="between"/>
      </c:valAx>
      <c:dTable>
        <c:showHorzBorder val="1"/>
        <c:showVertBorder val="1"/>
        <c:showOutline val="1"/>
        <c:showKeys val="1"/>
        <c:txPr>
          <a:bodyPr/>
          <a:lstStyle/>
          <a:p>
            <a:pPr rtl="0">
              <a:defRPr sz="1000"/>
            </a:pPr>
            <a:endParaRPr lang="ru-RU"/>
          </a:p>
        </c:txPr>
      </c:dTable>
      <c:spPr>
        <a:noFill/>
        <a:ln w="25400">
          <a:noFill/>
        </a:ln>
      </c:spPr>
    </c:plotArea>
    <c:plotVisOnly val="1"/>
    <c:dispBlanksAs val="gap"/>
    <c:showDLblsOverMax val="0"/>
  </c:chart>
  <c:txPr>
    <a:bodyPr/>
    <a:lstStyle/>
    <a:p>
      <a:pPr>
        <a:defRPr baseline="0">
          <a:latin typeface="Times New Roman" panose="02020603050405020304"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7.9736497471556991E-2"/>
          <c:y val="5.3878064557565962E-2"/>
          <c:w val="0.5925392046721113"/>
          <c:h val="0.91992954499577939"/>
        </c:manualLayout>
      </c:layout>
      <c:pieChart>
        <c:varyColors val="1"/>
        <c:ser>
          <c:idx val="0"/>
          <c:order val="0"/>
          <c:explosion val="25"/>
          <c:dPt>
            <c:idx val="0"/>
            <c:bubble3D val="0"/>
            <c:spPr>
              <a:solidFill>
                <a:srgbClr val="00B0F0"/>
              </a:solidFill>
            </c:spPr>
          </c:dPt>
          <c:dPt>
            <c:idx val="1"/>
            <c:bubble3D val="0"/>
            <c:spPr>
              <a:solidFill>
                <a:srgbClr val="00B050"/>
              </a:solidFill>
            </c:spPr>
          </c:dPt>
          <c:dPt>
            <c:idx val="2"/>
            <c:bubble3D val="0"/>
            <c:spPr>
              <a:solidFill>
                <a:schemeClr val="tx2">
                  <a:lumMod val="60000"/>
                  <a:lumOff val="40000"/>
                </a:schemeClr>
              </a:solidFill>
            </c:spPr>
          </c:dPt>
          <c:dPt>
            <c:idx val="3"/>
            <c:bubble3D val="0"/>
            <c:spPr>
              <a:solidFill>
                <a:schemeClr val="accent5">
                  <a:lumMod val="60000"/>
                  <a:lumOff val="40000"/>
                </a:schemeClr>
              </a:solidFill>
            </c:spPr>
          </c:dPt>
          <c:dPt>
            <c:idx val="5"/>
            <c:bubble3D val="0"/>
            <c:spPr>
              <a:solidFill>
                <a:srgbClr val="92D050"/>
              </a:solidFill>
            </c:spPr>
          </c:dPt>
          <c:dLbls>
            <c:dLbl>
              <c:idx val="8"/>
              <c:layout>
                <c:manualLayout>
                  <c:x val="2.0260602959001381E-2"/>
                  <c:y val="4.6583683524791718E-2"/>
                </c:manualLayout>
              </c:layout>
              <c:showLegendKey val="0"/>
              <c:showVal val="1"/>
              <c:showCatName val="0"/>
              <c:showSerName val="0"/>
              <c:showPercent val="0"/>
              <c:showBubbleSize val="0"/>
            </c:dLbl>
            <c:dLbl>
              <c:idx val="10"/>
              <c:layout>
                <c:manualLayout>
                  <c:x val="2.5776710621307552E-2"/>
                  <c:y val="2.640055556575035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Лист1!$B$4:$B$14</c:f>
              <c:strCache>
                <c:ptCount val="11"/>
                <c:pt idx="0">
                  <c:v>другие ГРБС</c:v>
                </c:pt>
                <c:pt idx="1">
                  <c:v>ФТС России</c:v>
                </c:pt>
                <c:pt idx="2">
                  <c:v>Минобороны России</c:v>
                </c:pt>
                <c:pt idx="3">
                  <c:v>ФНС России</c:v>
                </c:pt>
                <c:pt idx="4">
                  <c:v>ФСИН России</c:v>
                </c:pt>
                <c:pt idx="5">
                  <c:v>МВД России</c:v>
                </c:pt>
                <c:pt idx="6">
                  <c:v>МЧС России </c:v>
                </c:pt>
                <c:pt idx="7">
                  <c:v>ФССП России </c:v>
                </c:pt>
                <c:pt idx="8">
                  <c:v>Росреестр</c:v>
                </c:pt>
                <c:pt idx="9">
                  <c:v>Росимущество</c:v>
                </c:pt>
                <c:pt idx="10">
                  <c:v>ФАС России </c:v>
                </c:pt>
              </c:strCache>
            </c:strRef>
          </c:cat>
          <c:val>
            <c:numRef>
              <c:f>Лист1!$C$4:$C$14</c:f>
              <c:numCache>
                <c:formatCode>#,##0</c:formatCode>
                <c:ptCount val="11"/>
                <c:pt idx="0">
                  <c:v>4334</c:v>
                </c:pt>
                <c:pt idx="1">
                  <c:v>11988</c:v>
                </c:pt>
                <c:pt idx="2">
                  <c:v>8243</c:v>
                </c:pt>
                <c:pt idx="3">
                  <c:v>6607</c:v>
                </c:pt>
                <c:pt idx="4">
                  <c:v>3865</c:v>
                </c:pt>
                <c:pt idx="5">
                  <c:v>4495</c:v>
                </c:pt>
                <c:pt idx="6">
                  <c:v>4398</c:v>
                </c:pt>
                <c:pt idx="7">
                  <c:v>2512</c:v>
                </c:pt>
                <c:pt idx="8">
                  <c:v>1155</c:v>
                </c:pt>
                <c:pt idx="9">
                  <c:v>1119</c:v>
                </c:pt>
                <c:pt idx="10" formatCode="General">
                  <c:v>1031</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7272145752578163"/>
          <c:y val="6.1971615591370696E-2"/>
          <c:w val="0.25816455038112718"/>
          <c:h val="0.67951718308437625"/>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100"/>
            </a:pPr>
            <a:r>
              <a:rPr lang="ru-RU" sz="1200" baseline="0"/>
              <a:t>Соответствие положений нормативных правовых актов субъекта Российской Федерации по учету бюджетных обязательств получателей средств положениям нормативных правовых актов Минфина России</a:t>
            </a:r>
            <a:endParaRPr lang="ru-RU" sz="1200"/>
          </a:p>
        </c:rich>
      </c:tx>
      <c:layout>
        <c:manualLayout>
          <c:xMode val="edge"/>
          <c:yMode val="edge"/>
          <c:x val="0.1271987183414473"/>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2021993516607249"/>
          <c:y val="0.20769614348050036"/>
          <c:w val="0.56354879427462667"/>
          <c:h val="0.38681424821897264"/>
        </c:manualLayout>
      </c:layout>
      <c:pie3DChart>
        <c:varyColors val="1"/>
        <c:ser>
          <c:idx val="0"/>
          <c:order val="0"/>
          <c:tx>
            <c:strRef>
              <c:f>Лист1!$B$1</c:f>
              <c:strCache>
                <c:ptCount val="1"/>
                <c:pt idx="0">
                  <c:v>Кассовое обслуживание исполенния бюджетов субъектов Российской Федерации (по состоянию на 01.01.2015)</c:v>
                </c:pt>
              </c:strCache>
            </c:strRef>
          </c:tx>
          <c:explosion val="16"/>
          <c:dPt>
            <c:idx val="0"/>
            <c:bubble3D val="0"/>
            <c:explosion val="4"/>
            <c:spPr>
              <a:solidFill>
                <a:srgbClr val="1F497D">
                  <a:lumMod val="40000"/>
                  <a:lumOff val="60000"/>
                </a:srgbClr>
              </a:solidFill>
            </c:spPr>
          </c:dPt>
          <c:dPt>
            <c:idx val="1"/>
            <c:bubble3D val="0"/>
            <c:explosion val="5"/>
            <c:spPr>
              <a:solidFill>
                <a:sysClr val="window" lastClr="FFFFFF">
                  <a:lumMod val="75000"/>
                </a:sysClr>
              </a:solidFill>
            </c:spPr>
          </c:dPt>
          <c:dPt>
            <c:idx val="2"/>
            <c:bubble3D val="0"/>
            <c:explosion val="2"/>
            <c:spPr>
              <a:solidFill>
                <a:srgbClr val="F79646">
                  <a:lumMod val="60000"/>
                  <a:lumOff val="40000"/>
                </a:srgbClr>
              </a:solidFill>
            </c:spPr>
          </c:dPt>
          <c:dPt>
            <c:idx val="3"/>
            <c:bubble3D val="0"/>
            <c:spPr>
              <a:solidFill>
                <a:srgbClr val="9BBB59">
                  <a:lumMod val="60000"/>
                  <a:lumOff val="40000"/>
                </a:srgbClr>
              </a:solidFill>
            </c:spPr>
          </c:dPt>
          <c:dPt>
            <c:idx val="4"/>
            <c:bubble3D val="0"/>
            <c:spPr>
              <a:solidFill>
                <a:srgbClr val="8064A2">
                  <a:lumMod val="75000"/>
                </a:srgbClr>
              </a:solidFill>
            </c:spPr>
          </c:dPt>
          <c:dPt>
            <c:idx val="5"/>
            <c:bubble3D val="0"/>
            <c:spPr>
              <a:solidFill>
                <a:srgbClr val="C0504D">
                  <a:lumMod val="75000"/>
                </a:srgbClr>
              </a:solidFill>
            </c:spPr>
          </c:dPt>
          <c:dLbls>
            <c:dLbl>
              <c:idx val="0"/>
              <c:layout>
                <c:manualLayout>
                  <c:x val="5.7880158597196626E-2"/>
                  <c:y val="5.8614064994453015E-3"/>
                </c:manualLayout>
              </c:layout>
              <c:tx>
                <c:rich>
                  <a:bodyPr/>
                  <a:lstStyle/>
                  <a:p>
                    <a:r>
                      <a:rPr lang="ru-RU" sz="998" b="0" i="0" dirty="0" smtClean="0"/>
                      <a:t>23</a:t>
                    </a:r>
                  </a:p>
                  <a:p>
                    <a:r>
                      <a:rPr lang="ru-RU" sz="998" b="0" i="0" u="none" strike="noStrike" kern="1200" baseline="0" dirty="0" smtClean="0">
                        <a:solidFill>
                          <a:sysClr val="windowText" lastClr="000000"/>
                        </a:solidFill>
                        <a:latin typeface="Times New Roman" panose="02020603050405020304" pitchFamily="18" charset="0"/>
                        <a:ea typeface="+mn-ea"/>
                        <a:cs typeface="Times New Roman" panose="02020603050405020304" pitchFamily="18" charset="0"/>
                      </a:rPr>
                      <a:t> </a:t>
                    </a:r>
                    <a:r>
                      <a:rPr lang="ru-RU" sz="998" b="0" i="0" dirty="0" smtClean="0"/>
                      <a:t>27,1 </a:t>
                    </a:r>
                    <a:r>
                      <a:rPr lang="en-US" sz="998" b="0" i="0" dirty="0"/>
                      <a:t>%</a:t>
                    </a:r>
                    <a:endParaRPr lang="en-US" b="1" dirty="0"/>
                  </a:p>
                </c:rich>
              </c:tx>
              <c:dLblPos val="bestFit"/>
              <c:showLegendKey val="0"/>
              <c:showVal val="0"/>
              <c:showCatName val="0"/>
              <c:showSerName val="0"/>
              <c:showPercent val="0"/>
              <c:showBubbleSize val="0"/>
            </c:dLbl>
            <c:dLbl>
              <c:idx val="1"/>
              <c:layout>
                <c:manualLayout>
                  <c:x val="3.3542642612709619E-3"/>
                  <c:y val="-4.117490415738842E-2"/>
                </c:manualLayout>
              </c:layout>
              <c:tx>
                <c:rich>
                  <a:bodyPr/>
                  <a:lstStyle/>
                  <a:p>
                    <a:r>
                      <a:rPr lang="ru-RU" sz="998" b="0" i="0" dirty="0" smtClean="0"/>
                      <a:t>3</a:t>
                    </a:r>
                  </a:p>
                  <a:p>
                    <a:r>
                      <a:rPr lang="ru-RU" sz="998" b="0" i="0" dirty="0" smtClean="0"/>
                      <a:t>3,5 </a:t>
                    </a:r>
                    <a:r>
                      <a:rPr lang="en-US" sz="998" b="0" i="0" dirty="0" smtClean="0"/>
                      <a:t>%</a:t>
                    </a:r>
                    <a:endParaRPr lang="ru-RU" b="1" dirty="0" smtClean="0"/>
                  </a:p>
                </c:rich>
              </c:tx>
              <c:dLblPos val="bestFit"/>
              <c:showLegendKey val="0"/>
              <c:showVal val="0"/>
              <c:showCatName val="0"/>
              <c:showSerName val="0"/>
              <c:showPercent val="0"/>
              <c:showBubbleSize val="0"/>
            </c:dLbl>
            <c:dLbl>
              <c:idx val="2"/>
              <c:layout>
                <c:manualLayout>
                  <c:x val="0.12574623955138137"/>
                  <c:y val="-4.183727034120735E-2"/>
                </c:manualLayout>
              </c:layout>
              <c:tx>
                <c:rich>
                  <a:bodyPr/>
                  <a:lstStyle/>
                  <a:p>
                    <a:r>
                      <a:rPr lang="ru-RU" sz="998" b="0" i="0" dirty="0" smtClean="0"/>
                      <a:t>23</a:t>
                    </a:r>
                  </a:p>
                  <a:p>
                    <a:r>
                      <a:rPr lang="ru-RU" sz="998" b="0" i="0" dirty="0" smtClean="0"/>
                      <a:t>27,1 </a:t>
                    </a:r>
                    <a:r>
                      <a:rPr lang="en-US" sz="998" b="0" i="0" dirty="0" smtClean="0"/>
                      <a:t>%</a:t>
                    </a:r>
                    <a:endParaRPr lang="ru-RU" b="1" dirty="0" smtClean="0"/>
                  </a:p>
                </c:rich>
              </c:tx>
              <c:dLblPos val="bestFit"/>
              <c:showLegendKey val="0"/>
              <c:showVal val="0"/>
              <c:showCatName val="0"/>
              <c:showSerName val="0"/>
              <c:showPercent val="0"/>
              <c:showBubbleSize val="0"/>
            </c:dLbl>
            <c:dLbl>
              <c:idx val="3"/>
              <c:layout>
                <c:manualLayout>
                  <c:x val="-5.1108792123876083E-2"/>
                  <c:y val="-4.6397714991508417E-2"/>
                </c:manualLayout>
              </c:layout>
              <c:tx>
                <c:rich>
                  <a:bodyPr/>
                  <a:lstStyle/>
                  <a:p>
                    <a:r>
                      <a:rPr lang="ru-RU" sz="998" b="0" i="0"/>
                      <a:t> 4</a:t>
                    </a:r>
                  </a:p>
                  <a:p>
                    <a:r>
                      <a:rPr lang="ru-RU" sz="998" b="0" i="0"/>
                      <a:t>4,7 </a:t>
                    </a:r>
                    <a:r>
                      <a:rPr lang="en-US" sz="998" b="0" i="0"/>
                      <a:t>%</a:t>
                    </a:r>
                    <a:endParaRPr lang="en-US" b="1"/>
                  </a:p>
                </c:rich>
              </c:tx>
              <c:dLblPos val="bestFit"/>
              <c:showLegendKey val="0"/>
              <c:showVal val="0"/>
              <c:showCatName val="0"/>
              <c:showSerName val="0"/>
              <c:showPercent val="0"/>
              <c:showBubbleSize val="0"/>
            </c:dLbl>
            <c:dLbl>
              <c:idx val="4"/>
              <c:layout>
                <c:manualLayout>
                  <c:x val="-3.9576094654834811E-2"/>
                  <c:y val="9.1192859567632912E-4"/>
                </c:manualLayout>
              </c:layout>
              <c:tx>
                <c:rich>
                  <a:bodyPr/>
                  <a:lstStyle/>
                  <a:p>
                    <a:r>
                      <a:rPr lang="ru-RU" sz="998" b="0" i="0"/>
                      <a:t>30</a:t>
                    </a:r>
                  </a:p>
                  <a:p>
                    <a:r>
                      <a:rPr lang="ru-RU" sz="998" b="0" i="0"/>
                      <a:t>35,2 </a:t>
                    </a:r>
                    <a:r>
                      <a:rPr lang="en-US" sz="998" b="0" i="0"/>
                      <a:t>%</a:t>
                    </a:r>
                    <a:endParaRPr lang="en-US" b="1"/>
                  </a:p>
                </c:rich>
              </c:tx>
              <c:dLblPos val="bestFit"/>
              <c:showLegendKey val="0"/>
              <c:showVal val="0"/>
              <c:showCatName val="0"/>
              <c:showSerName val="0"/>
              <c:showPercent val="0"/>
              <c:showBubbleSize val="0"/>
            </c:dLbl>
            <c:dLbl>
              <c:idx val="5"/>
              <c:layout>
                <c:manualLayout>
                  <c:x val="-4.779748916927553E-2"/>
                  <c:y val="1.3694302918017601E-2"/>
                </c:manualLayout>
              </c:layout>
              <c:tx>
                <c:rich>
                  <a:bodyPr/>
                  <a:lstStyle/>
                  <a:p>
                    <a:r>
                      <a:rPr lang="ru-RU" sz="998" b="0" i="0"/>
                      <a:t>2</a:t>
                    </a:r>
                  </a:p>
                  <a:p>
                    <a:r>
                      <a:rPr lang="ru-RU" sz="998" b="0" i="0"/>
                      <a:t>2,4 %</a:t>
                    </a:r>
                    <a:endParaRPr lang="en-US" b="1"/>
                  </a:p>
                </c:rich>
              </c:tx>
              <c:dLblPos val="bestFit"/>
              <c:showLegendKey val="0"/>
              <c:showVal val="0"/>
              <c:showCatName val="0"/>
              <c:showSerName val="0"/>
              <c:showPercent val="0"/>
              <c:showBubbleSize val="0"/>
            </c:dLbl>
            <c:dLbl>
              <c:idx val="6"/>
              <c:layout>
                <c:manualLayout>
                  <c:x val="4.904678581843936E-2"/>
                  <c:y val="-1.4238706027470958E-2"/>
                </c:manualLayout>
              </c:layout>
              <c:tx>
                <c:rich>
                  <a:bodyPr/>
                  <a:lstStyle/>
                  <a:p>
                    <a:r>
                      <a:rPr lang="en-US" sz="998" b="0" i="0"/>
                      <a:t>2</a:t>
                    </a:r>
                    <a:endParaRPr lang="ru-RU" sz="1000" b="0" i="0"/>
                  </a:p>
                  <a:p>
                    <a:r>
                      <a:rPr lang="ru-RU" sz="998" b="0" i="0"/>
                      <a:t>2,4 %</a:t>
                    </a:r>
                    <a:endParaRPr lang="en-US"/>
                  </a:p>
                </c:rich>
              </c:tx>
              <c:dLblPos val="bestFit"/>
              <c:showLegendKey val="0"/>
              <c:showVal val="0"/>
              <c:showCatName val="0"/>
              <c:showSerName val="0"/>
              <c:showPercent val="0"/>
              <c:showBubbleSize val="0"/>
            </c:dLbl>
            <c:txPr>
              <a:bodyPr/>
              <a:lstStyle/>
              <a:p>
                <a:pPr>
                  <a:defRPr sz="998" b="0" i="0"/>
                </a:pPr>
                <a:endParaRPr lang="ru-RU"/>
              </a:p>
            </c:txPr>
            <c:showLegendKey val="0"/>
            <c:showVal val="0"/>
            <c:showCatName val="0"/>
            <c:showSerName val="0"/>
            <c:showPercent val="1"/>
            <c:showBubbleSize val="0"/>
            <c:showLeaderLines val="1"/>
          </c:dLbls>
          <c:cat>
            <c:strRef>
              <c:f>Лист1!$A$2:$A$7</c:f>
              <c:strCache>
                <c:ptCount val="6"/>
                <c:pt idx="0">
                  <c:v>аналогичены нормативным правовым актам Минфина России</c:v>
                </c:pt>
                <c:pt idx="1">
                  <c:v>отдельные положения аналогичны нормативным правовым актам Минфина России</c:v>
                </c:pt>
                <c:pt idx="2">
                  <c:v>значительно отличаются от нормативных правовых актов  Минфина России</c:v>
                </c:pt>
                <c:pt idx="3">
                  <c:v>учет бюджетных обязательств осуществляется ТОФК в соответствии с соглашением о кассовом обслуживании</c:v>
                </c:pt>
                <c:pt idx="4">
                  <c:v>нормативные правовые акты об учете бюджетных обязательств отсутствуют</c:v>
                </c:pt>
                <c:pt idx="5">
                  <c:v>учет бюджетных обязательств осуществляется в соответствии с требованиями инструкции по бюджетному учету</c:v>
                </c:pt>
              </c:strCache>
            </c:strRef>
          </c:cat>
          <c:val>
            <c:numRef>
              <c:f>Лист1!$B$2:$B$7</c:f>
              <c:numCache>
                <c:formatCode>General</c:formatCode>
                <c:ptCount val="6"/>
                <c:pt idx="0">
                  <c:v>23</c:v>
                </c:pt>
                <c:pt idx="1">
                  <c:v>3</c:v>
                </c:pt>
                <c:pt idx="2">
                  <c:v>23</c:v>
                </c:pt>
                <c:pt idx="3">
                  <c:v>4</c:v>
                </c:pt>
                <c:pt idx="4">
                  <c:v>30</c:v>
                </c:pt>
                <c:pt idx="5">
                  <c:v>2</c:v>
                </c:pt>
              </c:numCache>
            </c:numRef>
          </c:val>
        </c:ser>
        <c:dLbls>
          <c:showLegendKey val="0"/>
          <c:showVal val="0"/>
          <c:showCatName val="0"/>
          <c:showSerName val="0"/>
          <c:showPercent val="0"/>
          <c:showBubbleSize val="0"/>
          <c:showLeaderLines val="1"/>
        </c:dLbls>
      </c:pie3DChart>
      <c:spPr>
        <a:noFill/>
        <a:ln w="25340">
          <a:noFill/>
        </a:ln>
      </c:spPr>
    </c:plotArea>
    <c:legend>
      <c:legendPos val="b"/>
      <c:layout>
        <c:manualLayout>
          <c:xMode val="edge"/>
          <c:yMode val="edge"/>
          <c:x val="2.9240671784252867E-2"/>
          <c:y val="0.61397532472736871"/>
          <c:w val="0.96163288933908952"/>
          <c:h val="0.35209535109481177"/>
        </c:manualLayout>
      </c:layout>
      <c:overlay val="0"/>
      <c:txPr>
        <a:bodyPr/>
        <a:lstStyle/>
        <a:p>
          <a:pPr rtl="0">
            <a:defRPr sz="998" b="0" kern="1000" spc="10" baseline="0"/>
          </a:pPr>
          <a:endParaRPr lang="ru-RU"/>
        </a:p>
      </c:txPr>
    </c:legend>
    <c:plotVisOnly val="1"/>
    <c:dispBlanksAs val="gap"/>
    <c:showDLblsOverMax val="0"/>
  </c:chart>
  <c:spPr>
    <a:solidFill>
      <a:sysClr val="window" lastClr="FFFFFF"/>
    </a:solidFill>
    <a:ln>
      <a:noFill/>
    </a:ln>
  </c:spPr>
  <c:txPr>
    <a:bodyPr/>
    <a:lstStyle/>
    <a:p>
      <a:pPr>
        <a:defRPr sz="1397">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5.0558651950068915E-2"/>
          <c:y val="0"/>
          <c:w val="0.55750272738832918"/>
          <c:h val="0.88543002879818222"/>
        </c:manualLayout>
      </c:layout>
      <c:pieChart>
        <c:varyColors val="1"/>
        <c:ser>
          <c:idx val="0"/>
          <c:order val="0"/>
          <c:explosion val="25"/>
          <c:dPt>
            <c:idx val="0"/>
            <c:bubble3D val="0"/>
            <c:spPr>
              <a:solidFill>
                <a:srgbClr val="00B0F0"/>
              </a:solidFill>
            </c:spPr>
          </c:dPt>
          <c:dPt>
            <c:idx val="1"/>
            <c:bubble3D val="0"/>
            <c:spPr>
              <a:solidFill>
                <a:srgbClr val="00B050"/>
              </a:solidFill>
            </c:spPr>
          </c:dPt>
          <c:dPt>
            <c:idx val="2"/>
            <c:bubble3D val="0"/>
            <c:spPr>
              <a:solidFill>
                <a:schemeClr val="tx2">
                  <a:lumMod val="60000"/>
                  <a:lumOff val="40000"/>
                </a:schemeClr>
              </a:solidFill>
            </c:spPr>
          </c:dPt>
          <c:dPt>
            <c:idx val="3"/>
            <c:bubble3D val="0"/>
            <c:spPr>
              <a:solidFill>
                <a:schemeClr val="accent5">
                  <a:lumMod val="60000"/>
                  <a:lumOff val="40000"/>
                </a:schemeClr>
              </a:solidFill>
            </c:spPr>
          </c:dPt>
          <c:dPt>
            <c:idx val="5"/>
            <c:bubble3D val="0"/>
            <c:spPr>
              <a:solidFill>
                <a:srgbClr val="92D050"/>
              </a:solidFill>
            </c:spPr>
          </c:dPt>
          <c:dLbls>
            <c:dLbl>
              <c:idx val="0"/>
              <c:tx>
                <c:rich>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r>
                      <a:rPr lang="en-US"/>
                      <a:t>4</a:t>
                    </a:r>
                    <a:r>
                      <a:rPr lang="ru-RU"/>
                      <a:t> </a:t>
                    </a:r>
                    <a:r>
                      <a:rPr lang="en-US"/>
                      <a:t>808</a:t>
                    </a:r>
                  </a:p>
                </c:rich>
              </c:tx>
              <c:spPr/>
              <c:showLegendKey val="0"/>
              <c:showVal val="1"/>
              <c:showCatName val="0"/>
              <c:showSerName val="0"/>
              <c:showPercent val="0"/>
              <c:showBubbleSize val="0"/>
            </c:dLbl>
            <c:dLbl>
              <c:idx val="1"/>
              <c:tx>
                <c:rich>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r>
                      <a:rPr lang="en-US"/>
                      <a:t>1</a:t>
                    </a:r>
                    <a:r>
                      <a:rPr lang="ru-RU"/>
                      <a:t> </a:t>
                    </a:r>
                    <a:r>
                      <a:rPr lang="en-US"/>
                      <a:t>432</a:t>
                    </a:r>
                  </a:p>
                </c:rich>
              </c:tx>
              <c:spPr/>
              <c:showLegendKey val="0"/>
              <c:showVal val="1"/>
              <c:showCatName val="0"/>
              <c:showSerName val="0"/>
              <c:showPercent val="0"/>
              <c:showBubbleSize val="0"/>
            </c:dLbl>
            <c:dLbl>
              <c:idx val="2"/>
              <c:tx>
                <c:rich>
                  <a:bodyPr/>
                  <a:lstStyle/>
                  <a:p>
                    <a:pPr algn="ctr">
                      <a:defRPr lang="ru-RU" sz="1000" b="0" i="0" u="none" strike="noStrike" kern="1200" baseline="0">
                        <a:solidFill>
                          <a:sysClr val="window" lastClr="FFFFFF"/>
                        </a:solidFill>
                        <a:latin typeface="Times New Roman" panose="02020603050405020304" pitchFamily="18" charset="0"/>
                        <a:ea typeface="+mn-ea"/>
                        <a:cs typeface="+mn-cs"/>
                      </a:defRPr>
                    </a:pPr>
                    <a:r>
                      <a:rPr lang="en-US" b="0" i="0" baseline="0">
                        <a:solidFill>
                          <a:sysClr val="windowText" lastClr="000000"/>
                        </a:solidFill>
                        <a:latin typeface="Times New Roman" panose="02020603050405020304" pitchFamily="18" charset="0"/>
                      </a:rPr>
                      <a:t>5</a:t>
                    </a:r>
                    <a:r>
                      <a:rPr lang="ru-RU" b="0" i="0" baseline="0">
                        <a:solidFill>
                          <a:sysClr val="windowText" lastClr="000000"/>
                        </a:solidFill>
                        <a:latin typeface="Times New Roman" panose="02020603050405020304" pitchFamily="18" charset="0"/>
                      </a:rPr>
                      <a:t> </a:t>
                    </a:r>
                    <a:r>
                      <a:rPr lang="en-US" b="0" i="0" baseline="0">
                        <a:solidFill>
                          <a:sysClr val="windowText" lastClr="000000"/>
                        </a:solidFill>
                        <a:latin typeface="Times New Roman" panose="02020603050405020304" pitchFamily="18" charset="0"/>
                      </a:rPr>
                      <a:t>303</a:t>
                    </a:r>
                    <a:endParaRPr lang="en-US" baseline="0">
                      <a:solidFill>
                        <a:sysClr val="windowText" lastClr="000000"/>
                      </a:solidFill>
                    </a:endParaRPr>
                  </a:p>
                </c:rich>
              </c:tx>
              <c:spPr/>
              <c:showLegendKey val="0"/>
              <c:showVal val="1"/>
              <c:showCatName val="0"/>
              <c:showSerName val="0"/>
              <c:showPercent val="0"/>
              <c:showBubbleSize val="0"/>
            </c:dLbl>
            <c:dLbl>
              <c:idx val="3"/>
              <c:tx>
                <c:rich>
                  <a:bodyPr/>
                  <a:lstStyle/>
                  <a:p>
                    <a:pPr>
                      <a:defRPr b="0" i="0" baseline="0">
                        <a:solidFill>
                          <a:sysClr val="windowText" lastClr="000000"/>
                        </a:solidFill>
                        <a:latin typeface="Times New Roman" panose="02020603050405020304" pitchFamily="18" charset="0"/>
                      </a:defRPr>
                    </a:pPr>
                    <a:r>
                      <a:rPr lang="en-US"/>
                      <a:t>1</a:t>
                    </a:r>
                    <a:r>
                      <a:rPr lang="ru-RU"/>
                      <a:t> </a:t>
                    </a:r>
                    <a:r>
                      <a:rPr lang="en-US"/>
                      <a:t>560</a:t>
                    </a:r>
                  </a:p>
                </c:rich>
              </c:tx>
              <c:spPr/>
              <c:showLegendKey val="0"/>
              <c:showVal val="1"/>
              <c:showCatName val="0"/>
              <c:showSerName val="0"/>
              <c:showPercent val="0"/>
              <c:showBubbleSize val="0"/>
            </c:dLbl>
            <c:dLbl>
              <c:idx val="4"/>
              <c:spPr/>
              <c:txPr>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dLbl>
            <c:dLbl>
              <c:idx val="5"/>
              <c:tx>
                <c:rich>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r>
                      <a:rPr lang="en-US"/>
                      <a:t>1</a:t>
                    </a:r>
                    <a:r>
                      <a:rPr lang="ru-RU"/>
                      <a:t> </a:t>
                    </a:r>
                    <a:r>
                      <a:rPr lang="en-US"/>
                      <a:t>936</a:t>
                    </a:r>
                  </a:p>
                </c:rich>
              </c:tx>
              <c:spPr/>
              <c:showLegendKey val="0"/>
              <c:showVal val="1"/>
              <c:showCatName val="0"/>
              <c:showSerName val="0"/>
              <c:showPercent val="0"/>
              <c:showBubbleSize val="0"/>
            </c:dLbl>
            <c:dLbl>
              <c:idx val="6"/>
              <c:layout>
                <c:manualLayout>
                  <c:x val="6.3559874831473601E-2"/>
                  <c:y val="0.1210376308664365"/>
                </c:manualLayout>
              </c:layout>
              <c:spPr/>
              <c:txPr>
                <a:bodyPr/>
                <a:lstStyle/>
                <a:p>
                  <a:pPr>
                    <a:defRPr b="0" i="0" baseline="0">
                      <a:solidFill>
                        <a:schemeClr val="tx1"/>
                      </a:solidFill>
                      <a:latin typeface="Times New Roman" panose="02020603050405020304" pitchFamily="18" charset="0"/>
                    </a:defRPr>
                  </a:pPr>
                  <a:endParaRPr lang="ru-RU"/>
                </a:p>
              </c:txPr>
              <c:showLegendKey val="0"/>
              <c:showVal val="1"/>
              <c:showCatName val="0"/>
              <c:showSerName val="0"/>
              <c:showPercent val="0"/>
              <c:showBubbleSize val="0"/>
            </c:dLbl>
            <c:dLbl>
              <c:idx val="7"/>
              <c:layout>
                <c:manualLayout>
                  <c:x val="2.8690805962032408E-2"/>
                  <c:y val="4.157781212969193E-2"/>
                </c:manualLayout>
              </c:layout>
              <c:spPr/>
              <c:txPr>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dLbl>
            <c:dLbl>
              <c:idx val="8"/>
              <c:layout>
                <c:manualLayout>
                  <c:x val="3.0272452993091104E-2"/>
                  <c:y val="9.2395138065982062E-4"/>
                </c:manualLayout>
              </c:layout>
              <c:spPr/>
              <c:txPr>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dLbl>
            <c:dLbl>
              <c:idx val="9"/>
              <c:layout>
                <c:manualLayout>
                  <c:x val="2.5369567073597526E-2"/>
                  <c:y val="7.2068207691466005E-2"/>
                </c:manualLayout>
              </c:layout>
              <c:spPr/>
              <c:txPr>
                <a:bodyPr/>
                <a:lstStyle/>
                <a:p>
                  <a:pPr algn="ctr">
                    <a:defRPr lang="ru-RU" sz="10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dLbl>
            <c:dLbl>
              <c:idx val="10"/>
              <c:layout>
                <c:manualLayout>
                  <c:x val="9.3389001249999538E-3"/>
                  <c:y val="8.3155624259383856E-3"/>
                </c:manualLayout>
              </c:layout>
              <c:spPr/>
              <c:txPr>
                <a:bodyPr/>
                <a:lstStyle/>
                <a:p>
                  <a:pPr algn="ctr">
                    <a:defRPr lang="ru-RU" sz="1000" b="0" i="0" u="none" strike="noStrike" kern="1200" baseline="0">
                      <a:solidFill>
                        <a:schemeClr val="tx1"/>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dLbl>
            <c:txPr>
              <a:bodyPr/>
              <a:lstStyle/>
              <a:p>
                <a:pPr>
                  <a:defRPr b="0" i="0" baseline="0">
                    <a:solidFill>
                      <a:schemeClr val="bg1"/>
                    </a:solidFill>
                    <a:latin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Лист1!$B$4:$B$14</c:f>
              <c:strCache>
                <c:ptCount val="11"/>
                <c:pt idx="0">
                  <c:v>другие ГРБС</c:v>
                </c:pt>
                <c:pt idx="1">
                  <c:v>ФТС России</c:v>
                </c:pt>
                <c:pt idx="2">
                  <c:v>Минобороны России</c:v>
                </c:pt>
                <c:pt idx="3">
                  <c:v>ФНС России</c:v>
                </c:pt>
                <c:pt idx="4">
                  <c:v>ФСИН России</c:v>
                </c:pt>
                <c:pt idx="5">
                  <c:v>МВД России</c:v>
                </c:pt>
                <c:pt idx="6">
                  <c:v>МЧС России </c:v>
                </c:pt>
                <c:pt idx="7">
                  <c:v>ФССП России </c:v>
                </c:pt>
                <c:pt idx="8">
                  <c:v>Росреестр</c:v>
                </c:pt>
                <c:pt idx="9">
                  <c:v>Росимущество</c:v>
                </c:pt>
                <c:pt idx="10">
                  <c:v>ФАС России </c:v>
                </c:pt>
              </c:strCache>
            </c:strRef>
          </c:cat>
          <c:val>
            <c:numRef>
              <c:f>Лист1!$C$4:$C$14</c:f>
              <c:numCache>
                <c:formatCode>0</c:formatCode>
                <c:ptCount val="11"/>
                <c:pt idx="0">
                  <c:v>4808</c:v>
                </c:pt>
                <c:pt idx="1">
                  <c:v>1432</c:v>
                </c:pt>
                <c:pt idx="2">
                  <c:v>5303</c:v>
                </c:pt>
                <c:pt idx="3">
                  <c:v>1560</c:v>
                </c:pt>
                <c:pt idx="4">
                  <c:v>704</c:v>
                </c:pt>
                <c:pt idx="5">
                  <c:v>1936</c:v>
                </c:pt>
                <c:pt idx="6">
                  <c:v>878</c:v>
                </c:pt>
                <c:pt idx="7">
                  <c:v>124</c:v>
                </c:pt>
                <c:pt idx="8">
                  <c:v>27</c:v>
                </c:pt>
                <c:pt idx="9" formatCode="#,##0">
                  <c:v>838</c:v>
                </c:pt>
                <c:pt idx="10">
                  <c:v>20</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68765512765496639"/>
          <c:y val="6.1971615591370696E-2"/>
          <c:w val="0.29568975531744535"/>
          <c:h val="0.81531652391739085"/>
        </c:manualLayout>
      </c:layout>
      <c:overlay val="0"/>
      <c:txPr>
        <a:bodyPr/>
        <a:lstStyle/>
        <a:p>
          <a:pPr>
            <a:defRPr sz="1000" b="0" i="0" baseline="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решений налоговых органов, шт.</c:v>
                </c:pt>
                <c:pt idx="1">
                  <c:v>количество возвращенных решений налоговых органов, шт.</c:v>
                </c:pt>
                <c:pt idx="2">
                  <c:v>количество принятых к исполнению решений налоговых органов, шт.</c:v>
                </c:pt>
                <c:pt idx="3">
                  <c:v>количество исполненных решений налоговых органов, шт.</c:v>
                </c:pt>
              </c:strCache>
            </c:strRef>
          </c:cat>
          <c:val>
            <c:numRef>
              <c:f>Лист1!$B$10:$B$13</c:f>
              <c:numCache>
                <c:formatCode>#,##0</c:formatCode>
                <c:ptCount val="4"/>
                <c:pt idx="0">
                  <c:v>51259</c:v>
                </c:pt>
                <c:pt idx="1">
                  <c:v>2790</c:v>
                </c:pt>
                <c:pt idx="2">
                  <c:v>48469</c:v>
                </c:pt>
                <c:pt idx="3">
                  <c:v>40004</c:v>
                </c:pt>
              </c:numCache>
            </c:numRef>
          </c:val>
        </c:ser>
        <c:dLbls>
          <c:showLegendKey val="0"/>
          <c:showVal val="0"/>
          <c:showCatName val="0"/>
          <c:showSerName val="0"/>
          <c:showPercent val="0"/>
          <c:showBubbleSize val="0"/>
        </c:dLbls>
        <c:gapWidth val="150"/>
        <c:axId val="105054208"/>
        <c:axId val="105055744"/>
      </c:barChart>
      <c:catAx>
        <c:axId val="105054208"/>
        <c:scaling>
          <c:orientation val="minMax"/>
        </c:scaling>
        <c:delete val="1"/>
        <c:axPos val="b"/>
        <c:numFmt formatCode="[$-419]mmmm\ yyyy;@" sourceLinked="1"/>
        <c:majorTickMark val="none"/>
        <c:minorTickMark val="none"/>
        <c:tickLblPos val="nextTo"/>
        <c:crossAx val="105055744"/>
        <c:crosses val="autoZero"/>
        <c:auto val="1"/>
        <c:lblAlgn val="ctr"/>
        <c:lblOffset val="100"/>
        <c:noMultiLvlLbl val="1"/>
      </c:catAx>
      <c:valAx>
        <c:axId val="105055744"/>
        <c:scaling>
          <c:orientation val="minMax"/>
        </c:scaling>
        <c:delete val="0"/>
        <c:axPos val="l"/>
        <c:majorGridlines/>
        <c:numFmt formatCode="#,##0" sourceLinked="1"/>
        <c:majorTickMark val="none"/>
        <c:minorTickMark val="none"/>
        <c:tickLblPos val="nextTo"/>
        <c:txPr>
          <a:bodyPr/>
          <a:lstStyle/>
          <a:p>
            <a:pPr>
              <a:defRPr sz="1050" baseline="0">
                <a:latin typeface="Times New Roman" pitchFamily="18" charset="0"/>
                <a:cs typeface="Times New Roman" pitchFamily="18" charset="0"/>
              </a:defRPr>
            </a:pPr>
            <a:endParaRPr lang="ru-RU"/>
          </a:p>
        </c:txPr>
        <c:crossAx val="105054208"/>
        <c:crosses val="autoZero"/>
        <c:crossBetween val="between"/>
      </c:valAx>
      <c:dTable>
        <c:showHorzBorder val="1"/>
        <c:showVertBorder val="1"/>
        <c:showOutline val="1"/>
        <c:showKeys val="1"/>
        <c:txPr>
          <a:bodyPr/>
          <a:lstStyle/>
          <a:p>
            <a:pPr rtl="0">
              <a:defRPr sz="1000" b="0" i="0" baseline="0">
                <a:latin typeface="Times New Roman" panose="02020603050405020304" pitchFamily="18" charset="0"/>
              </a:defRPr>
            </a:pPr>
            <a:endParaRPr lang="ru-RU"/>
          </a:p>
        </c:txPr>
      </c:dTable>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решениям налоговых органов, тыс. рублей</c:v>
                </c:pt>
                <c:pt idx="1">
                  <c:v>Сумма по возвращенным решениям налоговых органов, тыс. рублей</c:v>
                </c:pt>
                <c:pt idx="2">
                  <c:v>Сумма по принятым к 
исполнению решениям налоговых органов, тыс. рублей</c:v>
                </c:pt>
                <c:pt idx="3">
                  <c:v>Сумма по 
исполненным решениям налоговых органов, тыс. рублей</c:v>
                </c:pt>
              </c:strCache>
            </c:strRef>
          </c:cat>
          <c:val>
            <c:numRef>
              <c:f>Лист1!$B$10:$B$13</c:f>
              <c:numCache>
                <c:formatCode>#,##0</c:formatCode>
                <c:ptCount val="4"/>
                <c:pt idx="0">
                  <c:v>1092517</c:v>
                </c:pt>
                <c:pt idx="1">
                  <c:v>89894</c:v>
                </c:pt>
                <c:pt idx="2">
                  <c:v>1002623</c:v>
                </c:pt>
                <c:pt idx="3">
                  <c:v>708795</c:v>
                </c:pt>
              </c:numCache>
            </c:numRef>
          </c:val>
        </c:ser>
        <c:dLbls>
          <c:showLegendKey val="0"/>
          <c:showVal val="0"/>
          <c:showCatName val="0"/>
          <c:showSerName val="0"/>
          <c:showPercent val="0"/>
          <c:showBubbleSize val="0"/>
        </c:dLbls>
        <c:gapWidth val="150"/>
        <c:axId val="105069952"/>
        <c:axId val="105084032"/>
      </c:barChart>
      <c:catAx>
        <c:axId val="105069952"/>
        <c:scaling>
          <c:orientation val="minMax"/>
        </c:scaling>
        <c:delete val="1"/>
        <c:axPos val="b"/>
        <c:numFmt formatCode="[$-419]mmmm\ yyyy;@" sourceLinked="1"/>
        <c:majorTickMark val="none"/>
        <c:minorTickMark val="none"/>
        <c:tickLblPos val="nextTo"/>
        <c:crossAx val="105084032"/>
        <c:crosses val="autoZero"/>
        <c:auto val="1"/>
        <c:lblAlgn val="ctr"/>
        <c:lblOffset val="100"/>
        <c:noMultiLvlLbl val="1"/>
      </c:catAx>
      <c:valAx>
        <c:axId val="105084032"/>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05069952"/>
        <c:crosses val="autoZero"/>
        <c:crossBetween val="between"/>
      </c:valAx>
      <c:dTable>
        <c:showHorzBorder val="1"/>
        <c:showVertBorder val="1"/>
        <c:showOutline val="1"/>
        <c:showKeys val="1"/>
        <c:txPr>
          <a:bodyPr/>
          <a:lstStyle/>
          <a:p>
            <a:pPr rtl="0">
              <a:defRPr sz="1000" b="0" i="0" baseline="0">
                <a:latin typeface="Times New Roman" panose="02020603050405020304" pitchFamily="18" charset="0"/>
              </a:defRPr>
            </a:pPr>
            <a:endParaRPr lang="ru-RU"/>
          </a:p>
        </c:txPr>
      </c:dTable>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решений налоговых органов, шт.</c:v>
                </c:pt>
                <c:pt idx="1">
                  <c:v>количество возвращенных решений налоговых органов, шт.</c:v>
                </c:pt>
                <c:pt idx="2">
                  <c:v>количество принятых к исполнению решений налоговых органов, шт.</c:v>
                </c:pt>
                <c:pt idx="3">
                  <c:v>количество исполненных решений налоговых органов, шт.</c:v>
                </c:pt>
              </c:strCache>
            </c:strRef>
          </c:cat>
          <c:val>
            <c:numRef>
              <c:f>Лист1!$B$10:$B$13</c:f>
              <c:numCache>
                <c:formatCode>#,##0</c:formatCode>
                <c:ptCount val="4"/>
                <c:pt idx="0">
                  <c:v>52571</c:v>
                </c:pt>
                <c:pt idx="1">
                  <c:v>2438</c:v>
                </c:pt>
                <c:pt idx="2">
                  <c:v>50133</c:v>
                </c:pt>
                <c:pt idx="3">
                  <c:v>43534</c:v>
                </c:pt>
              </c:numCache>
            </c:numRef>
          </c:val>
        </c:ser>
        <c:dLbls>
          <c:showLegendKey val="0"/>
          <c:showVal val="0"/>
          <c:showCatName val="0"/>
          <c:showSerName val="0"/>
          <c:showPercent val="0"/>
          <c:showBubbleSize val="0"/>
        </c:dLbls>
        <c:gapWidth val="150"/>
        <c:axId val="105102336"/>
        <c:axId val="105112320"/>
      </c:barChart>
      <c:catAx>
        <c:axId val="105102336"/>
        <c:scaling>
          <c:orientation val="minMax"/>
        </c:scaling>
        <c:delete val="1"/>
        <c:axPos val="b"/>
        <c:numFmt formatCode="[$-419]mmmm\ yyyy;@" sourceLinked="1"/>
        <c:majorTickMark val="none"/>
        <c:minorTickMark val="none"/>
        <c:tickLblPos val="nextTo"/>
        <c:crossAx val="105112320"/>
        <c:crosses val="autoZero"/>
        <c:auto val="1"/>
        <c:lblAlgn val="ctr"/>
        <c:lblOffset val="100"/>
        <c:noMultiLvlLbl val="1"/>
      </c:catAx>
      <c:valAx>
        <c:axId val="105112320"/>
        <c:scaling>
          <c:orientation val="minMax"/>
        </c:scaling>
        <c:delete val="0"/>
        <c:axPos val="l"/>
        <c:majorGridlines/>
        <c:numFmt formatCode="#,##0" sourceLinked="1"/>
        <c:majorTickMark val="none"/>
        <c:minorTickMark val="none"/>
        <c:tickLblPos val="nextTo"/>
        <c:txPr>
          <a:bodyPr/>
          <a:lstStyle/>
          <a:p>
            <a:pPr>
              <a:defRPr sz="1050">
                <a:latin typeface="Times New Roman" pitchFamily="18" charset="0"/>
                <a:cs typeface="Times New Roman" pitchFamily="18" charset="0"/>
              </a:defRPr>
            </a:pPr>
            <a:endParaRPr lang="ru-RU"/>
          </a:p>
        </c:txPr>
        <c:crossAx val="105102336"/>
        <c:crosses val="autoZero"/>
        <c:crossBetween val="between"/>
      </c:valAx>
      <c:dTable>
        <c:showHorzBorder val="1"/>
        <c:showVertBorder val="1"/>
        <c:showOutline val="1"/>
        <c:showKeys val="1"/>
        <c:txPr>
          <a:bodyPr/>
          <a:lstStyle/>
          <a:p>
            <a:pPr rtl="0">
              <a:defRPr sz="1000" b="0" i="0" baseline="0">
                <a:latin typeface="Times New Roman" panose="02020603050405020304" pitchFamily="18" charset="0"/>
              </a:defRPr>
            </a:pPr>
            <a:endParaRPr lang="ru-RU"/>
          </a:p>
        </c:txPr>
      </c:dTable>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Лист1!$B$8:$B$9</c:f>
              <c:strCache>
                <c:ptCount val="1"/>
                <c:pt idx="0">
                  <c:v>2016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решениям налоговых органов, тыс. рублей</c:v>
                </c:pt>
                <c:pt idx="1">
                  <c:v>сумма по возвращенным решениям налоговых органов, тыс. рублей</c:v>
                </c:pt>
                <c:pt idx="2">
                  <c:v>сумма по принятым к 
исполнению решениям налоговых органов, тыс. рублей</c:v>
                </c:pt>
                <c:pt idx="3">
                  <c:v>сумма по 
исполненным решениям налоговых органов, тыс. рублей</c:v>
                </c:pt>
              </c:strCache>
            </c:strRef>
          </c:cat>
          <c:val>
            <c:numRef>
              <c:f>Лист1!$B$10:$B$13</c:f>
              <c:numCache>
                <c:formatCode>#,##0</c:formatCode>
                <c:ptCount val="4"/>
                <c:pt idx="0">
                  <c:v>2166723</c:v>
                </c:pt>
                <c:pt idx="1">
                  <c:v>143410</c:v>
                </c:pt>
                <c:pt idx="2">
                  <c:v>2023313</c:v>
                </c:pt>
                <c:pt idx="3">
                  <c:v>1520134</c:v>
                </c:pt>
              </c:numCache>
            </c:numRef>
          </c:val>
        </c:ser>
        <c:dLbls>
          <c:showLegendKey val="0"/>
          <c:showVal val="0"/>
          <c:showCatName val="0"/>
          <c:showSerName val="0"/>
          <c:showPercent val="0"/>
          <c:showBubbleSize val="0"/>
        </c:dLbls>
        <c:gapWidth val="150"/>
        <c:axId val="105204736"/>
        <c:axId val="105214720"/>
      </c:barChart>
      <c:catAx>
        <c:axId val="105204736"/>
        <c:scaling>
          <c:orientation val="minMax"/>
        </c:scaling>
        <c:delete val="1"/>
        <c:axPos val="b"/>
        <c:numFmt formatCode="[$-419]mmmm\ yyyy;@" sourceLinked="1"/>
        <c:majorTickMark val="none"/>
        <c:minorTickMark val="none"/>
        <c:tickLblPos val="nextTo"/>
        <c:crossAx val="105214720"/>
        <c:crosses val="autoZero"/>
        <c:auto val="1"/>
        <c:lblAlgn val="ctr"/>
        <c:lblOffset val="100"/>
        <c:noMultiLvlLbl val="1"/>
      </c:catAx>
      <c:valAx>
        <c:axId val="105214720"/>
        <c:scaling>
          <c:orientation val="minMax"/>
        </c:scaling>
        <c:delete val="0"/>
        <c:axPos val="l"/>
        <c:majorGridlines/>
        <c:numFmt formatCode="#,##0" sourceLinked="1"/>
        <c:majorTickMark val="none"/>
        <c:minorTickMark val="none"/>
        <c:tickLblPos val="nextTo"/>
        <c:txPr>
          <a:bodyPr/>
          <a:lstStyle/>
          <a:p>
            <a:pPr>
              <a:defRPr sz="1050">
                <a:latin typeface="Times New Roman" pitchFamily="18" charset="0"/>
                <a:cs typeface="Times New Roman" pitchFamily="18" charset="0"/>
              </a:defRPr>
            </a:pPr>
            <a:endParaRPr lang="ru-RU"/>
          </a:p>
        </c:txPr>
        <c:crossAx val="105204736"/>
        <c:crosses val="autoZero"/>
        <c:crossBetween val="between"/>
      </c:valAx>
      <c:dTable>
        <c:showHorzBorder val="1"/>
        <c:showVertBorder val="1"/>
        <c:showOutline val="1"/>
        <c:showKeys val="1"/>
        <c:txPr>
          <a:bodyPr/>
          <a:lstStyle/>
          <a:p>
            <a:pPr rtl="0">
              <a:defRPr sz="1000" b="0" i="0" baseline="0">
                <a:latin typeface="Times New Roman" panose="02020603050405020304" pitchFamily="18" charset="0"/>
              </a:defRPr>
            </a:pPr>
            <a:endParaRPr lang="ru-RU"/>
          </a:p>
        </c:txPr>
      </c:dTable>
      <c:spPr>
        <a:noFill/>
        <a:ln w="25400">
          <a:noFill/>
        </a:ln>
      </c:spPr>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524980837572328E-2"/>
          <c:y val="3.982097613520854E-2"/>
          <c:w val="0.90567633123701596"/>
          <c:h val="0.62879623087185388"/>
        </c:manualLayout>
      </c:layout>
      <c:barChart>
        <c:barDir val="col"/>
        <c:grouping val="clustered"/>
        <c:varyColors val="0"/>
        <c:ser>
          <c:idx val="0"/>
          <c:order val="0"/>
          <c:tx>
            <c:v>Количество позиций в плане-графике</c:v>
          </c:tx>
          <c:invertIfNegative val="0"/>
          <c:dLbls>
            <c:dLbl>
              <c:idx val="5"/>
              <c:layout>
                <c:manualLayout>
                  <c:x val="-1.1221264065677803E-2"/>
                  <c:y val="2.6178102203021285E-3"/>
                </c:manualLayout>
              </c:layout>
              <c:dLblPos val="outEnd"/>
              <c:showLegendKey val="0"/>
              <c:showVal val="1"/>
              <c:showCatName val="0"/>
              <c:showSerName val="0"/>
              <c:showPercent val="0"/>
              <c:showBubbleSize val="0"/>
            </c:dLbl>
            <c:dLbl>
              <c:idx val="6"/>
              <c:dLblPos val="ctr"/>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СВОД!$C$3:$C$31</c:f>
              <c:strCache>
                <c:ptCount val="29"/>
                <c:pt idx="0">
                  <c:v>ФАНО России</c:v>
                </c:pt>
                <c:pt idx="1">
                  <c:v>Роспотребнадзор</c:v>
                </c:pt>
                <c:pt idx="2">
                  <c:v>Роспечать</c:v>
                </c:pt>
                <c:pt idx="3">
                  <c:v>Минприроды России</c:v>
                </c:pt>
                <c:pt idx="4">
                  <c:v>Роспатент</c:v>
                </c:pt>
                <c:pt idx="5">
                  <c:v>Росархив</c:v>
                </c:pt>
                <c:pt idx="6">
                  <c:v>Минсельхоз России</c:v>
                </c:pt>
                <c:pt idx="7">
                  <c:v>Росжелдор</c:v>
                </c:pt>
                <c:pt idx="8">
                  <c:v>Рособрнадзор</c:v>
                </c:pt>
                <c:pt idx="9">
                  <c:v>Минстрой России</c:v>
                </c:pt>
                <c:pt idx="10">
                  <c:v>Роскомнадзор</c:v>
                </c:pt>
                <c:pt idx="11">
                  <c:v>Минкомсвязь России</c:v>
                </c:pt>
                <c:pt idx="12">
                  <c:v>Росавтодор</c:v>
                </c:pt>
                <c:pt idx="13">
                  <c:v>Рослесхоз</c:v>
                </c:pt>
                <c:pt idx="14">
                  <c:v>Росздравнадзор</c:v>
                </c:pt>
                <c:pt idx="15">
                  <c:v>Росводресурсы</c:v>
                </c:pt>
                <c:pt idx="16">
                  <c:v>Росморречфлот</c:v>
                </c:pt>
                <c:pt idx="17">
                  <c:v>Росстандарт</c:v>
                </c:pt>
                <c:pt idx="18">
                  <c:v>Спецстрой России</c:v>
                </c:pt>
                <c:pt idx="19">
                  <c:v>Росреестр</c:v>
                </c:pt>
                <c:pt idx="20">
                  <c:v>Роснедра</c:v>
                </c:pt>
                <c:pt idx="21">
                  <c:v>Росстат</c:v>
                </c:pt>
                <c:pt idx="22">
                  <c:v>Росимущество</c:v>
                </c:pt>
                <c:pt idx="23">
                  <c:v>Россельхознадзор</c:v>
                </c:pt>
                <c:pt idx="24">
                  <c:v>Россвязь</c:v>
                </c:pt>
                <c:pt idx="25">
                  <c:v>Ростехнадзор</c:v>
                </c:pt>
                <c:pt idx="26">
                  <c:v>Минспорта России</c:v>
                </c:pt>
                <c:pt idx="27">
                  <c:v>Ростуризм</c:v>
                </c:pt>
                <c:pt idx="28">
                  <c:v>Минобороны</c:v>
                </c:pt>
              </c:strCache>
            </c:strRef>
          </c:cat>
          <c:val>
            <c:numRef>
              <c:f>СВОД!$D$3:$D$31</c:f>
              <c:numCache>
                <c:formatCode>General</c:formatCode>
                <c:ptCount val="29"/>
                <c:pt idx="0">
                  <c:v>74</c:v>
                </c:pt>
                <c:pt idx="1">
                  <c:v>36</c:v>
                </c:pt>
                <c:pt idx="2">
                  <c:v>174</c:v>
                </c:pt>
                <c:pt idx="3">
                  <c:v>30</c:v>
                </c:pt>
                <c:pt idx="4">
                  <c:v>13</c:v>
                </c:pt>
                <c:pt idx="5">
                  <c:v>189</c:v>
                </c:pt>
                <c:pt idx="6">
                  <c:v>728</c:v>
                </c:pt>
                <c:pt idx="7">
                  <c:v>49</c:v>
                </c:pt>
                <c:pt idx="8">
                  <c:v>73</c:v>
                </c:pt>
                <c:pt idx="9">
                  <c:v>52</c:v>
                </c:pt>
                <c:pt idx="10">
                  <c:v>41</c:v>
                </c:pt>
                <c:pt idx="11">
                  <c:v>94</c:v>
                </c:pt>
                <c:pt idx="12">
                  <c:v>136</c:v>
                </c:pt>
                <c:pt idx="13">
                  <c:v>47</c:v>
                </c:pt>
                <c:pt idx="14">
                  <c:v>13</c:v>
                </c:pt>
                <c:pt idx="15">
                  <c:v>52</c:v>
                </c:pt>
                <c:pt idx="16">
                  <c:v>56</c:v>
                </c:pt>
                <c:pt idx="17">
                  <c:v>180</c:v>
                </c:pt>
                <c:pt idx="18">
                  <c:v>31</c:v>
                </c:pt>
                <c:pt idx="19">
                  <c:v>148</c:v>
                </c:pt>
                <c:pt idx="20">
                  <c:v>11</c:v>
                </c:pt>
                <c:pt idx="21">
                  <c:v>109</c:v>
                </c:pt>
                <c:pt idx="22">
                  <c:v>73</c:v>
                </c:pt>
                <c:pt idx="23">
                  <c:v>29</c:v>
                </c:pt>
                <c:pt idx="24">
                  <c:v>51</c:v>
                </c:pt>
                <c:pt idx="25">
                  <c:v>83</c:v>
                </c:pt>
                <c:pt idx="26">
                  <c:v>66</c:v>
                </c:pt>
                <c:pt idx="27">
                  <c:v>89</c:v>
                </c:pt>
                <c:pt idx="28">
                  <c:v>7</c:v>
                </c:pt>
              </c:numCache>
            </c:numRef>
          </c:val>
        </c:ser>
        <c:ser>
          <c:idx val="1"/>
          <c:order val="1"/>
          <c:tx>
            <c:v>Количество проверенных позиций</c:v>
          </c:tx>
          <c:invertIfNegative val="0"/>
          <c:cat>
            <c:strRef>
              <c:f>СВОД!$C$3:$C$31</c:f>
              <c:strCache>
                <c:ptCount val="29"/>
                <c:pt idx="0">
                  <c:v>ФАНО России</c:v>
                </c:pt>
                <c:pt idx="1">
                  <c:v>Роспотребнадзор</c:v>
                </c:pt>
                <c:pt idx="2">
                  <c:v>Роспечать</c:v>
                </c:pt>
                <c:pt idx="3">
                  <c:v>Минприроды России</c:v>
                </c:pt>
                <c:pt idx="4">
                  <c:v>Роспатент</c:v>
                </c:pt>
                <c:pt idx="5">
                  <c:v>Росархив</c:v>
                </c:pt>
                <c:pt idx="6">
                  <c:v>Минсельхоз России</c:v>
                </c:pt>
                <c:pt idx="7">
                  <c:v>Росжелдор</c:v>
                </c:pt>
                <c:pt idx="8">
                  <c:v>Рособрнадзор</c:v>
                </c:pt>
                <c:pt idx="9">
                  <c:v>Минстрой России</c:v>
                </c:pt>
                <c:pt idx="10">
                  <c:v>Роскомнадзор</c:v>
                </c:pt>
                <c:pt idx="11">
                  <c:v>Минкомсвязь России</c:v>
                </c:pt>
                <c:pt idx="12">
                  <c:v>Росавтодор</c:v>
                </c:pt>
                <c:pt idx="13">
                  <c:v>Рослесхоз</c:v>
                </c:pt>
                <c:pt idx="14">
                  <c:v>Росздравнадзор</c:v>
                </c:pt>
                <c:pt idx="15">
                  <c:v>Росводресурсы</c:v>
                </c:pt>
                <c:pt idx="16">
                  <c:v>Росморречфлот</c:v>
                </c:pt>
                <c:pt idx="17">
                  <c:v>Росстандарт</c:v>
                </c:pt>
                <c:pt idx="18">
                  <c:v>Спецстрой России</c:v>
                </c:pt>
                <c:pt idx="19">
                  <c:v>Росреестр</c:v>
                </c:pt>
                <c:pt idx="20">
                  <c:v>Роснедра</c:v>
                </c:pt>
                <c:pt idx="21">
                  <c:v>Росстат</c:v>
                </c:pt>
                <c:pt idx="22">
                  <c:v>Росимущество</c:v>
                </c:pt>
                <c:pt idx="23">
                  <c:v>Россельхознадзор</c:v>
                </c:pt>
                <c:pt idx="24">
                  <c:v>Россвязь</c:v>
                </c:pt>
                <c:pt idx="25">
                  <c:v>Ростехнадзор</c:v>
                </c:pt>
                <c:pt idx="26">
                  <c:v>Минспорта России</c:v>
                </c:pt>
                <c:pt idx="27">
                  <c:v>Ростуризм</c:v>
                </c:pt>
                <c:pt idx="28">
                  <c:v>Минобороны</c:v>
                </c:pt>
              </c:strCache>
            </c:strRef>
          </c:cat>
          <c:val>
            <c:numRef>
              <c:f>СВОД!$H$3:$H$31</c:f>
              <c:numCache>
                <c:formatCode>General</c:formatCode>
                <c:ptCount val="29"/>
                <c:pt idx="0">
                  <c:v>7</c:v>
                </c:pt>
                <c:pt idx="1">
                  <c:v>12</c:v>
                </c:pt>
                <c:pt idx="2">
                  <c:v>9</c:v>
                </c:pt>
                <c:pt idx="3">
                  <c:v>4</c:v>
                </c:pt>
                <c:pt idx="4">
                  <c:v>4</c:v>
                </c:pt>
                <c:pt idx="5">
                  <c:v>12</c:v>
                </c:pt>
                <c:pt idx="6">
                  <c:v>0</c:v>
                </c:pt>
                <c:pt idx="7">
                  <c:v>9</c:v>
                </c:pt>
                <c:pt idx="8">
                  <c:v>8</c:v>
                </c:pt>
                <c:pt idx="9">
                  <c:v>0</c:v>
                </c:pt>
                <c:pt idx="10">
                  <c:v>1</c:v>
                </c:pt>
                <c:pt idx="11">
                  <c:v>0</c:v>
                </c:pt>
                <c:pt idx="12">
                  <c:v>5</c:v>
                </c:pt>
                <c:pt idx="13">
                  <c:v>3</c:v>
                </c:pt>
                <c:pt idx="14">
                  <c:v>0</c:v>
                </c:pt>
                <c:pt idx="15">
                  <c:v>5</c:v>
                </c:pt>
                <c:pt idx="16">
                  <c:v>7</c:v>
                </c:pt>
                <c:pt idx="17">
                  <c:v>99</c:v>
                </c:pt>
                <c:pt idx="18">
                  <c:v>3</c:v>
                </c:pt>
                <c:pt idx="19">
                  <c:v>9</c:v>
                </c:pt>
                <c:pt idx="20">
                  <c:v>0</c:v>
                </c:pt>
                <c:pt idx="21">
                  <c:v>1</c:v>
                </c:pt>
                <c:pt idx="22">
                  <c:v>1</c:v>
                </c:pt>
                <c:pt idx="23">
                  <c:v>3</c:v>
                </c:pt>
                <c:pt idx="24">
                  <c:v>3</c:v>
                </c:pt>
                <c:pt idx="25">
                  <c:v>5</c:v>
                </c:pt>
                <c:pt idx="26">
                  <c:v>4</c:v>
                </c:pt>
                <c:pt idx="27">
                  <c:v>5</c:v>
                </c:pt>
                <c:pt idx="28">
                  <c:v>5</c:v>
                </c:pt>
              </c:numCache>
            </c:numRef>
          </c:val>
        </c:ser>
        <c:dLbls>
          <c:showLegendKey val="0"/>
          <c:showVal val="1"/>
          <c:showCatName val="0"/>
          <c:showSerName val="0"/>
          <c:showPercent val="0"/>
          <c:showBubbleSize val="0"/>
        </c:dLbls>
        <c:gapWidth val="68"/>
        <c:overlap val="1"/>
        <c:axId val="106749312"/>
        <c:axId val="38872192"/>
      </c:barChart>
      <c:catAx>
        <c:axId val="106749312"/>
        <c:scaling>
          <c:orientation val="minMax"/>
        </c:scaling>
        <c:delete val="0"/>
        <c:axPos val="b"/>
        <c:majorTickMark val="out"/>
        <c:minorTickMark val="none"/>
        <c:tickLblPos val="nextTo"/>
        <c:txPr>
          <a:bodyPr/>
          <a:lstStyle/>
          <a:p>
            <a:pPr>
              <a:defRPr sz="800" baseline="0">
                <a:latin typeface="Times New Roman" panose="02020603050405020304" pitchFamily="18" charset="0"/>
                <a:cs typeface="Times New Roman" panose="02020603050405020304" pitchFamily="18" charset="0"/>
              </a:defRPr>
            </a:pPr>
            <a:endParaRPr lang="ru-RU"/>
          </a:p>
        </c:txPr>
        <c:crossAx val="38872192"/>
        <c:crosses val="autoZero"/>
        <c:auto val="1"/>
        <c:lblAlgn val="ctr"/>
        <c:lblOffset val="100"/>
        <c:noMultiLvlLbl val="0"/>
      </c:catAx>
      <c:valAx>
        <c:axId val="38872192"/>
        <c:scaling>
          <c:orientation val="minMax"/>
          <c:max val="200"/>
        </c:scaling>
        <c:delete val="0"/>
        <c:axPos val="l"/>
        <c:majorGridlines/>
        <c:numFmt formatCode="General" sourceLinked="1"/>
        <c:majorTickMark val="out"/>
        <c:minorTickMark val="none"/>
        <c:tickLblPos val="nextTo"/>
        <c:crossAx val="106749312"/>
        <c:crosses val="autoZero"/>
        <c:crossBetween val="between"/>
      </c:valAx>
    </c:plotArea>
    <c:legend>
      <c:legendPos val="b"/>
      <c:layout>
        <c:manualLayout>
          <c:xMode val="edge"/>
          <c:yMode val="edge"/>
          <c:x val="0.18294278700524558"/>
          <c:y val="0.91472365087312135"/>
          <c:w val="0.7778397931279456"/>
          <c:h val="6.9677669516440582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7.3993000536348094E-2"/>
          <c:y val="3.5796686291727234E-2"/>
          <c:w val="0.90262226243884403"/>
          <c:h val="0.60596331985491658"/>
        </c:manualLayout>
      </c:layout>
      <c:barChart>
        <c:barDir val="col"/>
        <c:grouping val="clustered"/>
        <c:varyColors val="0"/>
        <c:ser>
          <c:idx val="0"/>
          <c:order val="0"/>
          <c:tx>
            <c:strRef>
              <c:f>Лист1!$B$1</c:f>
              <c:strCache>
                <c:ptCount val="1"/>
                <c:pt idx="0">
                  <c:v>2015</c:v>
                </c:pt>
              </c:strCache>
            </c:strRef>
          </c:tx>
          <c:spPr>
            <a:solidFill>
              <a:srgbClr val="FFC000">
                <a:alpha val="50000"/>
              </a:srgbClr>
            </a:solidFill>
          </c:spPr>
          <c:invertIfNegative val="0"/>
          <c:dLbls>
            <c:dLbl>
              <c:idx val="0"/>
              <c:tx>
                <c:rich>
                  <a:bodyPr/>
                  <a:lstStyle/>
                  <a:p>
                    <a:r>
                      <a:rPr lang="en-US" sz="800" b="1" dirty="0" smtClean="0"/>
                      <a:t>243,8</a:t>
                    </a:r>
                    <a:endParaRPr lang="ru-RU" sz="800" b="1" dirty="0" smtClean="0"/>
                  </a:p>
                  <a:p>
                    <a:r>
                      <a:rPr lang="ru-RU" sz="800" b="1" dirty="0" smtClean="0"/>
                      <a:t> (9,9 %)</a:t>
                    </a:r>
                    <a:endParaRPr lang="en-US" sz="800" dirty="0"/>
                  </a:p>
                </c:rich>
              </c:tx>
              <c:showLegendKey val="0"/>
              <c:showVal val="1"/>
              <c:showCatName val="0"/>
              <c:showSerName val="0"/>
              <c:showPercent val="0"/>
              <c:showBubbleSize val="0"/>
            </c:dLbl>
            <c:dLbl>
              <c:idx val="1"/>
              <c:tx>
                <c:rich>
                  <a:bodyPr/>
                  <a:lstStyle/>
                  <a:p>
                    <a:r>
                      <a:rPr lang="en-US" sz="800" b="1" dirty="0" smtClean="0"/>
                      <a:t>3</a:t>
                    </a:r>
                    <a:r>
                      <a:rPr lang="en-US" b="1" dirty="0" smtClean="0"/>
                      <a:t>71,6</a:t>
                    </a:r>
                    <a:endParaRPr lang="ru-RU" b="1" dirty="0" smtClean="0"/>
                  </a:p>
                  <a:p>
                    <a:r>
                      <a:rPr lang="ru-RU" b="1" dirty="0" smtClean="0"/>
                      <a:t>(15,1 %)</a:t>
                    </a:r>
                    <a:endParaRPr lang="en-US" dirty="0"/>
                  </a:p>
                </c:rich>
              </c:tx>
              <c:showLegendKey val="0"/>
              <c:showVal val="1"/>
              <c:showCatName val="0"/>
              <c:showSerName val="0"/>
              <c:showPercent val="0"/>
              <c:showBubbleSize val="0"/>
            </c:dLbl>
            <c:dLbl>
              <c:idx val="2"/>
              <c:tx>
                <c:rich>
                  <a:bodyPr/>
                  <a:lstStyle/>
                  <a:p>
                    <a:r>
                      <a:rPr lang="en-US" sz="800" b="1" dirty="0" smtClean="0"/>
                      <a:t>9</a:t>
                    </a:r>
                    <a:r>
                      <a:rPr lang="en-US" b="1" dirty="0" smtClean="0"/>
                      <a:t>12,4</a:t>
                    </a:r>
                    <a:endParaRPr lang="ru-RU" b="1" dirty="0" smtClean="0"/>
                  </a:p>
                  <a:p>
                    <a:r>
                      <a:rPr lang="ru-RU" b="1" dirty="0" smtClean="0"/>
                      <a:t>(37,2%)</a:t>
                    </a:r>
                    <a:endParaRPr lang="en-US" dirty="0"/>
                  </a:p>
                </c:rich>
              </c:tx>
              <c:showLegendKey val="0"/>
              <c:showVal val="1"/>
              <c:showCatName val="0"/>
              <c:showSerName val="0"/>
              <c:showPercent val="0"/>
              <c:showBubbleSize val="0"/>
            </c:dLbl>
            <c:dLbl>
              <c:idx val="3"/>
              <c:tx>
                <c:rich>
                  <a:bodyPr/>
                  <a:lstStyle/>
                  <a:p>
                    <a:r>
                      <a:rPr lang="en-US" sz="800" b="1" dirty="0" smtClean="0"/>
                      <a:t>2</a:t>
                    </a:r>
                    <a:r>
                      <a:rPr lang="en-US" b="1" dirty="0" smtClean="0"/>
                      <a:t>39,9</a:t>
                    </a:r>
                    <a:r>
                      <a:rPr lang="ru-RU" b="1" dirty="0" smtClean="0"/>
                      <a:t> </a:t>
                    </a:r>
                  </a:p>
                  <a:p>
                    <a:r>
                      <a:rPr lang="ru-RU" b="1" dirty="0" smtClean="0"/>
                      <a:t>(9,8 %)</a:t>
                    </a:r>
                    <a:endParaRPr lang="en-US" dirty="0"/>
                  </a:p>
                </c:rich>
              </c:tx>
              <c:showLegendKey val="0"/>
              <c:showVal val="1"/>
              <c:showCatName val="0"/>
              <c:showSerName val="0"/>
              <c:showPercent val="0"/>
              <c:showBubbleSize val="0"/>
            </c:dLbl>
            <c:dLbl>
              <c:idx val="4"/>
              <c:tx>
                <c:rich>
                  <a:bodyPr/>
                  <a:lstStyle/>
                  <a:p>
                    <a:r>
                      <a:rPr lang="en-US" sz="800" b="1" dirty="0" smtClean="0"/>
                      <a:t>5</a:t>
                    </a:r>
                    <a:r>
                      <a:rPr lang="en-US" b="1" dirty="0" smtClean="0"/>
                      <a:t>31,6</a:t>
                    </a:r>
                    <a:endParaRPr lang="ru-RU" b="1" dirty="0" smtClean="0"/>
                  </a:p>
                  <a:p>
                    <a:r>
                      <a:rPr lang="ru-RU" b="1" dirty="0" smtClean="0"/>
                      <a:t>(21,7 %)</a:t>
                    </a:r>
                    <a:endParaRPr lang="en-US" dirty="0"/>
                  </a:p>
                </c:rich>
              </c:tx>
              <c:showLegendKey val="0"/>
              <c:showVal val="1"/>
              <c:showCatName val="0"/>
              <c:showSerName val="0"/>
              <c:showPercent val="0"/>
              <c:showBubbleSize val="0"/>
            </c:dLbl>
            <c:dLbl>
              <c:idx val="5"/>
              <c:tx>
                <c:rich>
                  <a:bodyPr/>
                  <a:lstStyle/>
                  <a:p>
                    <a:r>
                      <a:rPr lang="en-US" sz="800" b="1" dirty="0" smtClean="0"/>
                      <a:t>1</a:t>
                    </a:r>
                    <a:r>
                      <a:rPr lang="en-US" b="1" dirty="0" smtClean="0"/>
                      <a:t>55,8</a:t>
                    </a:r>
                    <a:endParaRPr lang="ru-RU" b="1" dirty="0" smtClean="0"/>
                  </a:p>
                  <a:p>
                    <a:r>
                      <a:rPr lang="ru-RU" b="1" dirty="0" smtClean="0"/>
                      <a:t>(6,3 %)</a:t>
                    </a:r>
                    <a:endParaRPr lang="en-US" dirty="0"/>
                  </a:p>
                </c:rich>
              </c:tx>
              <c:showLegendKey val="0"/>
              <c:showVal val="1"/>
              <c:showCatName val="0"/>
              <c:showSerName val="0"/>
              <c:showPercent val="0"/>
              <c:showBubbleSize val="0"/>
            </c:dLbl>
            <c:txPr>
              <a:bodyPr/>
              <a:lstStyle/>
              <a:p>
                <a:pPr>
                  <a:defRPr sz="8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Лист1!$A$2:$A$7</c:f>
              <c:strCache>
                <c:ptCount val="6"/>
                <c:pt idx="0">
                  <c:v>неправомерное расходование бюджетных средств, в том числе нецелевое использование
</c:v>
                </c:pt>
                <c:pt idx="1">
                  <c:v>неэффективное использование бюджетных средств</c:v>
                </c:pt>
                <c:pt idx="2">
                  <c:v>иные нарушения бюджетного законодательства Российской Федерации
</c:v>
                </c:pt>
                <c:pt idx="3">
                  <c:v>нарушения в сфере осуществления государственных закупок
</c:v>
                </c:pt>
                <c:pt idx="4">
                  <c:v>нарушения порядка ведения бухгалтерского (бюджетного) учета и отчетности</c:v>
                </c:pt>
                <c:pt idx="5">
                  <c:v>прочие нарушения, в том числе нарушения в сфере осуществления контроля за использованием средств Фонда содействия реформирования ЖКХ, другие нарушения законодательства в финансово-бюджетной сфере 
</c:v>
                </c:pt>
              </c:strCache>
            </c:strRef>
          </c:cat>
          <c:val>
            <c:numRef>
              <c:f>Лист1!$B$2:$B$7</c:f>
              <c:numCache>
                <c:formatCode>General</c:formatCode>
                <c:ptCount val="6"/>
                <c:pt idx="0">
                  <c:v>243.8</c:v>
                </c:pt>
                <c:pt idx="1">
                  <c:v>371.6</c:v>
                </c:pt>
                <c:pt idx="2">
                  <c:v>912.4</c:v>
                </c:pt>
                <c:pt idx="3">
                  <c:v>239.9</c:v>
                </c:pt>
                <c:pt idx="4">
                  <c:v>531.6</c:v>
                </c:pt>
                <c:pt idx="5">
                  <c:v>155.80000000000001</c:v>
                </c:pt>
              </c:numCache>
            </c:numRef>
          </c:val>
        </c:ser>
        <c:ser>
          <c:idx val="1"/>
          <c:order val="1"/>
          <c:tx>
            <c:strRef>
              <c:f>Лист1!$C$1</c:f>
              <c:strCache>
                <c:ptCount val="1"/>
                <c:pt idx="0">
                  <c:v>2016</c:v>
                </c:pt>
              </c:strCache>
            </c:strRef>
          </c:tx>
          <c:spPr>
            <a:solidFill>
              <a:schemeClr val="accent3">
                <a:lumMod val="60000"/>
                <a:lumOff val="40000"/>
              </a:schemeClr>
            </a:solidFill>
          </c:spPr>
          <c:invertIfNegative val="0"/>
          <c:dLbls>
            <c:dLbl>
              <c:idx val="0"/>
              <c:tx>
                <c:rich>
                  <a:bodyPr/>
                  <a:lstStyle/>
                  <a:p>
                    <a:r>
                      <a:rPr lang="en-US" sz="800" b="1" dirty="0" smtClean="0"/>
                      <a:t>43,8</a:t>
                    </a:r>
                    <a:endParaRPr lang="ru-RU" sz="800" b="1" dirty="0" smtClean="0"/>
                  </a:p>
                  <a:p>
                    <a:r>
                      <a:rPr lang="ru-RU" sz="800" b="1" dirty="0" smtClean="0"/>
                      <a:t>(6,4 %)</a:t>
                    </a:r>
                    <a:endParaRPr lang="en-US" sz="800" dirty="0"/>
                  </a:p>
                </c:rich>
              </c:tx>
              <c:showLegendKey val="0"/>
              <c:showVal val="1"/>
              <c:showCatName val="0"/>
              <c:showSerName val="0"/>
              <c:showPercent val="0"/>
              <c:showBubbleSize val="0"/>
            </c:dLbl>
            <c:dLbl>
              <c:idx val="1"/>
              <c:tx>
                <c:rich>
                  <a:bodyPr/>
                  <a:lstStyle/>
                  <a:p>
                    <a:r>
                      <a:rPr lang="ru-RU" sz="800" b="1" dirty="0" smtClean="0"/>
                      <a:t>6</a:t>
                    </a:r>
                    <a:r>
                      <a:rPr lang="en-US" sz="800" b="1" dirty="0" smtClean="0"/>
                      <a:t>1,1</a:t>
                    </a:r>
                    <a:endParaRPr lang="ru-RU" sz="800" b="1" dirty="0" smtClean="0"/>
                  </a:p>
                  <a:p>
                    <a:r>
                      <a:rPr lang="ru-RU" sz="800" b="1" dirty="0" smtClean="0"/>
                      <a:t>(9 %)</a:t>
                    </a:r>
                    <a:endParaRPr lang="en-US" sz="800" dirty="0"/>
                  </a:p>
                </c:rich>
              </c:tx>
              <c:showLegendKey val="0"/>
              <c:showVal val="1"/>
              <c:showCatName val="0"/>
              <c:showSerName val="0"/>
              <c:showPercent val="0"/>
              <c:showBubbleSize val="0"/>
            </c:dLbl>
            <c:dLbl>
              <c:idx val="2"/>
              <c:tx>
                <c:rich>
                  <a:bodyPr/>
                  <a:lstStyle/>
                  <a:p>
                    <a:r>
                      <a:rPr lang="en-US" sz="800" b="1" dirty="0" smtClean="0"/>
                      <a:t>104,9</a:t>
                    </a:r>
                    <a:endParaRPr lang="ru-RU" sz="800" b="1" dirty="0" smtClean="0"/>
                  </a:p>
                  <a:p>
                    <a:r>
                      <a:rPr lang="ru-RU" sz="800" b="1" dirty="0" smtClean="0"/>
                      <a:t>(15,4 %)</a:t>
                    </a:r>
                    <a:endParaRPr lang="en-US" sz="800" dirty="0"/>
                  </a:p>
                </c:rich>
              </c:tx>
              <c:showLegendKey val="0"/>
              <c:showVal val="1"/>
              <c:showCatName val="0"/>
              <c:showSerName val="0"/>
              <c:showPercent val="0"/>
              <c:showBubbleSize val="0"/>
            </c:dLbl>
            <c:dLbl>
              <c:idx val="3"/>
              <c:tx>
                <c:rich>
                  <a:bodyPr/>
                  <a:lstStyle/>
                  <a:p>
                    <a:r>
                      <a:rPr lang="en-US" sz="800" b="1" dirty="0" smtClean="0"/>
                      <a:t>32,2</a:t>
                    </a:r>
                    <a:endParaRPr lang="ru-RU" sz="800" b="1" dirty="0" smtClean="0"/>
                  </a:p>
                  <a:p>
                    <a:r>
                      <a:rPr lang="ru-RU" sz="800" b="1" dirty="0" smtClean="0"/>
                      <a:t>(4,7 %)</a:t>
                    </a:r>
                    <a:endParaRPr lang="en-US" sz="800" dirty="0"/>
                  </a:p>
                </c:rich>
              </c:tx>
              <c:showLegendKey val="0"/>
              <c:showVal val="1"/>
              <c:showCatName val="0"/>
              <c:showSerName val="0"/>
              <c:showPercent val="0"/>
              <c:showBubbleSize val="0"/>
            </c:dLbl>
            <c:dLbl>
              <c:idx val="4"/>
              <c:tx>
                <c:rich>
                  <a:bodyPr/>
                  <a:lstStyle/>
                  <a:p>
                    <a:r>
                      <a:rPr lang="en-US" sz="800" b="1" dirty="0" smtClean="0"/>
                      <a:t>113,5</a:t>
                    </a:r>
                    <a:endParaRPr lang="ru-RU" sz="800" b="1" dirty="0" smtClean="0"/>
                  </a:p>
                  <a:p>
                    <a:r>
                      <a:rPr lang="ru-RU" sz="800" b="1" dirty="0" smtClean="0"/>
                      <a:t>(16,6 %)</a:t>
                    </a:r>
                    <a:endParaRPr lang="en-US" sz="800" dirty="0"/>
                  </a:p>
                </c:rich>
              </c:tx>
              <c:showLegendKey val="0"/>
              <c:showVal val="1"/>
              <c:showCatName val="0"/>
              <c:showSerName val="0"/>
              <c:showPercent val="0"/>
              <c:showBubbleSize val="0"/>
            </c:dLbl>
            <c:dLbl>
              <c:idx val="5"/>
              <c:tx>
                <c:rich>
                  <a:bodyPr/>
                  <a:lstStyle/>
                  <a:p>
                    <a:r>
                      <a:rPr lang="en-US" sz="800" b="1" dirty="0" smtClean="0"/>
                      <a:t>326,5</a:t>
                    </a:r>
                    <a:endParaRPr lang="ru-RU" sz="800" b="1" dirty="0" smtClean="0"/>
                  </a:p>
                  <a:p>
                    <a:r>
                      <a:rPr lang="ru-RU" sz="800" b="1" dirty="0" smtClean="0"/>
                      <a:t>(47,9 %)</a:t>
                    </a:r>
                    <a:endParaRPr lang="en-US" sz="800" dirty="0"/>
                  </a:p>
                </c:rich>
              </c:tx>
              <c:showLegendKey val="0"/>
              <c:showVal val="1"/>
              <c:showCatName val="0"/>
              <c:showSerName val="0"/>
              <c:showPercent val="0"/>
              <c:showBubbleSize val="0"/>
            </c:dLbl>
            <c:txPr>
              <a:bodyPr/>
              <a:lstStyle/>
              <a:p>
                <a:pPr>
                  <a:defRPr sz="8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Лист1!$A$2:$A$7</c:f>
              <c:strCache>
                <c:ptCount val="6"/>
                <c:pt idx="0">
                  <c:v>неправомерное расходование бюджетных средств, в том числе нецелевое использование
</c:v>
                </c:pt>
                <c:pt idx="1">
                  <c:v>неэффективное использование бюджетных средств</c:v>
                </c:pt>
                <c:pt idx="2">
                  <c:v>иные нарушения бюджетного законодательства Российской Федерации
</c:v>
                </c:pt>
                <c:pt idx="3">
                  <c:v>нарушения в сфере осуществления государственных закупок
</c:v>
                </c:pt>
                <c:pt idx="4">
                  <c:v>нарушения порядка ведения бухгалтерского (бюджетного) учета и отчетности</c:v>
                </c:pt>
                <c:pt idx="5">
                  <c:v>прочие нарушения, в том числе нарушения в сфере осуществления контроля за использованием средств Фонда содействия реформирования ЖКХ, другие нарушения законодательства в финансово-бюджетной сфере 
</c:v>
                </c:pt>
              </c:strCache>
            </c:strRef>
          </c:cat>
          <c:val>
            <c:numRef>
              <c:f>Лист1!$C$2:$C$7</c:f>
              <c:numCache>
                <c:formatCode>General</c:formatCode>
                <c:ptCount val="6"/>
                <c:pt idx="0">
                  <c:v>43.8</c:v>
                </c:pt>
                <c:pt idx="1">
                  <c:v>61.1</c:v>
                </c:pt>
                <c:pt idx="2">
                  <c:v>104.9</c:v>
                </c:pt>
                <c:pt idx="3">
                  <c:v>32.200000000000003</c:v>
                </c:pt>
                <c:pt idx="4">
                  <c:v>113.5</c:v>
                </c:pt>
                <c:pt idx="5">
                  <c:v>326.5</c:v>
                </c:pt>
              </c:numCache>
            </c:numRef>
          </c:val>
        </c:ser>
        <c:dLbls>
          <c:showLegendKey val="0"/>
          <c:showVal val="1"/>
          <c:showCatName val="0"/>
          <c:showSerName val="0"/>
          <c:showPercent val="0"/>
          <c:showBubbleSize val="0"/>
        </c:dLbls>
        <c:gapWidth val="75"/>
        <c:axId val="38926208"/>
        <c:axId val="38927744"/>
      </c:barChart>
      <c:catAx>
        <c:axId val="38926208"/>
        <c:scaling>
          <c:orientation val="minMax"/>
        </c:scaling>
        <c:delete val="0"/>
        <c:axPos val="b"/>
        <c:numFmt formatCode="General" sourceLinked="1"/>
        <c:majorTickMark val="none"/>
        <c:minorTickMark val="none"/>
        <c:tickLblPos val="nextTo"/>
        <c:txPr>
          <a:bodyPr rot="0" vert="horz"/>
          <a:lstStyle/>
          <a:p>
            <a:pPr>
              <a:defRPr sz="800">
                <a:latin typeface="Times New Roman" panose="02020603050405020304" pitchFamily="18" charset="0"/>
                <a:cs typeface="Times New Roman" panose="02020603050405020304" pitchFamily="18" charset="0"/>
              </a:defRPr>
            </a:pPr>
            <a:endParaRPr lang="ru-RU"/>
          </a:p>
        </c:txPr>
        <c:crossAx val="38927744"/>
        <c:crosses val="autoZero"/>
        <c:auto val="1"/>
        <c:lblAlgn val="l"/>
        <c:lblOffset val="100"/>
        <c:noMultiLvlLbl val="0"/>
      </c:catAx>
      <c:valAx>
        <c:axId val="38927744"/>
        <c:scaling>
          <c:orientation val="minMax"/>
        </c:scaling>
        <c:delete val="0"/>
        <c:axPos val="l"/>
        <c:numFmt formatCode="General" sourceLinked="0"/>
        <c:majorTickMark val="none"/>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926208"/>
        <c:crosses val="autoZero"/>
        <c:crossBetween val="between"/>
      </c:valAx>
    </c:plotArea>
    <c:legend>
      <c:legendPos val="b"/>
      <c:layout>
        <c:manualLayout>
          <c:xMode val="edge"/>
          <c:yMode val="edge"/>
          <c:x val="0.65522995473155332"/>
          <c:y val="7.0217794987692428E-2"/>
          <c:w val="0.19621397550371078"/>
          <c:h val="4.9545664516808093E-2"/>
        </c:manualLayou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txPr>
    <a:bodyPr/>
    <a:lstStyle/>
    <a:p>
      <a:pPr>
        <a:defRPr sz="1800"/>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6.2185864328052967E-2"/>
          <c:y val="6.2904640420040833E-2"/>
          <c:w val="0.90593129117826532"/>
          <c:h val="0.67219522043797131"/>
        </c:manualLayout>
      </c:layout>
      <c:barChart>
        <c:barDir val="col"/>
        <c:grouping val="clustered"/>
        <c:varyColors val="0"/>
        <c:ser>
          <c:idx val="0"/>
          <c:order val="0"/>
          <c:tx>
            <c:strRef>
              <c:f>Лист1!$B$1</c:f>
              <c:strCache>
                <c:ptCount val="1"/>
                <c:pt idx="0">
                  <c:v>вынесено постановлений о наложении административного штрафа</c:v>
                </c:pt>
              </c:strCache>
            </c:strRef>
          </c:tx>
          <c:spPr>
            <a:solidFill>
              <a:srgbClr val="FFC000">
                <a:alpha val="50000"/>
              </a:srgbClr>
            </a:solidFill>
          </c:spPr>
          <c:invertIfNegative val="0"/>
          <c:dLbls>
            <c:dLbl>
              <c:idx val="0"/>
              <c:layout>
                <c:manualLayout>
                  <c:x val="2.6319826897540483E-3"/>
                  <c:y val="-8.5437266229678246E-3"/>
                </c:manualLayout>
              </c:layout>
              <c:showLegendKey val="0"/>
              <c:showVal val="1"/>
              <c:showCatName val="0"/>
              <c:showSerName val="0"/>
              <c:showPercent val="0"/>
              <c:showBubbleSize val="0"/>
            </c:dLbl>
            <c:dLbl>
              <c:idx val="1"/>
              <c:layout>
                <c:manualLayout>
                  <c:x val="0.10323747096883468"/>
                  <c:y val="-1.4851822019775541E-2"/>
                </c:manualLayout>
              </c:layout>
              <c:tx>
                <c:rich>
                  <a:bodyPr/>
                  <a:lstStyle/>
                  <a:p>
                    <a:r>
                      <a:rPr lang="ru-RU" sz="1100" b="0" i="0" u="none" strike="noStrike" kern="1200" baseline="0" dirty="0" smtClean="0">
                        <a:solidFill>
                          <a:sysClr val="windowText" lastClr="000000"/>
                        </a:solidFill>
                        <a:latin typeface="Times New Roman" panose="02020603050405020304" pitchFamily="18" charset="0"/>
                        <a:ea typeface="+mn-ea"/>
                        <a:cs typeface="Times New Roman" panose="02020603050405020304" pitchFamily="18" charset="0"/>
                      </a:rPr>
                      <a:t> </a:t>
                    </a:r>
                    <a:r>
                      <a:rPr lang="ru-RU" sz="1100" dirty="0" smtClean="0"/>
                      <a:t> 1</a:t>
                    </a:r>
                    <a:r>
                      <a:rPr lang="ru-RU" sz="1100" baseline="0" dirty="0" smtClean="0"/>
                      <a:t> 505</a:t>
                    </a:r>
                    <a:endParaRPr lang="ru-RU" dirty="0" smtClean="0"/>
                  </a:p>
                </c:rich>
              </c:tx>
              <c:showLegendKey val="0"/>
              <c:showVal val="1"/>
              <c:showCatName val="0"/>
              <c:showSerName val="0"/>
              <c:showPercent val="0"/>
              <c:showBubbleSize val="0"/>
            </c:dLbl>
            <c:dLbl>
              <c:idx val="2"/>
              <c:layout>
                <c:manualLayout>
                  <c:x val="1.6337189084920831E-3"/>
                  <c:y val="-7.4757898085551933E-3"/>
                </c:manualLayout>
              </c:layout>
              <c:showLegendKey val="0"/>
              <c:showVal val="1"/>
              <c:showCatName val="0"/>
              <c:showSerName val="0"/>
              <c:showPercent val="0"/>
              <c:showBubbleSize val="0"/>
            </c:dLbl>
            <c:txPr>
              <a:bodyPr/>
              <a:lstStyle/>
              <a:p>
                <a:pPr>
                  <a:defRPr sz="1100"/>
                </a:pPr>
                <a:endParaRPr lang="ru-RU"/>
              </a:p>
            </c:txPr>
            <c:showLegendKey val="0"/>
            <c:showVal val="1"/>
            <c:showCatName val="0"/>
            <c:showSerName val="0"/>
            <c:showPercent val="0"/>
            <c:showBubbleSize val="0"/>
            <c:showLeaderLines val="0"/>
          </c:dLbls>
          <c:cat>
            <c:strRef>
              <c:f>Лист1!$A$2:$A$3</c:f>
              <c:strCache>
                <c:ptCount val="2"/>
                <c:pt idx="0">
                  <c:v>2015 год</c:v>
                </c:pt>
                <c:pt idx="1">
                  <c:v>2016 год</c:v>
                </c:pt>
              </c:strCache>
            </c:strRef>
          </c:cat>
          <c:val>
            <c:numRef>
              <c:f>Лист1!$B$2:$B$3</c:f>
              <c:numCache>
                <c:formatCode>General</c:formatCode>
                <c:ptCount val="2"/>
                <c:pt idx="0">
                  <c:v>4803</c:v>
                </c:pt>
                <c:pt idx="1">
                  <c:v>1492</c:v>
                </c:pt>
              </c:numCache>
            </c:numRef>
          </c:val>
        </c:ser>
        <c:ser>
          <c:idx val="1"/>
          <c:order val="1"/>
          <c:tx>
            <c:strRef>
              <c:f>Лист1!$C$1</c:f>
              <c:strCache>
                <c:ptCount val="1"/>
                <c:pt idx="0">
                  <c:v>Вынесено постановлений об административных наказаниях, вступивших в законную силу</c:v>
                </c:pt>
              </c:strCache>
            </c:strRef>
          </c:tx>
          <c:spPr>
            <a:solidFill>
              <a:schemeClr val="accent3">
                <a:lumMod val="60000"/>
                <a:lumOff val="40000"/>
              </a:schemeClr>
            </a:solidFill>
          </c:spPr>
          <c:invertIfNegative val="0"/>
          <c:dLbls>
            <c:dLbl>
              <c:idx val="0"/>
              <c:layout>
                <c:manualLayout>
                  <c:x val="1.0661513800053963E-3"/>
                  <c:y val="-5.8854571714253984E-3"/>
                </c:manualLayout>
              </c:layout>
              <c:showLegendKey val="0"/>
              <c:showVal val="1"/>
              <c:showCatName val="0"/>
              <c:showSerName val="0"/>
              <c:showPercent val="0"/>
              <c:showBubbleSize val="0"/>
            </c:dLbl>
            <c:dLbl>
              <c:idx val="1"/>
              <c:layout>
                <c:manualLayout>
                  <c:x val="-0.10877243798308195"/>
                  <c:y val="-9.6530941006554866E-3"/>
                </c:manualLayout>
              </c:layout>
              <c:tx>
                <c:rich>
                  <a:bodyPr/>
                  <a:lstStyle/>
                  <a:p>
                    <a:r>
                      <a:rPr lang="ru-RU" sz="1100" dirty="0" smtClean="0"/>
                      <a:t>1</a:t>
                    </a:r>
                    <a:r>
                      <a:rPr lang="ru-RU" sz="1100" baseline="0" dirty="0" smtClean="0"/>
                      <a:t> 492</a:t>
                    </a:r>
                    <a:endParaRPr lang="en-US" dirty="0"/>
                  </a:p>
                </c:rich>
              </c:tx>
              <c:showLegendKey val="0"/>
              <c:showVal val="1"/>
              <c:showCatName val="0"/>
              <c:showSerName val="0"/>
              <c:showPercent val="0"/>
              <c:showBubbleSize val="0"/>
            </c:dLbl>
            <c:dLbl>
              <c:idx val="2"/>
              <c:layout>
                <c:manualLayout>
                  <c:x val="-8.3134341109897588E-3"/>
                  <c:y val="9.7258688223619827E-3"/>
                </c:manualLayout>
              </c:layout>
              <c:showLegendKey val="0"/>
              <c:showVal val="1"/>
              <c:showCatName val="0"/>
              <c:showSerName val="0"/>
              <c:showPercent val="0"/>
              <c:showBubbleSize val="0"/>
            </c:dLbl>
            <c:txPr>
              <a:bodyPr/>
              <a:lstStyle/>
              <a:p>
                <a:pPr>
                  <a:defRPr sz="1100"/>
                </a:pPr>
                <a:endParaRPr lang="ru-RU"/>
              </a:p>
            </c:txPr>
            <c:showLegendKey val="0"/>
            <c:showVal val="1"/>
            <c:showCatName val="0"/>
            <c:showSerName val="0"/>
            <c:showPercent val="0"/>
            <c:showBubbleSize val="0"/>
            <c:showLeaderLines val="0"/>
          </c:dLbls>
          <c:cat>
            <c:strRef>
              <c:f>Лист1!$A$2:$A$3</c:f>
              <c:strCache>
                <c:ptCount val="2"/>
                <c:pt idx="0">
                  <c:v>2015 год</c:v>
                </c:pt>
                <c:pt idx="1">
                  <c:v>2016 год</c:v>
                </c:pt>
              </c:strCache>
            </c:strRef>
          </c:cat>
          <c:val>
            <c:numRef>
              <c:f>Лист1!$C$2:$C$3</c:f>
              <c:numCache>
                <c:formatCode>General</c:formatCode>
                <c:ptCount val="2"/>
                <c:pt idx="0">
                  <c:v>3180</c:v>
                </c:pt>
                <c:pt idx="1">
                  <c:v>1505</c:v>
                </c:pt>
              </c:numCache>
            </c:numRef>
          </c:val>
        </c:ser>
        <c:dLbls>
          <c:showLegendKey val="0"/>
          <c:showVal val="0"/>
          <c:showCatName val="0"/>
          <c:showSerName val="0"/>
          <c:showPercent val="0"/>
          <c:showBubbleSize val="0"/>
        </c:dLbls>
        <c:gapWidth val="224"/>
        <c:axId val="39269120"/>
        <c:axId val="39270656"/>
      </c:barChart>
      <c:catAx>
        <c:axId val="39269120"/>
        <c:scaling>
          <c:orientation val="minMax"/>
        </c:scaling>
        <c:delete val="0"/>
        <c:axPos val="b"/>
        <c:numFmt formatCode="General" sourceLinked="1"/>
        <c:majorTickMark val="out"/>
        <c:minorTickMark val="none"/>
        <c:tickLblPos val="nextTo"/>
        <c:crossAx val="39270656"/>
        <c:crosses val="autoZero"/>
        <c:auto val="1"/>
        <c:lblAlgn val="ctr"/>
        <c:lblOffset val="100"/>
        <c:noMultiLvlLbl val="0"/>
      </c:catAx>
      <c:valAx>
        <c:axId val="39270656"/>
        <c:scaling>
          <c:orientation val="minMax"/>
          <c:max val="5000"/>
        </c:scaling>
        <c:delete val="0"/>
        <c:axPos val="l"/>
        <c:majorGridlines>
          <c:spPr>
            <a:ln>
              <a:solidFill>
                <a:srgbClr val="4F81BD">
                  <a:alpha val="0"/>
                </a:srgbClr>
              </a:solidFill>
            </a:ln>
          </c:spPr>
        </c:majorGridlines>
        <c:numFmt formatCode="General" sourceLinked="1"/>
        <c:majorTickMark val="out"/>
        <c:minorTickMark val="none"/>
        <c:tickLblPos val="nextTo"/>
        <c:crossAx val="39269120"/>
        <c:crosses val="autoZero"/>
        <c:crossBetween val="between"/>
        <c:majorUnit val="500"/>
      </c:valAx>
    </c:plotArea>
    <c:legend>
      <c:legendPos val="b"/>
      <c:layout>
        <c:manualLayout>
          <c:xMode val="edge"/>
          <c:yMode val="edge"/>
          <c:x val="5.3775136984907587E-2"/>
          <c:y val="0.82518920326951983"/>
          <c:w val="0.89244972603018524"/>
          <c:h val="0.17481078232950711"/>
        </c:manualLayout>
      </c:layout>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380952096882781E-2"/>
          <c:y val="1.7416467614709483E-2"/>
          <c:w val="0.52339203861356964"/>
          <c:h val="0.82076210282189999"/>
        </c:manualLayout>
      </c:layout>
      <c:barChart>
        <c:barDir val="col"/>
        <c:grouping val="stacked"/>
        <c:varyColors val="0"/>
        <c:ser>
          <c:idx val="3"/>
          <c:order val="2"/>
          <c:tx>
            <c:strRef>
              <c:f>Лист1!$B$1</c:f>
              <c:strCache>
                <c:ptCount val="1"/>
                <c:pt idx="0">
                  <c:v>вынесено обязательных для рассмотрения представлений</c:v>
                </c:pt>
              </c:strCache>
            </c:strRef>
          </c:tx>
          <c:spPr>
            <a:solidFill>
              <a:schemeClr val="accent3">
                <a:lumMod val="60000"/>
                <a:lumOff val="40000"/>
              </a:schemeClr>
            </a:solidFill>
            <a:ln>
              <a:noFill/>
            </a:ln>
          </c:spPr>
          <c:invertIfNegative val="0"/>
          <c:dLbls>
            <c:dLbl>
              <c:idx val="0"/>
              <c:layout>
                <c:manualLayout>
                  <c:x val="0.14860022732998318"/>
                  <c:y val="-0.2006202435840462"/>
                </c:manualLayout>
              </c:layout>
              <c:tx>
                <c:rich>
                  <a:bodyPr/>
                  <a:lstStyle/>
                  <a:p>
                    <a:r>
                      <a:rPr lang="en-US" sz="1000" b="1" dirty="0"/>
                      <a:t>5 </a:t>
                    </a:r>
                    <a:r>
                      <a:rPr lang="ru-RU" sz="1000" b="1" dirty="0" smtClean="0"/>
                      <a:t>487</a:t>
                    </a:r>
                    <a:r>
                      <a:rPr lang="ru-RU" sz="1000" b="1" baseline="0" dirty="0" smtClean="0"/>
                      <a:t> </a:t>
                    </a:r>
                    <a:r>
                      <a:rPr lang="ru-RU" sz="1000" b="1" dirty="0" smtClean="0"/>
                      <a:t>(74,5 %)</a:t>
                    </a:r>
                    <a:endParaRPr lang="en-US" sz="1200" dirty="0"/>
                  </a:p>
                </c:rich>
              </c:tx>
              <c:showLegendKey val="0"/>
              <c:showVal val="1"/>
              <c:showCatName val="0"/>
              <c:showSerName val="0"/>
              <c:showPercent val="0"/>
              <c:showBubbleSize val="0"/>
            </c:dLbl>
            <c:dLbl>
              <c:idx val="1"/>
              <c:layout>
                <c:manualLayout>
                  <c:x val="0.14373464618759652"/>
                  <c:y val="-0.15282453358375669"/>
                </c:manualLayout>
              </c:layout>
              <c:tx>
                <c:rich>
                  <a:bodyPr/>
                  <a:lstStyle/>
                  <a:p>
                    <a:r>
                      <a:rPr lang="ru-RU" sz="1000" b="1" dirty="0" smtClean="0"/>
                      <a:t>655 (20,9 %)</a:t>
                    </a:r>
                    <a:endParaRPr lang="en-US" dirty="0"/>
                  </a:p>
                </c:rich>
              </c:tx>
              <c:showLegendKey val="0"/>
              <c:showVal val="1"/>
              <c:showCatName val="0"/>
              <c:showSerName val="0"/>
              <c:showPercent val="0"/>
              <c:showBubbleSize val="0"/>
            </c:dLbl>
            <c:dLbl>
              <c:idx val="2"/>
              <c:layout>
                <c:manualLayout>
                  <c:x val="9.9906515215951161E-2"/>
                  <c:y val="-0.13227696922564117"/>
                </c:manualLayout>
              </c:layout>
              <c:tx>
                <c:rich>
                  <a:bodyPr/>
                  <a:lstStyle/>
                  <a:p>
                    <a:r>
                      <a:rPr lang="en-US"/>
                      <a:t>5 487</a:t>
                    </a:r>
                    <a:endParaRPr lang="ru-RU"/>
                  </a:p>
                  <a:p>
                    <a:r>
                      <a:rPr lang="en-US"/>
                      <a:t> (74</a:t>
                    </a:r>
                    <a:r>
                      <a:rPr lang="ru-RU"/>
                      <a:t>,5%)</a:t>
                    </a:r>
                    <a:endParaRPr lang="en-US"/>
                  </a:p>
                </c:rich>
              </c:tx>
              <c:showLegendKey val="0"/>
              <c:showVal val="1"/>
              <c:showCatName val="0"/>
              <c:showSerName val="0"/>
              <c:showPercent val="0"/>
              <c:showBubbleSize val="0"/>
            </c:dLbl>
            <c:dLbl>
              <c:idx val="3"/>
              <c:layout>
                <c:manualLayout>
                  <c:x val="8.5112876417097208E-2"/>
                  <c:y val="-5.2910961282079803E-2"/>
                </c:manualLayout>
              </c:layout>
              <c:tx>
                <c:rich>
                  <a:bodyPr/>
                  <a:lstStyle/>
                  <a:p>
                    <a:r>
                      <a:rPr lang="ru-RU" sz="1000" b="1" dirty="0" smtClean="0"/>
                      <a:t>2 395</a:t>
                    </a:r>
                  </a:p>
                  <a:p>
                    <a:r>
                      <a:rPr lang="en-US" sz="1000" b="1" dirty="0" smtClean="0"/>
                      <a:t> </a:t>
                    </a:r>
                    <a:r>
                      <a:rPr lang="ru-RU" sz="1000" b="1" dirty="0" smtClean="0"/>
                      <a:t>(77,1%)</a:t>
                    </a:r>
                    <a:endParaRPr lang="en-US" dirty="0"/>
                  </a:p>
                </c:rich>
              </c:tx>
              <c:showLegendKey val="0"/>
              <c:showVal val="1"/>
              <c:showCatName val="0"/>
              <c:showSerName val="0"/>
              <c:showPercent val="0"/>
              <c:showBubbleSize val="0"/>
            </c:dLbl>
            <c:numFmt formatCode="#,##0" sourceLinked="0"/>
            <c:showLegendKey val="0"/>
            <c:showVal val="1"/>
            <c:showCatName val="0"/>
            <c:showSerName val="0"/>
            <c:showPercent val="0"/>
            <c:showBubbleSize val="0"/>
            <c:showLeaderLines val="0"/>
          </c:dLbls>
          <c:cat>
            <c:strRef>
              <c:f>Лист1!$A$2:$A$3</c:f>
              <c:strCache>
                <c:ptCount val="2"/>
                <c:pt idx="0">
                  <c:v>2015 год</c:v>
                </c:pt>
                <c:pt idx="1">
                  <c:v>2016 год</c:v>
                </c:pt>
              </c:strCache>
            </c:strRef>
          </c:cat>
          <c:val>
            <c:numRef>
              <c:f>Лист1!$B$2:$B$3</c:f>
              <c:numCache>
                <c:formatCode>#,##0.00</c:formatCode>
                <c:ptCount val="2"/>
                <c:pt idx="0">
                  <c:v>5487</c:v>
                </c:pt>
                <c:pt idx="1">
                  <c:v>2396</c:v>
                </c:pt>
              </c:numCache>
            </c:numRef>
          </c:val>
        </c:ser>
        <c:ser>
          <c:idx val="1"/>
          <c:order val="0"/>
          <c:tx>
            <c:strRef>
              <c:f>Лист1!$C$1</c:f>
              <c:strCache>
                <c:ptCount val="1"/>
                <c:pt idx="0">
                  <c:v>вынесено обязательных для исполнения предписаний</c:v>
                </c:pt>
              </c:strCache>
            </c:strRef>
          </c:tx>
          <c:spPr>
            <a:solidFill>
              <a:srgbClr val="FCE48E"/>
            </a:solidFill>
            <a:ln>
              <a:noFill/>
            </a:ln>
          </c:spPr>
          <c:invertIfNegative val="0"/>
          <c:dLbls>
            <c:dLbl>
              <c:idx val="0"/>
              <c:layout>
                <c:manualLayout>
                  <c:x val="0.1469771841213971"/>
                  <c:y val="-1.7636929230085623E-2"/>
                </c:manualLayout>
              </c:layout>
              <c:tx>
                <c:rich>
                  <a:bodyPr/>
                  <a:lstStyle/>
                  <a:p>
                    <a:r>
                      <a:rPr lang="en-US" sz="1000" b="1" dirty="0"/>
                      <a:t>1 </a:t>
                    </a:r>
                    <a:r>
                      <a:rPr lang="ru-RU" sz="1000" b="1" dirty="0" smtClean="0"/>
                      <a:t>624 (22,1 %)</a:t>
                    </a:r>
                    <a:endParaRPr lang="en-US" sz="1200" dirty="0"/>
                  </a:p>
                </c:rich>
              </c:tx>
              <c:showLegendKey val="0"/>
              <c:showVal val="1"/>
              <c:showCatName val="0"/>
              <c:showSerName val="0"/>
              <c:showPercent val="0"/>
              <c:showBubbleSize val="0"/>
            </c:dLbl>
            <c:dLbl>
              <c:idx val="1"/>
              <c:layout>
                <c:manualLayout>
                  <c:x val="0.14984127282764345"/>
                  <c:y val="0.15211816742584194"/>
                </c:manualLayout>
              </c:layout>
              <c:tx>
                <c:rich>
                  <a:bodyPr/>
                  <a:lstStyle/>
                  <a:p>
                    <a:r>
                      <a:rPr lang="ru-RU" sz="1000" b="1" dirty="0" smtClean="0"/>
                      <a:t>2</a:t>
                    </a:r>
                    <a:r>
                      <a:rPr lang="ru-RU" sz="1000" b="1" baseline="0" dirty="0" smtClean="0"/>
                      <a:t> 418</a:t>
                    </a:r>
                    <a:r>
                      <a:rPr lang="ru-RU" sz="1000" b="1" dirty="0" smtClean="0"/>
                      <a:t> (77,3 %)</a:t>
                    </a:r>
                    <a:endParaRPr lang="en-US" dirty="0"/>
                  </a:p>
                </c:rich>
              </c:tx>
              <c:showLegendKey val="0"/>
              <c:showVal val="1"/>
              <c:showCatName val="0"/>
              <c:showSerName val="0"/>
              <c:showPercent val="0"/>
              <c:showBubbleSize val="0"/>
            </c:dLbl>
            <c:dLbl>
              <c:idx val="2"/>
              <c:layout>
                <c:manualLayout>
                  <c:x val="9.049238143486224E-2"/>
                  <c:y val="2.2045987945783965E-2"/>
                </c:manualLayout>
              </c:layout>
              <c:tx>
                <c:rich>
                  <a:bodyPr/>
                  <a:lstStyle/>
                  <a:p>
                    <a:r>
                      <a:rPr lang="en-US" sz="1000" b="1" dirty="0"/>
                      <a:t>1 </a:t>
                    </a:r>
                    <a:r>
                      <a:rPr lang="en-US" sz="1000" b="1" dirty="0" smtClean="0"/>
                      <a:t>624</a:t>
                    </a:r>
                    <a:endParaRPr lang="ru-RU" sz="1000" b="1" dirty="0" smtClean="0"/>
                  </a:p>
                  <a:p>
                    <a:r>
                      <a:rPr lang="ru-RU" sz="1000" b="1" dirty="0" smtClean="0"/>
                      <a:t>(22%)</a:t>
                    </a:r>
                    <a:endParaRPr lang="en-US" dirty="0"/>
                  </a:p>
                </c:rich>
              </c:tx>
              <c:showLegendKey val="0"/>
              <c:showVal val="1"/>
              <c:showCatName val="0"/>
              <c:showSerName val="0"/>
              <c:showPercent val="0"/>
              <c:showBubbleSize val="0"/>
            </c:dLbl>
            <c:dLbl>
              <c:idx val="3"/>
              <c:layout>
                <c:manualLayout>
                  <c:x val="8.6511759513252226E-2"/>
                  <c:y val="8.8182910232196508E-3"/>
                </c:manualLayout>
              </c:layout>
              <c:tx>
                <c:rich>
                  <a:bodyPr/>
                  <a:lstStyle/>
                  <a:p>
                    <a:r>
                      <a:rPr lang="ru-RU" sz="1000" b="1" dirty="0" smtClean="0"/>
                      <a:t>660</a:t>
                    </a:r>
                  </a:p>
                  <a:p>
                    <a:r>
                      <a:rPr lang="ru-RU" sz="1000" b="1" dirty="0" smtClean="0"/>
                      <a:t>(21,2%)</a:t>
                    </a:r>
                    <a:endParaRPr lang="en-US" dirty="0"/>
                  </a:p>
                </c:rich>
              </c:tx>
              <c:showLegendKey val="0"/>
              <c:showVal val="1"/>
              <c:showCatName val="0"/>
              <c:showSerName val="0"/>
              <c:showPercent val="0"/>
              <c:showBubbleSize val="0"/>
            </c:dLbl>
            <c:numFmt formatCode="#,##0" sourceLinked="0"/>
            <c:showLegendKey val="0"/>
            <c:showVal val="1"/>
            <c:showCatName val="0"/>
            <c:showSerName val="0"/>
            <c:showPercent val="0"/>
            <c:showBubbleSize val="0"/>
            <c:showLeaderLines val="0"/>
          </c:dLbls>
          <c:cat>
            <c:strRef>
              <c:f>Лист1!$A$2:$A$3</c:f>
              <c:strCache>
                <c:ptCount val="2"/>
                <c:pt idx="0">
                  <c:v>2015 год</c:v>
                </c:pt>
                <c:pt idx="1">
                  <c:v>2016 год</c:v>
                </c:pt>
              </c:strCache>
            </c:strRef>
          </c:cat>
          <c:val>
            <c:numRef>
              <c:f>Лист1!$C$2:$C$3</c:f>
              <c:numCache>
                <c:formatCode>#,##0.00</c:formatCode>
                <c:ptCount val="2"/>
                <c:pt idx="0">
                  <c:v>1624</c:v>
                </c:pt>
                <c:pt idx="1">
                  <c:v>658</c:v>
                </c:pt>
              </c:numCache>
            </c:numRef>
          </c:val>
        </c:ser>
        <c:ser>
          <c:idx val="2"/>
          <c:order val="1"/>
          <c:tx>
            <c:strRef>
              <c:f>Лист1!$D$1</c:f>
              <c:strCache>
                <c:ptCount val="1"/>
                <c:pt idx="0">
                  <c:v>направлено уведомлений  о применении бюджетных мер принуждения </c:v>
                </c:pt>
              </c:strCache>
            </c:strRef>
          </c:tx>
          <c:spPr>
            <a:solidFill>
              <a:schemeClr val="tx2">
                <a:lumMod val="60000"/>
                <a:lumOff val="40000"/>
              </a:schemeClr>
            </a:solidFill>
            <a:ln>
              <a:noFill/>
            </a:ln>
          </c:spPr>
          <c:invertIfNegative val="0"/>
          <c:dLbls>
            <c:dLbl>
              <c:idx val="0"/>
              <c:layout>
                <c:manualLayout>
                  <c:x val="0.14505479950774641"/>
                  <c:y val="8.6313203604926699E-5"/>
                </c:manualLayout>
              </c:layout>
              <c:tx>
                <c:rich>
                  <a:bodyPr/>
                  <a:lstStyle/>
                  <a:p>
                    <a:r>
                      <a:rPr lang="en-US" sz="1000" b="1" dirty="0" smtClean="0"/>
                      <a:t>249</a:t>
                    </a:r>
                    <a:r>
                      <a:rPr lang="ru-RU" sz="1000" b="1" dirty="0" smtClean="0"/>
                      <a:t> (3,4 %)</a:t>
                    </a:r>
                    <a:endParaRPr lang="en-US" sz="1200" dirty="0"/>
                  </a:p>
                </c:rich>
              </c:tx>
              <c:showLegendKey val="0"/>
              <c:showVal val="1"/>
              <c:showCatName val="0"/>
              <c:showSerName val="0"/>
              <c:showPercent val="0"/>
              <c:showBubbleSize val="0"/>
            </c:dLbl>
            <c:dLbl>
              <c:idx val="1"/>
              <c:layout>
                <c:manualLayout>
                  <c:x val="0.14119001488874705"/>
                  <c:y val="-1.6469980877055881E-2"/>
                </c:manualLayout>
              </c:layout>
              <c:tx>
                <c:rich>
                  <a:bodyPr/>
                  <a:lstStyle/>
                  <a:p>
                    <a:r>
                      <a:rPr lang="ru-RU" sz="1000" b="1" dirty="0" smtClean="0"/>
                      <a:t>56 (1,8 %)</a:t>
                    </a:r>
                    <a:endParaRPr lang="en-US" dirty="0"/>
                  </a:p>
                </c:rich>
              </c:tx>
              <c:showLegendKey val="0"/>
              <c:showVal val="1"/>
              <c:showCatName val="0"/>
              <c:showSerName val="0"/>
              <c:showPercent val="0"/>
              <c:showBubbleSize val="0"/>
            </c:dLbl>
            <c:dLbl>
              <c:idx val="2"/>
              <c:layout>
                <c:manualLayout>
                  <c:x val="9.4527010198187184E-2"/>
                  <c:y val="-3.0864626152649687E-2"/>
                </c:manualLayout>
              </c:layout>
              <c:tx>
                <c:rich>
                  <a:bodyPr/>
                  <a:lstStyle/>
                  <a:p>
                    <a:r>
                      <a:rPr lang="en-US" sz="1000" b="1" dirty="0" smtClean="0"/>
                      <a:t>249</a:t>
                    </a:r>
                    <a:endParaRPr lang="ru-RU" sz="1000" b="1" dirty="0" smtClean="0"/>
                  </a:p>
                  <a:p>
                    <a:r>
                      <a:rPr lang="ru-RU" sz="1000" b="1" dirty="0" smtClean="0"/>
                      <a:t>(3,3%)</a:t>
                    </a:r>
                    <a:endParaRPr lang="en-US" dirty="0"/>
                  </a:p>
                </c:rich>
              </c:tx>
              <c:showLegendKey val="0"/>
              <c:showVal val="1"/>
              <c:showCatName val="0"/>
              <c:showSerName val="0"/>
              <c:showPercent val="0"/>
              <c:showBubbleSize val="0"/>
            </c:dLbl>
            <c:dLbl>
              <c:idx val="3"/>
              <c:layout>
                <c:manualLayout>
                  <c:x val="8.3929914792029769E-2"/>
                  <c:y val="-2.2046161537606853E-2"/>
                </c:manualLayout>
              </c:layout>
              <c:tx>
                <c:rich>
                  <a:bodyPr/>
                  <a:lstStyle/>
                  <a:p>
                    <a:r>
                      <a:rPr lang="ru-RU" sz="1000" b="1" dirty="0" smtClean="0"/>
                      <a:t> 52</a:t>
                    </a:r>
                  </a:p>
                  <a:p>
                    <a:r>
                      <a:rPr lang="ru-RU" sz="1000" b="1" dirty="0" smtClean="0"/>
                      <a:t>   (1,7%)</a:t>
                    </a:r>
                    <a:endParaRPr lang="en-US" dirty="0"/>
                  </a:p>
                </c:rich>
              </c:tx>
              <c:showLegendKey val="0"/>
              <c:showVal val="1"/>
              <c:showCatName val="0"/>
              <c:showSerName val="0"/>
              <c:showPercent val="0"/>
              <c:showBubbleSize val="0"/>
            </c:dLbl>
            <c:numFmt formatCode="#,##0" sourceLinked="0"/>
            <c:showLegendKey val="0"/>
            <c:showVal val="1"/>
            <c:showCatName val="0"/>
            <c:showSerName val="0"/>
            <c:showPercent val="0"/>
            <c:showBubbleSize val="0"/>
            <c:showLeaderLines val="0"/>
          </c:dLbls>
          <c:cat>
            <c:strRef>
              <c:f>Лист1!$A$2:$A$3</c:f>
              <c:strCache>
                <c:ptCount val="2"/>
                <c:pt idx="0">
                  <c:v>2015 год</c:v>
                </c:pt>
                <c:pt idx="1">
                  <c:v>2016 год</c:v>
                </c:pt>
              </c:strCache>
            </c:strRef>
          </c:cat>
          <c:val>
            <c:numRef>
              <c:f>Лист1!$D$2:$D$3</c:f>
              <c:numCache>
                <c:formatCode>#,##0.00</c:formatCode>
                <c:ptCount val="2"/>
                <c:pt idx="0">
                  <c:v>249</c:v>
                </c:pt>
                <c:pt idx="1">
                  <c:v>55</c:v>
                </c:pt>
              </c:numCache>
            </c:numRef>
          </c:val>
        </c:ser>
        <c:dLbls>
          <c:showLegendKey val="0"/>
          <c:showVal val="0"/>
          <c:showCatName val="0"/>
          <c:showSerName val="0"/>
          <c:showPercent val="0"/>
          <c:showBubbleSize val="0"/>
        </c:dLbls>
        <c:gapWidth val="134"/>
        <c:overlap val="100"/>
        <c:axId val="39011072"/>
        <c:axId val="39012608"/>
      </c:barChart>
      <c:catAx>
        <c:axId val="39011072"/>
        <c:scaling>
          <c:orientation val="minMax"/>
        </c:scaling>
        <c:delete val="0"/>
        <c:axPos val="b"/>
        <c:numFmt formatCode="General" sourceLinked="1"/>
        <c:majorTickMark val="out"/>
        <c:minorTickMark val="none"/>
        <c:tickLblPos val="nextTo"/>
        <c:txPr>
          <a:bodyPr/>
          <a:lstStyle/>
          <a:p>
            <a:pPr>
              <a:defRPr sz="1200"/>
            </a:pPr>
            <a:endParaRPr lang="ru-RU"/>
          </a:p>
        </c:txPr>
        <c:crossAx val="39012608"/>
        <c:crosses val="autoZero"/>
        <c:auto val="1"/>
        <c:lblAlgn val="ctr"/>
        <c:lblOffset val="100"/>
        <c:noMultiLvlLbl val="0"/>
      </c:catAx>
      <c:valAx>
        <c:axId val="39012608"/>
        <c:scaling>
          <c:orientation val="minMax"/>
        </c:scaling>
        <c:delete val="0"/>
        <c:axPos val="l"/>
        <c:majorGridlines>
          <c:spPr>
            <a:ln>
              <a:noFill/>
            </a:ln>
          </c:spPr>
        </c:majorGridlines>
        <c:numFmt formatCode="#,##0" sourceLinked="0"/>
        <c:majorTickMark val="out"/>
        <c:minorTickMark val="none"/>
        <c:tickLblPos val="nextTo"/>
        <c:txPr>
          <a:bodyPr/>
          <a:lstStyle/>
          <a:p>
            <a:pPr>
              <a:defRPr sz="1200"/>
            </a:pPr>
            <a:endParaRPr lang="ru-RU"/>
          </a:p>
        </c:txPr>
        <c:crossAx val="39011072"/>
        <c:crosses val="autoZero"/>
        <c:crossBetween val="between"/>
      </c:valAx>
      <c:spPr>
        <a:ln>
          <a:noFill/>
        </a:ln>
      </c:spPr>
    </c:plotArea>
    <c:legend>
      <c:legendPos val="r"/>
      <c:layout>
        <c:manualLayout>
          <c:xMode val="edge"/>
          <c:yMode val="edge"/>
          <c:x val="0.67508520133014005"/>
          <c:y val="6.3060285946319361E-4"/>
          <c:w val="0.3239701181093409"/>
          <c:h val="0.60329429886979358"/>
        </c:manualLayout>
      </c:layout>
      <c:overlay val="0"/>
      <c:txPr>
        <a:bodyPr/>
        <a:lstStyle/>
        <a:p>
          <a:pPr>
            <a:defRPr sz="1200"/>
          </a:pPr>
          <a:endParaRPr lang="ru-RU"/>
        </a:p>
      </c:txPr>
    </c:legend>
    <c:plotVisOnly val="1"/>
    <c:dispBlanksAs val="gap"/>
    <c:showDLblsOverMax val="0"/>
  </c:chart>
  <c:spPr>
    <a:ln>
      <a:noFill/>
    </a:ln>
  </c:spPr>
  <c:txPr>
    <a:bodyPr/>
    <a:lstStyle/>
    <a:p>
      <a:pPr>
        <a:defRPr sz="18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strRef>
              <c:f>Лист1!$B$1</c:f>
              <c:strCache>
                <c:ptCount val="1"/>
                <c:pt idx="0">
                  <c:v>Сведения о средствах, поступивших в федеральный бюджет за 2016 г., по результатам устраненных нарушений, руб. </c:v>
                </c:pt>
              </c:strCache>
            </c:strRef>
          </c:tx>
          <c:spPr>
            <a:effectLst>
              <a:outerShdw blurRad="76200" dist="38100" sx="1000" sy="1000" algn="l" rotWithShape="0">
                <a:prstClr val="black"/>
              </a:outerShdw>
            </a:effectLst>
            <a:scene3d>
              <a:camera prst="orthographicFront"/>
              <a:lightRig rig="threePt" dir="t"/>
            </a:scene3d>
            <a:sp3d/>
          </c:spPr>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I квартал</c:v>
                </c:pt>
                <c:pt idx="1">
                  <c:v>II квартал</c:v>
                </c:pt>
                <c:pt idx="2">
                  <c:v>III квартал</c:v>
                </c:pt>
                <c:pt idx="3">
                  <c:v>IV квартал</c:v>
                </c:pt>
              </c:strCache>
            </c:strRef>
          </c:cat>
          <c:val>
            <c:numRef>
              <c:f>Лист1!$B$2:$B$5</c:f>
              <c:numCache>
                <c:formatCode>_(* #,##0.00_);_(* \(#,##0.00\);_(* "-"??_);_(@_)</c:formatCode>
                <c:ptCount val="4"/>
                <c:pt idx="0">
                  <c:v>433.6</c:v>
                </c:pt>
                <c:pt idx="1">
                  <c:v>1333.1</c:v>
                </c:pt>
                <c:pt idx="2">
                  <c:v>7500.1</c:v>
                </c:pt>
                <c:pt idx="3">
                  <c:v>847.8</c:v>
                </c:pt>
              </c:numCache>
            </c:numRef>
          </c:val>
          <c:extLst xmlns:c16r2="http://schemas.microsoft.com/office/drawing/2015/06/chart">
            <c:ext xmlns:c16="http://schemas.microsoft.com/office/drawing/2014/chart" uri="{C3380CC4-5D6E-409C-BE32-E72D297353CC}">
              <c16:uniqueId val="{00000000-B472-4479-A355-47D05F031FD2}"/>
            </c:ext>
          </c:extLst>
        </c:ser>
        <c:dLbls>
          <c:showLegendKey val="0"/>
          <c:showVal val="0"/>
          <c:showCatName val="0"/>
          <c:showSerName val="0"/>
          <c:showPercent val="0"/>
          <c:showBubbleSize val="0"/>
          <c:showLeaderLines val="1"/>
        </c:dLbls>
        <c:firstSliceAng val="53"/>
        <c:holeSize val="50"/>
      </c:doughnutChart>
    </c:plotArea>
    <c:legend>
      <c:legendPos val="r"/>
      <c:layout>
        <c:manualLayout>
          <c:xMode val="edge"/>
          <c:yMode val="edge"/>
          <c:x val="0.76586431049661352"/>
          <c:y val="0.43681001413284876"/>
          <c:w val="0.13679805157501287"/>
          <c:h val="0.33144403031141001"/>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100"/>
            </a:pPr>
            <a:r>
              <a:rPr lang="ru-RU" sz="1200" baseline="0"/>
              <a:t>Соответствие положений нормативных правовых актов субъектов Российской Федерации</a:t>
            </a:r>
            <a:r>
              <a:rPr lang="ru-RU"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a:t>
            </a:r>
            <a:r>
              <a:rPr lang="ru-RU" sz="1200" baseline="0"/>
              <a:t>по санкционированию оплаты денежных обязательств получателей средств бюджета положениям нормативных правовых актов Минфина России</a:t>
            </a:r>
            <a:endParaRPr lang="ru-RU" sz="1200"/>
          </a:p>
        </c:rich>
      </c:tx>
      <c:layout>
        <c:manualLayout>
          <c:xMode val="edge"/>
          <c:yMode val="edge"/>
          <c:x val="0.1282829596250056"/>
          <c:y val="2.4225699672966321E-4"/>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9365446966188049"/>
          <c:y val="0.26733178992895473"/>
          <c:w val="0.62470296532082426"/>
          <c:h val="0.44196979475926162"/>
        </c:manualLayout>
      </c:layout>
      <c:pie3DChart>
        <c:varyColors val="1"/>
        <c:ser>
          <c:idx val="0"/>
          <c:order val="0"/>
          <c:tx>
            <c:strRef>
              <c:f>Лист1!$B$1</c:f>
              <c:strCache>
                <c:ptCount val="1"/>
                <c:pt idx="0">
                  <c:v>Кассовое обслуживание исполенния бюджетов субъектов Российской Федерации (по состоянию на 01.01.2015)</c:v>
                </c:pt>
              </c:strCache>
            </c:strRef>
          </c:tx>
          <c:dPt>
            <c:idx val="0"/>
            <c:bubble3D val="0"/>
            <c:spPr>
              <a:solidFill>
                <a:srgbClr val="1F497D">
                  <a:lumMod val="40000"/>
                  <a:lumOff val="60000"/>
                </a:srgbClr>
              </a:solidFill>
            </c:spPr>
          </c:dPt>
          <c:dPt>
            <c:idx val="1"/>
            <c:bubble3D val="0"/>
            <c:spPr>
              <a:solidFill>
                <a:sysClr val="window" lastClr="FFFFFF">
                  <a:lumMod val="75000"/>
                </a:sysClr>
              </a:solidFill>
            </c:spPr>
          </c:dPt>
          <c:dPt>
            <c:idx val="2"/>
            <c:bubble3D val="0"/>
            <c:spPr>
              <a:solidFill>
                <a:srgbClr val="F79646">
                  <a:lumMod val="60000"/>
                  <a:lumOff val="40000"/>
                </a:srgbClr>
              </a:solidFill>
            </c:spPr>
          </c:dPt>
          <c:dPt>
            <c:idx val="3"/>
            <c:bubble3D val="0"/>
            <c:spPr>
              <a:solidFill>
                <a:srgbClr val="9BBB59">
                  <a:lumMod val="75000"/>
                </a:srgbClr>
              </a:solidFill>
            </c:spPr>
          </c:dPt>
          <c:dLbls>
            <c:dLbl>
              <c:idx val="0"/>
              <c:layout>
                <c:manualLayout>
                  <c:x val="0.12029150611492723"/>
                  <c:y val="-9.2499175308004597E-2"/>
                </c:manualLayout>
              </c:layout>
              <c:tx>
                <c:rich>
                  <a:bodyPr/>
                  <a:lstStyle/>
                  <a:p>
                    <a:r>
                      <a:rPr lang="ru-RU" sz="999" b="0" dirty="0" smtClean="0"/>
                      <a:t>69</a:t>
                    </a:r>
                  </a:p>
                  <a:p>
                    <a:r>
                      <a:rPr lang="ru-RU" sz="999" b="0" dirty="0" smtClean="0"/>
                      <a:t>81,2 </a:t>
                    </a:r>
                    <a:r>
                      <a:rPr lang="en-US" sz="999" b="0" dirty="0"/>
                      <a:t>%</a:t>
                    </a:r>
                    <a:endParaRPr lang="en-US" b="1" dirty="0"/>
                  </a:p>
                </c:rich>
              </c:tx>
              <c:dLblPos val="bestFit"/>
              <c:showLegendKey val="0"/>
              <c:showVal val="0"/>
              <c:showCatName val="0"/>
              <c:showSerName val="0"/>
              <c:showPercent val="0"/>
              <c:showBubbleSize val="0"/>
            </c:dLbl>
            <c:dLbl>
              <c:idx val="1"/>
              <c:layout>
                <c:manualLayout>
                  <c:x val="-0.11054693695202993"/>
                  <c:y val="2.0401015446839636E-2"/>
                </c:manualLayout>
              </c:layout>
              <c:tx>
                <c:rich>
                  <a:bodyPr/>
                  <a:lstStyle/>
                  <a:p>
                    <a:r>
                      <a:rPr lang="ru-RU" sz="999" b="0" dirty="0" smtClean="0"/>
                      <a:t>3</a:t>
                    </a:r>
                  </a:p>
                  <a:p>
                    <a:r>
                      <a:rPr lang="ru-RU" sz="999" b="0" dirty="0" smtClean="0"/>
                      <a:t>3,5 </a:t>
                    </a:r>
                    <a:r>
                      <a:rPr lang="en-US" sz="999" b="0" dirty="0" smtClean="0"/>
                      <a:t>%</a:t>
                    </a:r>
                    <a:endParaRPr lang="ru-RU" b="1" dirty="0" smtClean="0"/>
                  </a:p>
                </c:rich>
              </c:tx>
              <c:dLblPos val="bestFit"/>
              <c:showLegendKey val="0"/>
              <c:showVal val="0"/>
              <c:showCatName val="0"/>
              <c:showSerName val="0"/>
              <c:showPercent val="0"/>
              <c:showBubbleSize val="0"/>
            </c:dLbl>
            <c:dLbl>
              <c:idx val="2"/>
              <c:layout>
                <c:manualLayout>
                  <c:x val="-0.16132328139833582"/>
                  <c:y val="-3.0305351175365373E-2"/>
                </c:manualLayout>
              </c:layout>
              <c:tx>
                <c:rich>
                  <a:bodyPr/>
                  <a:lstStyle/>
                  <a:p>
                    <a:r>
                      <a:rPr lang="ru-RU" sz="999" b="0" dirty="0" smtClean="0"/>
                      <a:t>10</a:t>
                    </a:r>
                  </a:p>
                  <a:p>
                    <a:r>
                      <a:rPr lang="ru-RU" sz="999" b="0" dirty="0" smtClean="0"/>
                      <a:t>11,8 </a:t>
                    </a:r>
                    <a:r>
                      <a:rPr lang="en-US" sz="999" b="0" dirty="0" smtClean="0"/>
                      <a:t>%</a:t>
                    </a:r>
                    <a:endParaRPr lang="ru-RU" b="1" dirty="0" smtClean="0"/>
                  </a:p>
                </c:rich>
              </c:tx>
              <c:dLblPos val="bestFit"/>
              <c:showLegendKey val="0"/>
              <c:showVal val="0"/>
              <c:showCatName val="0"/>
              <c:showSerName val="0"/>
              <c:showPercent val="0"/>
              <c:showBubbleSize val="0"/>
            </c:dLbl>
            <c:dLbl>
              <c:idx val="3"/>
              <c:layout>
                <c:manualLayout>
                  <c:x val="0.12157524990227285"/>
                  <c:y val="-8.7160844024931662E-3"/>
                </c:manualLayout>
              </c:layout>
              <c:tx>
                <c:rich>
                  <a:bodyPr/>
                  <a:lstStyle/>
                  <a:p>
                    <a:r>
                      <a:rPr lang="ru-RU" sz="999" b="0"/>
                      <a:t> 3</a:t>
                    </a:r>
                  </a:p>
                  <a:p>
                    <a:r>
                      <a:rPr lang="ru-RU" sz="999" b="0"/>
                      <a:t>3,5 </a:t>
                    </a:r>
                    <a:r>
                      <a:rPr lang="en-US" sz="999" b="0"/>
                      <a:t>%</a:t>
                    </a:r>
                    <a:endParaRPr lang="en-US" b="1"/>
                  </a:p>
                </c:rich>
              </c:tx>
              <c:dLblPos val="bestFit"/>
              <c:showLegendKey val="0"/>
              <c:showVal val="0"/>
              <c:showCatName val="0"/>
              <c:showSerName val="0"/>
              <c:showPercent val="0"/>
              <c:showBubbleSize val="0"/>
            </c:dLbl>
            <c:dLbl>
              <c:idx val="4"/>
              <c:layout>
                <c:manualLayout>
                  <c:x val="5.7035349304741162E-2"/>
                  <c:y val="3.1277701112103241E-2"/>
                </c:manualLayout>
              </c:layout>
              <c:tx>
                <c:rich>
                  <a:bodyPr/>
                  <a:lstStyle/>
                  <a:p>
                    <a:r>
                      <a:rPr lang="ru-RU" sz="999" b="0"/>
                      <a:t>1</a:t>
                    </a:r>
                  </a:p>
                  <a:p>
                    <a:r>
                      <a:rPr lang="ru-RU" sz="999" b="0" i="0"/>
                      <a:t>1,2</a:t>
                    </a:r>
                    <a:r>
                      <a:rPr lang="en-US" sz="999" b="0" i="0"/>
                      <a:t>%</a:t>
                    </a:r>
                    <a:endParaRPr lang="en-US" b="1" i="0"/>
                  </a:p>
                </c:rich>
              </c:tx>
              <c:dLblPos val="bestFit"/>
              <c:showLegendKey val="0"/>
              <c:showVal val="0"/>
              <c:showCatName val="0"/>
              <c:showSerName val="0"/>
              <c:showPercent val="0"/>
              <c:showBubbleSize val="0"/>
            </c:dLbl>
            <c:txPr>
              <a:bodyPr/>
              <a:lstStyle/>
              <a:p>
                <a:pPr>
                  <a:defRPr sz="999" b="0"/>
                </a:pPr>
                <a:endParaRPr lang="ru-RU"/>
              </a:p>
            </c:txPr>
            <c:showLegendKey val="0"/>
            <c:showVal val="0"/>
            <c:showCatName val="0"/>
            <c:showSerName val="0"/>
            <c:showPercent val="1"/>
            <c:showBubbleSize val="0"/>
            <c:showLeaderLines val="1"/>
          </c:dLbls>
          <c:cat>
            <c:strRef>
              <c:f>Лист1!$A$2:$A$5</c:f>
              <c:strCache>
                <c:ptCount val="4"/>
                <c:pt idx="0">
                  <c:v>аналогичны нормативным правовым актам Минфина России</c:v>
                </c:pt>
                <c:pt idx="1">
                  <c:v>отдельные положения аналогичны нормативным правовым актам Минфина России</c:v>
                </c:pt>
                <c:pt idx="2">
                  <c:v>значительно отличаются от нормативных правовых актов Минфина России</c:v>
                </c:pt>
                <c:pt idx="3">
                  <c:v>санкционирование осуществляется ТОФК в соответствии с соглашением
о кассовом обслуживании</c:v>
                </c:pt>
              </c:strCache>
            </c:strRef>
          </c:cat>
          <c:val>
            <c:numRef>
              <c:f>Лист1!$B$2:$B$5</c:f>
              <c:numCache>
                <c:formatCode>General</c:formatCode>
                <c:ptCount val="4"/>
                <c:pt idx="0">
                  <c:v>69</c:v>
                </c:pt>
                <c:pt idx="1">
                  <c:v>3</c:v>
                </c:pt>
                <c:pt idx="2">
                  <c:v>10</c:v>
                </c:pt>
                <c:pt idx="3">
                  <c:v>3</c:v>
                </c:pt>
              </c:numCache>
            </c:numRef>
          </c:val>
        </c:ser>
        <c:dLbls>
          <c:showLegendKey val="0"/>
          <c:showVal val="0"/>
          <c:showCatName val="0"/>
          <c:showSerName val="0"/>
          <c:showPercent val="0"/>
          <c:showBubbleSize val="0"/>
          <c:showLeaderLines val="1"/>
        </c:dLbls>
      </c:pie3DChart>
      <c:spPr>
        <a:noFill/>
        <a:ln w="25383">
          <a:noFill/>
        </a:ln>
      </c:spPr>
    </c:plotArea>
    <c:legend>
      <c:legendPos val="b"/>
      <c:layout>
        <c:manualLayout>
          <c:xMode val="edge"/>
          <c:yMode val="edge"/>
          <c:x val="6.1305808276556099E-4"/>
          <c:y val="0.74299756710530129"/>
          <c:w val="0.98501474377882714"/>
          <c:h val="0.23763487296046756"/>
        </c:manualLayout>
      </c:layout>
      <c:overlay val="0"/>
      <c:txPr>
        <a:bodyPr/>
        <a:lstStyle/>
        <a:p>
          <a:pPr>
            <a:defRPr sz="999" b="0"/>
          </a:pPr>
          <a:endParaRPr lang="ru-RU"/>
        </a:p>
      </c:txPr>
    </c:legend>
    <c:plotVisOnly val="1"/>
    <c:dispBlanksAs val="gap"/>
    <c:showDLblsOverMax val="0"/>
  </c:chart>
  <c:spPr>
    <a:ln>
      <a:noFill/>
    </a:ln>
  </c:spPr>
  <c:txPr>
    <a:bodyPr/>
    <a:lstStyle/>
    <a:p>
      <a:pPr>
        <a:defRPr sz="13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c:f>
              <c:strCache>
                <c:ptCount val="1"/>
                <c:pt idx="0">
                  <c:v>Среднее число контрольных мероприятий в расчете на 1 ревизора (ед.)</c:v>
                </c:pt>
              </c:strCache>
            </c:strRef>
          </c:tx>
          <c:spPr>
            <a:ln w="31750" cap="sq">
              <a:solidFill>
                <a:srgbClr val="CC0066"/>
              </a:solidFill>
              <a:prstDash val="solid"/>
              <a:miter lim="800000"/>
            </a:ln>
          </c:spPr>
          <c:invertIfNegative val="0"/>
          <c:dPt>
            <c:idx val="0"/>
            <c:invertIfNegative val="0"/>
            <c:bubble3D val="0"/>
            <c:spPr>
              <a:solidFill>
                <a:srgbClr val="FFC000">
                  <a:alpha val="50000"/>
                </a:srgbClr>
              </a:solidFill>
              <a:ln w="31750" cap="sq">
                <a:noFill/>
                <a:prstDash val="solid"/>
                <a:miter lim="800000"/>
              </a:ln>
            </c:spPr>
          </c:dPt>
          <c:dPt>
            <c:idx val="1"/>
            <c:invertIfNegative val="0"/>
            <c:bubble3D val="0"/>
            <c:spPr>
              <a:solidFill>
                <a:srgbClr val="FFC000">
                  <a:alpha val="50000"/>
                </a:srgbClr>
              </a:solidFill>
              <a:ln w="31750" cap="sq">
                <a:noFill/>
                <a:prstDash val="solid"/>
                <a:miter lim="800000"/>
              </a:ln>
            </c:spPr>
          </c:dPt>
          <c:dPt>
            <c:idx val="2"/>
            <c:invertIfNegative val="0"/>
            <c:bubble3D val="0"/>
            <c:spPr>
              <a:solidFill>
                <a:srgbClr val="FFC000">
                  <a:alpha val="50000"/>
                </a:srgbClr>
              </a:solidFill>
              <a:ln w="31750" cap="sq">
                <a:noFill/>
                <a:prstDash val="solid"/>
                <a:miter lim="800000"/>
              </a:ln>
            </c:spPr>
          </c:dPt>
          <c:dPt>
            <c:idx val="3"/>
            <c:invertIfNegative val="0"/>
            <c:bubble3D val="0"/>
            <c:spPr>
              <a:solidFill>
                <a:srgbClr val="FFC000">
                  <a:alpha val="50000"/>
                </a:srgbClr>
              </a:solidFill>
              <a:ln w="31750" cap="sq">
                <a:noFill/>
                <a:prstDash val="solid"/>
                <a:miter lim="800000"/>
              </a:ln>
            </c:spPr>
          </c:dPt>
          <c:dPt>
            <c:idx val="4"/>
            <c:invertIfNegative val="0"/>
            <c:bubble3D val="0"/>
            <c:spPr>
              <a:solidFill>
                <a:srgbClr val="FFC000">
                  <a:alpha val="50000"/>
                </a:srgbClr>
              </a:solidFill>
              <a:ln w="31750" cap="sq">
                <a:noFill/>
                <a:prstDash val="solid"/>
                <a:miter lim="800000"/>
              </a:ln>
            </c:spPr>
          </c:dPt>
          <c:dLbls>
            <c:dLbl>
              <c:idx val="4"/>
              <c:layout>
                <c:manualLayout>
                  <c:x val="1.7105793715933244E-2"/>
                  <c:y val="0"/>
                </c:manualLayout>
              </c:layout>
              <c:showLegendKey val="0"/>
              <c:showVal val="1"/>
              <c:showCatName val="0"/>
              <c:showSerName val="0"/>
              <c:showPercent val="0"/>
              <c:showBubbleSize val="0"/>
            </c:dLbl>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Лист1!$A$2:$A$6</c:f>
              <c:strCache>
                <c:ptCount val="5"/>
                <c:pt idx="0">
                  <c:v>Среднее число контрольных мероприятий в расчете на 1 ревизора (ед.)</c:v>
                </c:pt>
                <c:pt idx="1">
                  <c:v>Объем проверенных средств в расчете на 1 ревизора (млрд руб.)</c:v>
                </c:pt>
                <c:pt idx="2">
                  <c:v>Объем проверенных средств федерального бюджета в расчете на 1 ревизора (млрд руб.)</c:v>
                </c:pt>
                <c:pt idx="3">
                  <c:v>Объем выявленных нарушений в расчете на 1 ревизора (млрд руб.)</c:v>
                </c:pt>
                <c:pt idx="4">
                  <c:v>Среднее количество процессуальных документов на 1 ревизора (ед.)</c:v>
                </c:pt>
              </c:strCache>
            </c:strRef>
          </c:cat>
          <c:val>
            <c:numRef>
              <c:f>Лист1!$B$2:$B$6</c:f>
              <c:numCache>
                <c:formatCode>0.0</c:formatCode>
                <c:ptCount val="5"/>
                <c:pt idx="0">
                  <c:v>5.0019999999999998</c:v>
                </c:pt>
                <c:pt idx="1">
                  <c:v>4.8760000000000003</c:v>
                </c:pt>
                <c:pt idx="2">
                  <c:v>4.697999999999996</c:v>
                </c:pt>
                <c:pt idx="3">
                  <c:v>1.238</c:v>
                </c:pt>
                <c:pt idx="4">
                  <c:v>3.7130000000000001</c:v>
                </c:pt>
              </c:numCache>
            </c:numRef>
          </c:val>
        </c:ser>
        <c:ser>
          <c:idx val="4"/>
          <c:order val="1"/>
          <c:tx>
            <c:strRef>
              <c:f>Лист1!$A$6</c:f>
              <c:strCache>
                <c:ptCount val="1"/>
                <c:pt idx="0">
                  <c:v>Среднее количество процессуальных документов на 1 ревизора (ед.)</c:v>
                </c:pt>
              </c:strCache>
            </c:strRef>
          </c:tx>
          <c:spPr>
            <a:solidFill>
              <a:schemeClr val="accent3">
                <a:lumMod val="60000"/>
                <a:lumOff val="40000"/>
              </a:schemeClr>
            </a:solidFill>
            <a:ln>
              <a:noFill/>
            </a:ln>
          </c:spPr>
          <c:invertIfNegative val="0"/>
          <c:dLbls>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Лист1!$A$2:$A$6</c:f>
              <c:strCache>
                <c:ptCount val="5"/>
                <c:pt idx="0">
                  <c:v>Среднее число контрольных мероприятий в расчете на 1 ревизора (ед.)</c:v>
                </c:pt>
                <c:pt idx="1">
                  <c:v>Объем проверенных средств в расчете на 1 ревизора (млрд руб.)</c:v>
                </c:pt>
                <c:pt idx="2">
                  <c:v>Объем проверенных средств федерального бюджета в расчете на 1 ревизора (млрд руб.)</c:v>
                </c:pt>
                <c:pt idx="3">
                  <c:v>Объем выявленных нарушений в расчете на 1 ревизора (млрд руб.)</c:v>
                </c:pt>
                <c:pt idx="4">
                  <c:v>Среднее количество процессуальных документов на 1 ревизора (ед.)</c:v>
                </c:pt>
              </c:strCache>
            </c:strRef>
          </c:cat>
          <c:val>
            <c:numRef>
              <c:f>Лист1!$C$2:$C$6</c:f>
              <c:numCache>
                <c:formatCode>General</c:formatCode>
                <c:ptCount val="5"/>
                <c:pt idx="0">
                  <c:v>2.8</c:v>
                </c:pt>
                <c:pt idx="1">
                  <c:v>2.8</c:v>
                </c:pt>
                <c:pt idx="2">
                  <c:v>1.9000000000000001</c:v>
                </c:pt>
                <c:pt idx="3">
                  <c:v>0.4</c:v>
                </c:pt>
                <c:pt idx="4">
                  <c:v>1.7</c:v>
                </c:pt>
              </c:numCache>
            </c:numRef>
          </c:val>
        </c:ser>
        <c:dLbls>
          <c:showLegendKey val="0"/>
          <c:showVal val="1"/>
          <c:showCatName val="0"/>
          <c:showSerName val="0"/>
          <c:showPercent val="0"/>
          <c:showBubbleSize val="0"/>
        </c:dLbls>
        <c:gapWidth val="150"/>
        <c:overlap val="-25"/>
        <c:axId val="38742272"/>
        <c:axId val="38748160"/>
      </c:barChart>
      <c:catAx>
        <c:axId val="38742272"/>
        <c:scaling>
          <c:orientation val="minMax"/>
        </c:scaling>
        <c:delete val="0"/>
        <c:axPos val="b"/>
        <c:numFmt formatCode="General" sourceLinked="1"/>
        <c:majorTickMark val="none"/>
        <c:minorTickMark val="none"/>
        <c:tickLblPos val="nextTo"/>
        <c:spPr>
          <a:ln>
            <a:solidFill>
              <a:prstClr val="black"/>
            </a:solidFill>
          </a:ln>
        </c:spPr>
        <c:txPr>
          <a:bodyPr/>
          <a:lstStyle/>
          <a:p>
            <a:pPr>
              <a:defRPr sz="900" b="0">
                <a:latin typeface="Times New Roman" pitchFamily="18" charset="0"/>
                <a:cs typeface="Times New Roman" pitchFamily="18" charset="0"/>
              </a:defRPr>
            </a:pPr>
            <a:endParaRPr lang="ru-RU"/>
          </a:p>
        </c:txPr>
        <c:crossAx val="38748160"/>
        <c:crosses val="autoZero"/>
        <c:auto val="1"/>
        <c:lblAlgn val="l"/>
        <c:lblOffset val="100"/>
        <c:noMultiLvlLbl val="0"/>
      </c:catAx>
      <c:valAx>
        <c:axId val="38748160"/>
        <c:scaling>
          <c:orientation val="minMax"/>
          <c:max val="5.5"/>
          <c:min val="0"/>
        </c:scaling>
        <c:delete val="0"/>
        <c:axPos val="l"/>
        <c:numFmt formatCode="0.0" sourceLinked="1"/>
        <c:majorTickMark val="out"/>
        <c:minorTickMark val="none"/>
        <c:tickLblPos val="nextTo"/>
        <c:txPr>
          <a:bodyPr/>
          <a:lstStyle/>
          <a:p>
            <a:pPr>
              <a:defRPr sz="1100" b="0">
                <a:latin typeface="Times New Roman" pitchFamily="18" charset="0"/>
                <a:cs typeface="Times New Roman" pitchFamily="18" charset="0"/>
              </a:defRPr>
            </a:pPr>
            <a:endParaRPr lang="ru-RU"/>
          </a:p>
        </c:txPr>
        <c:crossAx val="38742272"/>
        <c:crosses val="autoZero"/>
        <c:crossBetween val="between"/>
        <c:majorUnit val="0.5"/>
      </c:valAx>
      <c:spPr>
        <a:noFill/>
        <a:ln>
          <a:noFill/>
        </a:ln>
      </c:spPr>
    </c:plotArea>
    <c:plotVisOnly val="1"/>
    <c:dispBlanksAs val="zero"/>
    <c:showDLblsOverMax val="0"/>
  </c:chart>
  <c:spPr>
    <a:noFill/>
    <a:ln>
      <a:noFill/>
    </a:ln>
  </c:spPr>
  <c:txPr>
    <a:bodyPr/>
    <a:lstStyle/>
    <a:p>
      <a:pPr>
        <a:defRPr sz="1800"/>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1147008516053411E-2"/>
          <c:y val="1.7788952355818906E-2"/>
          <c:w val="0.8899883280845382"/>
          <c:h val="0.75845881006471749"/>
        </c:manualLayout>
      </c:layout>
      <c:pie3DChart>
        <c:varyColors val="1"/>
        <c:ser>
          <c:idx val="0"/>
          <c:order val="0"/>
          <c:tx>
            <c:strRef>
              <c:f>Лист1!$B$1</c:f>
              <c:strCache>
                <c:ptCount val="1"/>
                <c:pt idx="0">
                  <c:v>Продажи</c:v>
                </c:pt>
              </c:strCache>
            </c:strRef>
          </c:tx>
          <c:spPr>
            <a:effectLst>
              <a:outerShdw blurRad="139700" dist="584200" dir="7080000" sx="84000" sy="84000" algn="ctr" rotWithShape="0">
                <a:srgbClr val="000000">
                  <a:alpha val="36000"/>
                </a:srgbClr>
              </a:outerShdw>
            </a:effectLst>
            <a:scene3d>
              <a:camera prst="orthographicFront"/>
              <a:lightRig rig="threePt" dir="t"/>
            </a:scene3d>
            <a:sp3d>
              <a:bevelT/>
            </a:sp3d>
          </c:spPr>
          <c:dPt>
            <c:idx val="0"/>
            <c:bubble3D val="0"/>
          </c:dPt>
          <c:dPt>
            <c:idx val="1"/>
            <c:bubble3D val="0"/>
          </c:dPt>
          <c:dLbls>
            <c:dLbl>
              <c:idx val="0"/>
              <c:layout>
                <c:manualLayout>
                  <c:x val="-0.25179078320539094"/>
                  <c:y val="-0.16992800899887514"/>
                </c:manualLayout>
              </c:layout>
              <c:dLblPos val="bestFit"/>
              <c:showLegendKey val="0"/>
              <c:showVal val="1"/>
              <c:showCatName val="0"/>
              <c:showSerName val="0"/>
              <c:showPercent val="0"/>
              <c:showBubbleSize val="0"/>
            </c:dLbl>
            <c:dLbl>
              <c:idx val="1"/>
              <c:layout>
                <c:manualLayout>
                  <c:x val="0.19018800549617818"/>
                  <c:y val="6.7968503937007874E-2"/>
                </c:manualLayout>
              </c:layout>
              <c:dLblPos val="bestFit"/>
              <c:showLegendKey val="0"/>
              <c:showVal val="1"/>
              <c:showCatName val="0"/>
              <c:showSerName val="0"/>
              <c:showPercent val="0"/>
              <c:showBubbleSize val="0"/>
            </c:dLbl>
            <c:txPr>
              <a:bodyPr/>
              <a:lstStyle/>
              <a:p>
                <a:pPr>
                  <a:defRPr sz="1200" b="0" i="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Лист1!$A$2:$A$3</c:f>
              <c:strCache>
                <c:ptCount val="2"/>
                <c:pt idx="0">
                  <c:v>сумма наложенных, но не оплаченных штрафов (рублей)</c:v>
                </c:pt>
                <c:pt idx="1">
                  <c:v>сумма наложенных и оплаченных штрафов (рублей)</c:v>
                </c:pt>
              </c:strCache>
            </c:strRef>
          </c:cat>
          <c:val>
            <c:numRef>
              <c:f>Лист1!$B$2:$B$3</c:f>
              <c:numCache>
                <c:formatCode>#,##0.00</c:formatCode>
                <c:ptCount val="2"/>
                <c:pt idx="0">
                  <c:v>80000</c:v>
                </c:pt>
                <c:pt idx="1">
                  <c:v>50000</c:v>
                </c:pt>
              </c:numCache>
            </c:numRef>
          </c:val>
        </c:ser>
        <c:dLbls>
          <c:showLegendKey val="0"/>
          <c:showVal val="0"/>
          <c:showCatName val="0"/>
          <c:showSerName val="0"/>
          <c:showPercent val="0"/>
          <c:showBubbleSize val="0"/>
          <c:showLeaderLines val="1"/>
        </c:dLbls>
      </c:pie3DChart>
      <c:spPr>
        <a:noFill/>
        <a:ln w="25399">
          <a:noFill/>
        </a:ln>
      </c:spPr>
    </c:plotArea>
    <c:legend>
      <c:legendPos val="r"/>
      <c:legendEntry>
        <c:idx val="0"/>
        <c:txPr>
          <a:bodyPr/>
          <a:lstStyle/>
          <a:p>
            <a:pPr>
              <a:defRPr sz="1100" b="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b="0" baseline="0">
                <a:latin typeface="Times New Roman" panose="02020603050405020304" pitchFamily="18" charset="0"/>
                <a:cs typeface="Times New Roman" panose="02020603050405020304" pitchFamily="18" charset="0"/>
              </a:defRPr>
            </a:pPr>
            <a:endParaRPr lang="ru-RU"/>
          </a:p>
        </c:txPr>
      </c:legendEntry>
      <c:layout>
        <c:manualLayout>
          <c:xMode val="edge"/>
          <c:yMode val="edge"/>
          <c:x val="7.1852854330708663E-2"/>
          <c:y val="0.7327571793667349"/>
          <c:w val="0.84037407945366049"/>
          <c:h val="0.26614102050802968"/>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49" i="0">
                <a:latin typeface="Times New Roman" panose="02020603050405020304" pitchFamily="18" charset="0"/>
                <a:cs typeface="Times New Roman" panose="02020603050405020304" pitchFamily="18" charset="0"/>
              </a:defRPr>
            </a:pPr>
            <a:r>
              <a:rPr lang="ru-RU" sz="1200" i="0">
                <a:latin typeface="Times New Roman" panose="02020603050405020304" pitchFamily="18" charset="0"/>
                <a:cs typeface="Times New Roman" panose="02020603050405020304" pitchFamily="18" charset="0"/>
              </a:rPr>
              <a:t>Общее количество рассмотренных протоколов</a:t>
            </a:r>
          </a:p>
        </c:rich>
      </c:tx>
      <c:layout>
        <c:manualLayout>
          <c:xMode val="edge"/>
          <c:yMode val="edge"/>
          <c:x val="0.21978781599668462"/>
          <c:y val="3.1277633919921085E-3"/>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7.177735358837721E-2"/>
          <c:y val="5.1939503279434834E-2"/>
          <c:w val="0.73442100020135437"/>
          <c:h val="0.86743969503812024"/>
        </c:manualLayout>
      </c:layout>
      <c:bar3DChart>
        <c:barDir val="col"/>
        <c:grouping val="stacked"/>
        <c:varyColors val="0"/>
        <c:ser>
          <c:idx val="0"/>
          <c:order val="0"/>
          <c:tx>
            <c:strRef>
              <c:f>Лист1!$B$1</c:f>
              <c:strCache>
                <c:ptCount val="1"/>
                <c:pt idx="0">
                  <c:v>Общее количество рассмотренных протоколов</c:v>
                </c:pt>
              </c:strCache>
            </c:strRef>
          </c:tx>
          <c:invertIfNegative val="0"/>
          <c:cat>
            <c:strRef>
              <c:f>Лист1!$A$2:$A$6</c:f>
              <c:strCache>
                <c:ptCount val="5"/>
                <c:pt idx="0">
                  <c:v>15.15.3</c:v>
                </c:pt>
                <c:pt idx="1">
                  <c:v>15.15.6</c:v>
                </c:pt>
                <c:pt idx="2">
                  <c:v>15.15.7</c:v>
                </c:pt>
                <c:pt idx="3">
                  <c:v>15.15.10</c:v>
                </c:pt>
                <c:pt idx="4">
                  <c:v>15.15.11</c:v>
                </c:pt>
              </c:strCache>
            </c:strRef>
          </c:cat>
          <c:val>
            <c:numRef>
              <c:f>Лист1!$B$2:$B$6</c:f>
              <c:numCache>
                <c:formatCode>General</c:formatCode>
                <c:ptCount val="5"/>
                <c:pt idx="0">
                  <c:v>2</c:v>
                </c:pt>
                <c:pt idx="1">
                  <c:v>2</c:v>
                </c:pt>
                <c:pt idx="2">
                  <c:v>6</c:v>
                </c:pt>
                <c:pt idx="3">
                  <c:v>11</c:v>
                </c:pt>
                <c:pt idx="4">
                  <c:v>1</c:v>
                </c:pt>
              </c:numCache>
            </c:numRef>
          </c:val>
        </c:ser>
        <c:dLbls>
          <c:showLegendKey val="0"/>
          <c:showVal val="0"/>
          <c:showCatName val="0"/>
          <c:showSerName val="0"/>
          <c:showPercent val="0"/>
          <c:showBubbleSize val="0"/>
        </c:dLbls>
        <c:gapWidth val="150"/>
        <c:shape val="box"/>
        <c:axId val="39586432"/>
        <c:axId val="39588224"/>
        <c:axId val="0"/>
      </c:bar3DChart>
      <c:catAx>
        <c:axId val="39586432"/>
        <c:scaling>
          <c:orientation val="minMax"/>
        </c:scaling>
        <c:delete val="0"/>
        <c:axPos val="b"/>
        <c:numFmt formatCode="General" sourceLinked="1"/>
        <c:majorTickMark val="out"/>
        <c:minorTickMark val="none"/>
        <c:tickLblPos val="nextTo"/>
        <c:txPr>
          <a:bodyPr/>
          <a:lstStyle/>
          <a:p>
            <a:pPr>
              <a:defRPr sz="899" b="1" i="0">
                <a:latin typeface="Times New Roman" panose="02020603050405020304" pitchFamily="18" charset="0"/>
                <a:cs typeface="Times New Roman" panose="02020603050405020304" pitchFamily="18" charset="0"/>
              </a:defRPr>
            </a:pPr>
            <a:endParaRPr lang="ru-RU"/>
          </a:p>
        </c:txPr>
        <c:crossAx val="39588224"/>
        <c:crosses val="autoZero"/>
        <c:auto val="1"/>
        <c:lblAlgn val="ctr"/>
        <c:lblOffset val="100"/>
        <c:noMultiLvlLbl val="0"/>
      </c:catAx>
      <c:valAx>
        <c:axId val="39588224"/>
        <c:scaling>
          <c:orientation val="minMax"/>
        </c:scaling>
        <c:delete val="0"/>
        <c:axPos val="l"/>
        <c:majorGridlines/>
        <c:numFmt formatCode="General" sourceLinked="1"/>
        <c:majorTickMark val="out"/>
        <c:minorTickMark val="none"/>
        <c:tickLblPos val="nextTo"/>
        <c:crossAx val="39586432"/>
        <c:crosses val="autoZero"/>
        <c:crossBetween val="between"/>
      </c:valAx>
      <c:spPr>
        <a:noFill/>
        <a:ln w="25383">
          <a:noFill/>
        </a:ln>
      </c:spPr>
    </c:plotArea>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3205464595577946E-2"/>
          <c:y val="3.5032030582585083E-2"/>
          <c:w val="0.9692046457566833"/>
          <c:h val="0.64926099049561414"/>
        </c:manualLayout>
      </c:layout>
      <c:barChart>
        <c:barDir val="col"/>
        <c:grouping val="clustered"/>
        <c:varyColors val="0"/>
        <c:ser>
          <c:idx val="0"/>
          <c:order val="0"/>
          <c:tx>
            <c:strRef>
              <c:f>Лист1!$B$1</c:f>
              <c:strCache>
                <c:ptCount val="1"/>
                <c:pt idx="0">
                  <c:v>количество аудиторских организаций, исключенных из плана</c:v>
                </c:pt>
              </c:strCache>
            </c:strRef>
          </c:tx>
          <c:spPr>
            <a:solidFill>
              <a:schemeClr val="accent6"/>
            </a:solidFill>
            <a:ln>
              <a:solidFill>
                <a:schemeClr val="bg1">
                  <a:lumMod val="65000"/>
                </a:schemeClr>
              </a:solidFill>
            </a:ln>
          </c:spPr>
          <c:invertIfNegative val="0"/>
          <c:dLbls>
            <c:dLbl>
              <c:idx val="0"/>
              <c:tx>
                <c:rich>
                  <a:bodyPr/>
                  <a:lstStyle/>
                  <a:p>
                    <a:pPr>
                      <a:defRPr sz="850" b="1">
                        <a:solidFill>
                          <a:sysClr val="windowText" lastClr="000000"/>
                        </a:solidFill>
                        <a:latin typeface="Times New Roman" panose="02020603050405020304" pitchFamily="18" charset="0"/>
                        <a:cs typeface="Times New Roman" panose="02020603050405020304" pitchFamily="18" charset="0"/>
                      </a:defRPr>
                    </a:pPr>
                    <a:r>
                      <a:rPr lang="en-US" sz="850">
                        <a:latin typeface="Times New Roman" panose="02020603050405020304" pitchFamily="18" charset="0"/>
                        <a:cs typeface="Times New Roman" panose="02020603050405020304" pitchFamily="18" charset="0"/>
                      </a:rPr>
                      <a:t>8</a:t>
                    </a:r>
                    <a:r>
                      <a:rPr lang="ru-RU" sz="850">
                        <a:latin typeface="Times New Roman" panose="02020603050405020304" pitchFamily="18" charset="0"/>
                        <a:cs typeface="Times New Roman" panose="02020603050405020304" pitchFamily="18" charset="0"/>
                      </a:rPr>
                      <a:t> (6,5 %)</a:t>
                    </a:r>
                    <a:endParaRPr lang="en-US" sz="1200"/>
                  </a:p>
                </c:rich>
              </c:tx>
              <c:spPr/>
              <c:dLblPos val="ctr"/>
              <c:showLegendKey val="0"/>
              <c:showVal val="1"/>
              <c:showCatName val="0"/>
              <c:showSerName val="0"/>
              <c:showPercent val="0"/>
              <c:showBubbleSize val="0"/>
            </c:dLbl>
            <c:dLbl>
              <c:idx val="1"/>
              <c:tx>
                <c:rich>
                  <a:bodyPr/>
                  <a:lstStyle/>
                  <a:p>
                    <a:pPr>
                      <a:defRPr sz="850" b="1">
                        <a:solidFill>
                          <a:sysClr val="windowText" lastClr="000000"/>
                        </a:solidFill>
                        <a:latin typeface="Times New Roman" panose="02020603050405020304" pitchFamily="18" charset="0"/>
                        <a:cs typeface="Times New Roman" panose="02020603050405020304" pitchFamily="18" charset="0"/>
                      </a:defRPr>
                    </a:pPr>
                    <a:r>
                      <a:rPr lang="en-US" sz="850">
                        <a:latin typeface="Times New Roman" panose="02020603050405020304" pitchFamily="18" charset="0"/>
                        <a:cs typeface="Times New Roman" panose="02020603050405020304" pitchFamily="18" charset="0"/>
                      </a:rPr>
                      <a:t>9</a:t>
                    </a:r>
                    <a:r>
                      <a:rPr lang="ru-RU" sz="850">
                        <a:latin typeface="Times New Roman" panose="02020603050405020304" pitchFamily="18" charset="0"/>
                        <a:cs typeface="Times New Roman" panose="02020603050405020304" pitchFamily="18" charset="0"/>
                      </a:rPr>
                      <a:t> (3,5 %)</a:t>
                    </a:r>
                    <a:endParaRPr lang="en-US" sz="1200"/>
                  </a:p>
                </c:rich>
              </c:tx>
              <c:spPr/>
              <c:dLblPos val="ctr"/>
              <c:showLegendKey val="0"/>
              <c:showVal val="1"/>
              <c:showCatName val="0"/>
              <c:showSerName val="0"/>
              <c:showPercent val="0"/>
              <c:showBubbleSize val="0"/>
            </c:dLbl>
            <c:dLbl>
              <c:idx val="2"/>
              <c:layout>
                <c:manualLayout>
                  <c:x val="-6.6640419947506559E-3"/>
                  <c:y val="1.3072512947706595E-2"/>
                </c:manualLayout>
              </c:layout>
              <c:tx>
                <c:rich>
                  <a:bodyPr/>
                  <a:lstStyle/>
                  <a:p>
                    <a:pPr>
                      <a:defRPr sz="850" b="1">
                        <a:solidFill>
                          <a:sysClr val="windowText" lastClr="000000"/>
                        </a:solidFill>
                        <a:latin typeface="Times New Roman" panose="02020603050405020304" pitchFamily="18" charset="0"/>
                        <a:cs typeface="Times New Roman" panose="02020603050405020304" pitchFamily="18" charset="0"/>
                      </a:defRPr>
                    </a:pPr>
                    <a:r>
                      <a:rPr lang="en-US" sz="850">
                        <a:latin typeface="Times New Roman" panose="02020603050405020304" pitchFamily="18" charset="0"/>
                        <a:cs typeface="Times New Roman" panose="02020603050405020304" pitchFamily="18" charset="0"/>
                      </a:rPr>
                      <a:t>33</a:t>
                    </a:r>
                    <a:r>
                      <a:rPr lang="ru-RU" sz="850">
                        <a:latin typeface="Times New Roman" panose="02020603050405020304" pitchFamily="18" charset="0"/>
                        <a:cs typeface="Times New Roman" panose="02020603050405020304" pitchFamily="18" charset="0"/>
                      </a:rPr>
                      <a:t> (10,3 %)</a:t>
                    </a:r>
                    <a:endParaRPr lang="en-US" sz="1200"/>
                  </a:p>
                </c:rich>
              </c:tx>
              <c:spPr/>
              <c:dLblPos val="outEnd"/>
              <c:showLegendKey val="0"/>
              <c:showVal val="1"/>
              <c:showCatName val="0"/>
              <c:showSerName val="0"/>
              <c:showPercent val="0"/>
              <c:showBubbleSize val="0"/>
            </c:dLbl>
            <c:dLbl>
              <c:idx val="3"/>
              <c:layout>
                <c:manualLayout>
                  <c:x val="8.1480540211327956E-17"/>
                  <c:y val="9.5057028426284856E-3"/>
                </c:manualLayout>
              </c:layout>
              <c:tx>
                <c:rich>
                  <a:bodyPr/>
                  <a:lstStyle/>
                  <a:p>
                    <a:pPr>
                      <a:defRPr sz="850" b="1">
                        <a:solidFill>
                          <a:sysClr val="windowText" lastClr="000000"/>
                        </a:solidFill>
                        <a:latin typeface="Times New Roman" panose="02020603050405020304" pitchFamily="18" charset="0"/>
                        <a:cs typeface="Times New Roman" panose="02020603050405020304" pitchFamily="18" charset="0"/>
                      </a:defRPr>
                    </a:pPr>
                    <a:r>
                      <a:rPr lang="en-US" sz="850">
                        <a:latin typeface="Times New Roman" panose="02020603050405020304" pitchFamily="18" charset="0"/>
                        <a:cs typeface="Times New Roman" panose="02020603050405020304" pitchFamily="18" charset="0"/>
                      </a:rPr>
                      <a:t>31</a:t>
                    </a:r>
                    <a:r>
                      <a:rPr lang="ru-RU" sz="850">
                        <a:latin typeface="Times New Roman" panose="02020603050405020304" pitchFamily="18" charset="0"/>
                        <a:cs typeface="Times New Roman" panose="02020603050405020304" pitchFamily="18" charset="0"/>
                      </a:rPr>
                      <a:t> (12,0 %)</a:t>
                    </a:r>
                    <a:endParaRPr lang="en-US" sz="1200"/>
                  </a:p>
                </c:rich>
              </c:tx>
              <c:spPr/>
              <c:dLblPos val="outEnd"/>
              <c:showLegendKey val="0"/>
              <c:showVal val="1"/>
              <c:showCatName val="0"/>
              <c:showSerName val="0"/>
              <c:showPercent val="0"/>
              <c:showBubbleSize val="0"/>
            </c:dLbl>
            <c:dLbl>
              <c:idx val="4"/>
              <c:layout>
                <c:manualLayout>
                  <c:x val="-2.4496937882764656E-6"/>
                  <c:y val="1.8051661600758044E-2"/>
                </c:manualLayout>
              </c:layout>
              <c:tx>
                <c:rich>
                  <a:bodyPr/>
                  <a:lstStyle/>
                  <a:p>
                    <a:pPr>
                      <a:defRPr sz="850" b="1">
                        <a:solidFill>
                          <a:sysClr val="windowText" lastClr="000000"/>
                        </a:solidFill>
                        <a:latin typeface="Times New Roman" panose="02020603050405020304" pitchFamily="18" charset="0"/>
                        <a:cs typeface="Times New Roman" panose="02020603050405020304" pitchFamily="18" charset="0"/>
                      </a:defRPr>
                    </a:pPr>
                    <a:r>
                      <a:rPr lang="en-US" sz="850">
                        <a:latin typeface="Times New Roman" panose="02020603050405020304" pitchFamily="18" charset="0"/>
                        <a:cs typeface="Times New Roman" panose="02020603050405020304" pitchFamily="18" charset="0"/>
                      </a:rPr>
                      <a:t>37</a:t>
                    </a:r>
                    <a:r>
                      <a:rPr lang="ru-RU" sz="850">
                        <a:latin typeface="Times New Roman" panose="02020603050405020304" pitchFamily="18" charset="0"/>
                        <a:cs typeface="Times New Roman" panose="02020603050405020304" pitchFamily="18" charset="0"/>
                      </a:rPr>
                      <a:t> (14,2 %)</a:t>
                    </a:r>
                    <a:endParaRPr lang="en-US" sz="1200"/>
                  </a:p>
                </c:rich>
              </c:tx>
              <c:spPr/>
              <c:dLblPos val="outEnd"/>
              <c:showLegendKey val="0"/>
              <c:showVal val="1"/>
              <c:showCatName val="0"/>
              <c:showSerName val="0"/>
              <c:showPercent val="0"/>
              <c:showBubbleSize val="0"/>
            </c:dLbl>
            <c:txPr>
              <a:bodyPr/>
              <a:lstStyle/>
              <a:p>
                <a:pPr>
                  <a:defRPr sz="850" b="1">
                    <a:solidFill>
                      <a:schemeClr val="bg1"/>
                    </a:solidFill>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dLbls>
          <c:cat>
            <c:strRef>
              <c:f>Лист1!$A$2:$A$6</c:f>
              <c:strCache>
                <c:ptCount val="5"/>
                <c:pt idx="0">
                  <c:v>2012 год</c:v>
                </c:pt>
                <c:pt idx="1">
                  <c:v>2013 год</c:v>
                </c:pt>
                <c:pt idx="2">
                  <c:v>2014 год</c:v>
                </c:pt>
                <c:pt idx="3">
                  <c:v>2015 год</c:v>
                </c:pt>
                <c:pt idx="4">
                  <c:v>2016 год</c:v>
                </c:pt>
              </c:strCache>
            </c:strRef>
          </c:cat>
          <c:val>
            <c:numRef>
              <c:f>Лист1!$B$2:$B$6</c:f>
              <c:numCache>
                <c:formatCode>General</c:formatCode>
                <c:ptCount val="5"/>
                <c:pt idx="0">
                  <c:v>8</c:v>
                </c:pt>
                <c:pt idx="1">
                  <c:v>9</c:v>
                </c:pt>
                <c:pt idx="2">
                  <c:v>33</c:v>
                </c:pt>
                <c:pt idx="3">
                  <c:v>31</c:v>
                </c:pt>
                <c:pt idx="4">
                  <c:v>37</c:v>
                </c:pt>
              </c:numCache>
            </c:numRef>
          </c:val>
        </c:ser>
        <c:ser>
          <c:idx val="1"/>
          <c:order val="1"/>
          <c:tx>
            <c:strRef>
              <c:f>Лист1!$C$1</c:f>
              <c:strCache>
                <c:ptCount val="1"/>
                <c:pt idx="0">
                  <c:v>количество запланированных проверок аудиторских организаций</c:v>
                </c:pt>
              </c:strCache>
            </c:strRef>
          </c:tx>
          <c:spPr>
            <a:solidFill>
              <a:schemeClr val="accent5"/>
            </a:solidFill>
            <a:ln>
              <a:solidFill>
                <a:schemeClr val="bg1">
                  <a:lumMod val="65000"/>
                </a:schemeClr>
              </a:solidFill>
            </a:ln>
          </c:spPr>
          <c:invertIfNegative val="0"/>
          <c:dLbls>
            <c:dLbl>
              <c:idx val="0"/>
              <c:dLblPos val="ctr"/>
              <c:showLegendKey val="0"/>
              <c:showVal val="1"/>
              <c:showCatName val="0"/>
              <c:showSerName val="0"/>
              <c:showPercent val="0"/>
              <c:showBubbleSize val="0"/>
            </c:dLbl>
            <c:dLbl>
              <c:idx val="1"/>
              <c:dLblPos val="ctr"/>
              <c:showLegendKey val="0"/>
              <c:showVal val="1"/>
              <c:showCatName val="0"/>
              <c:showSerName val="0"/>
              <c:showPercent val="0"/>
              <c:showBubbleSize val="0"/>
            </c:dLbl>
            <c:dLbl>
              <c:idx val="2"/>
              <c:dLblPos val="ctr"/>
              <c:showLegendKey val="0"/>
              <c:showVal val="1"/>
              <c:showCatName val="0"/>
              <c:showSerName val="0"/>
              <c:showPercent val="0"/>
              <c:showBubbleSize val="0"/>
            </c:dLbl>
            <c:dLbl>
              <c:idx val="3"/>
              <c:dLblPos val="ctr"/>
              <c:showLegendKey val="0"/>
              <c:showVal val="1"/>
              <c:showCatName val="0"/>
              <c:showSerName val="0"/>
              <c:showPercent val="0"/>
              <c:showBubbleSize val="0"/>
            </c:dLbl>
            <c:dLbl>
              <c:idx val="4"/>
              <c:dLblPos val="ctr"/>
              <c:showLegendKey val="0"/>
              <c:showVal val="1"/>
              <c:showCatName val="0"/>
              <c:showSerName val="0"/>
              <c:showPercent val="0"/>
              <c:showBubbleSize val="0"/>
            </c:dLbl>
            <c:txPr>
              <a:bodyPr/>
              <a:lstStyle/>
              <a:p>
                <a:pPr>
                  <a:defRPr sz="1000" b="1">
                    <a:solidFill>
                      <a:schemeClr val="bg1"/>
                    </a:solidFill>
                    <a:latin typeface="Times New Roman" panose="02020603050405020304" pitchFamily="18" charset="0"/>
                    <a:cs typeface="Times New Roman" panose="02020603050405020304" pitchFamily="18" charset="0"/>
                  </a:defRPr>
                </a:pPr>
                <a:endParaRPr lang="ru-RU"/>
              </a:p>
            </c:txPr>
            <c:dLblPos val="ctr"/>
            <c:showLegendKey val="0"/>
            <c:showVal val="0"/>
            <c:showCatName val="0"/>
            <c:showSerName val="0"/>
            <c:showPercent val="0"/>
            <c:showBubbleSize val="0"/>
          </c:dLbls>
          <c:cat>
            <c:strRef>
              <c:f>Лист1!$A$2:$A$6</c:f>
              <c:strCache>
                <c:ptCount val="5"/>
                <c:pt idx="0">
                  <c:v>2012 год</c:v>
                </c:pt>
                <c:pt idx="1">
                  <c:v>2013 год</c:v>
                </c:pt>
                <c:pt idx="2">
                  <c:v>2014 год</c:v>
                </c:pt>
                <c:pt idx="3">
                  <c:v>2015 год</c:v>
                </c:pt>
                <c:pt idx="4">
                  <c:v>2016 год</c:v>
                </c:pt>
              </c:strCache>
            </c:strRef>
          </c:cat>
          <c:val>
            <c:numRef>
              <c:f>Лист1!$C$2:$C$6</c:f>
              <c:numCache>
                <c:formatCode>General</c:formatCode>
                <c:ptCount val="5"/>
                <c:pt idx="0">
                  <c:v>123</c:v>
                </c:pt>
                <c:pt idx="1">
                  <c:v>305</c:v>
                </c:pt>
                <c:pt idx="2">
                  <c:v>320</c:v>
                </c:pt>
                <c:pt idx="3">
                  <c:v>258</c:v>
                </c:pt>
                <c:pt idx="4">
                  <c:v>260</c:v>
                </c:pt>
              </c:numCache>
            </c:numRef>
          </c:val>
        </c:ser>
        <c:dLbls>
          <c:showLegendKey val="0"/>
          <c:showVal val="0"/>
          <c:showCatName val="0"/>
          <c:showSerName val="0"/>
          <c:showPercent val="0"/>
          <c:showBubbleSize val="0"/>
        </c:dLbls>
        <c:gapWidth val="50"/>
        <c:overlap val="-29"/>
        <c:axId val="39645184"/>
        <c:axId val="39646720"/>
      </c:barChart>
      <c:catAx>
        <c:axId val="39645184"/>
        <c:scaling>
          <c:orientation val="minMax"/>
        </c:scaling>
        <c:delete val="0"/>
        <c:axPos val="b"/>
        <c:majorTickMark val="none"/>
        <c:minorTickMark val="none"/>
        <c:tickLblPos val="nextTo"/>
        <c:spPr>
          <a:ln>
            <a:tailEnd type="arrow"/>
          </a:ln>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crossAx val="39646720"/>
        <c:crosses val="autoZero"/>
        <c:auto val="1"/>
        <c:lblAlgn val="ctr"/>
        <c:lblOffset val="100"/>
        <c:noMultiLvlLbl val="0"/>
      </c:catAx>
      <c:valAx>
        <c:axId val="39646720"/>
        <c:scaling>
          <c:orientation val="minMax"/>
          <c:max val="330"/>
          <c:min val="0"/>
        </c:scaling>
        <c:delete val="0"/>
        <c:axPos val="l"/>
        <c:majorGridlines>
          <c:spPr>
            <a:ln>
              <a:solidFill>
                <a:schemeClr val="bg1">
                  <a:lumMod val="75000"/>
                </a:schemeClr>
              </a:solidFill>
              <a:prstDash val="dash"/>
            </a:ln>
          </c:spPr>
        </c:majorGridlines>
        <c:numFmt formatCode="General" sourceLinked="1"/>
        <c:majorTickMark val="none"/>
        <c:minorTickMark val="none"/>
        <c:tickLblPos val="none"/>
        <c:spPr>
          <a:ln>
            <a:tailEnd type="arrow"/>
          </a:ln>
        </c:spPr>
        <c:crossAx val="39645184"/>
        <c:crosses val="autoZero"/>
        <c:crossBetween val="between"/>
        <c:majorUnit val="60"/>
        <c:minorUnit val="50"/>
      </c:valAx>
      <c:spPr>
        <a:ln>
          <a:noFill/>
        </a:ln>
      </c:spPr>
    </c:plotArea>
    <c:legend>
      <c:legendPos val="b"/>
      <c:legendEntry>
        <c:idx val="0"/>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legendEntry>
      <c:layout>
        <c:manualLayout>
          <c:xMode val="edge"/>
          <c:yMode val="edge"/>
          <c:x val="0"/>
          <c:y val="0.81828518042456788"/>
          <c:w val="0.9994706984422288"/>
          <c:h val="0.18127251334962438"/>
        </c:manualLayout>
      </c:layout>
      <c:overlay val="0"/>
      <c:txPr>
        <a:bodyPr/>
        <a:lstStyle/>
        <a:p>
          <a:pPr>
            <a:defRPr sz="800">
              <a:solidFill>
                <a:schemeClr val="tx1">
                  <a:lumMod val="65000"/>
                  <a:lumOff val="35000"/>
                </a:schemeClr>
              </a:solidFill>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w="0">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100"/>
      <c:depthPercent val="100"/>
      <c:rAngAx val="1"/>
    </c:view3D>
    <c:floor>
      <c:thickness val="0"/>
    </c:floor>
    <c:sideWall>
      <c:thickness val="0"/>
    </c:sideWall>
    <c:backWall>
      <c:thickness val="0"/>
    </c:backWall>
    <c:plotArea>
      <c:layout/>
      <c:pie3DChart>
        <c:varyColors val="1"/>
        <c:ser>
          <c:idx val="0"/>
          <c:order val="0"/>
          <c:tx>
            <c:strRef>
              <c:f>Лист1!$B$1</c:f>
              <c:strCache>
                <c:ptCount val="1"/>
                <c:pt idx="0">
                  <c:v>Столбец2</c:v>
                </c:pt>
              </c:strCache>
            </c:strRef>
          </c:tx>
          <c:explosion val="8"/>
          <c:dPt>
            <c:idx val="0"/>
            <c:bubble3D val="0"/>
            <c:spPr>
              <a:solidFill>
                <a:srgbClr val="FF0000"/>
              </a:solidFill>
            </c:spPr>
          </c:dPt>
          <c:dPt>
            <c:idx val="1"/>
            <c:bubble3D val="0"/>
            <c:spPr>
              <a:solidFill>
                <a:srgbClr val="FFFF00"/>
              </a:solidFill>
            </c:spPr>
          </c:dPt>
          <c:dPt>
            <c:idx val="2"/>
            <c:bubble3D val="0"/>
            <c:spPr>
              <a:solidFill>
                <a:srgbClr val="92D050"/>
              </a:solidFill>
            </c:spPr>
          </c:dPt>
          <c:dPt>
            <c:idx val="3"/>
            <c:bubble3D val="0"/>
            <c:explosion val="1"/>
            <c:spPr>
              <a:solidFill>
                <a:srgbClr val="0070C0"/>
              </a:solidFill>
            </c:spPr>
          </c:dPt>
          <c:dLbls>
            <c:dLbl>
              <c:idx val="0"/>
              <c:layout>
                <c:manualLayout>
                  <c:x val="5.009971889415113E-2"/>
                  <c:y val="1.5542548247017769E-2"/>
                </c:manualLayout>
              </c:layout>
              <c:tx>
                <c:rich>
                  <a:bodyPr/>
                  <a:lstStyle/>
                  <a:p>
                    <a:r>
                      <a:rPr lang="ru-RU" sz="900" b="1">
                        <a:latin typeface="Times New Roman" panose="02020603050405020304" pitchFamily="18" charset="0"/>
                        <a:cs typeface="Times New Roman" panose="02020603050405020304" pitchFamily="18" charset="0"/>
                      </a:rPr>
                      <a:t> более </a:t>
                    </a:r>
                    <a:r>
                      <a:rPr lang="en-US" sz="900" b="1">
                        <a:latin typeface="Times New Roman" panose="02020603050405020304" pitchFamily="18" charset="0"/>
                        <a:cs typeface="Times New Roman" panose="02020603050405020304" pitchFamily="18" charset="0"/>
                      </a:rPr>
                      <a:t>23</a:t>
                    </a:r>
                    <a:r>
                      <a:rPr lang="ru-RU" sz="900" b="1">
                        <a:latin typeface="Times New Roman" panose="02020603050405020304" pitchFamily="18" charset="0"/>
                        <a:cs typeface="Times New Roman" panose="02020603050405020304" pitchFamily="18" charset="0"/>
                      </a:rPr>
                      <a:t> </a:t>
                    </a:r>
                    <a:r>
                      <a:rPr lang="en-US" sz="900" b="1">
                        <a:latin typeface="Times New Roman" panose="02020603050405020304" pitchFamily="18" charset="0"/>
                        <a:cs typeface="Times New Roman" panose="02020603050405020304" pitchFamily="18" charset="0"/>
                      </a:rPr>
                      <a:t>800</a:t>
                    </a:r>
                    <a:endParaRPr lang="en-US" sz="900" b="1">
                      <a:latin typeface="Trebuchet MS" panose="020B0603020202020204" pitchFamily="34" charset="0"/>
                    </a:endParaRPr>
                  </a:p>
                </c:rich>
              </c:tx>
              <c:showLegendKey val="0"/>
              <c:showVal val="1"/>
              <c:showCatName val="0"/>
              <c:showSerName val="0"/>
              <c:showPercent val="0"/>
              <c:showBubbleSize val="0"/>
            </c:dLbl>
            <c:dLbl>
              <c:idx val="1"/>
              <c:layout>
                <c:manualLayout>
                  <c:x val="4.5314116691375285E-2"/>
                  <c:y val="4.0453874129967524E-2"/>
                </c:manualLayout>
              </c:layout>
              <c:tx>
                <c:rich>
                  <a:bodyPr/>
                  <a:lstStyle/>
                  <a:p>
                    <a:r>
                      <a:rPr lang="ru-RU" sz="900" b="1">
                        <a:latin typeface="Times New Roman" panose="02020603050405020304" pitchFamily="18" charset="0"/>
                        <a:cs typeface="Times New Roman" panose="02020603050405020304" pitchFamily="18" charset="0"/>
                      </a:rPr>
                      <a:t> более</a:t>
                    </a:r>
                    <a:r>
                      <a:rPr lang="ru-RU" sz="900" b="1" baseline="0">
                        <a:latin typeface="Times New Roman" panose="02020603050405020304" pitchFamily="18" charset="0"/>
                        <a:cs typeface="Times New Roman" panose="02020603050405020304" pitchFamily="18" charset="0"/>
                      </a:rPr>
                      <a:t> </a:t>
                    </a:r>
                    <a:r>
                      <a:rPr lang="en-US" sz="900" b="1">
                        <a:latin typeface="Times New Roman" panose="02020603050405020304" pitchFamily="18" charset="0"/>
                        <a:cs typeface="Times New Roman" panose="02020603050405020304" pitchFamily="18" charset="0"/>
                      </a:rPr>
                      <a:t>2</a:t>
                    </a:r>
                    <a:r>
                      <a:rPr lang="ru-RU" sz="900" b="1">
                        <a:latin typeface="Times New Roman" panose="02020603050405020304" pitchFamily="18" charset="0"/>
                        <a:cs typeface="Times New Roman" panose="02020603050405020304" pitchFamily="18" charset="0"/>
                      </a:rPr>
                      <a:t> </a:t>
                    </a:r>
                    <a:r>
                      <a:rPr lang="en-US" sz="900" b="1">
                        <a:latin typeface="Times New Roman" panose="02020603050405020304" pitchFamily="18" charset="0"/>
                        <a:cs typeface="Times New Roman" panose="02020603050405020304" pitchFamily="18" charset="0"/>
                      </a:rPr>
                      <a:t>700</a:t>
                    </a:r>
                    <a:endParaRPr lang="en-US" sz="900" b="1">
                      <a:latin typeface="Trebuchet MS" panose="020B0603020202020204" pitchFamily="34" charset="0"/>
                    </a:endParaRPr>
                  </a:p>
                </c:rich>
              </c:tx>
              <c:showLegendKey val="0"/>
              <c:showVal val="1"/>
              <c:showCatName val="0"/>
              <c:showSerName val="0"/>
              <c:showPercent val="0"/>
              <c:showBubbleSize val="0"/>
            </c:dLbl>
            <c:dLbl>
              <c:idx val="2"/>
              <c:layout>
                <c:manualLayout>
                  <c:x val="-0.17373706205827541"/>
                  <c:y val="1.8953845478299241E-2"/>
                </c:manualLayout>
              </c:layout>
              <c:tx>
                <c:rich>
                  <a:bodyPr/>
                  <a:lstStyle/>
                  <a:p>
                    <a:r>
                      <a:rPr lang="ru-RU" sz="900" b="1">
                        <a:latin typeface="Times New Roman" panose="02020603050405020304" pitchFamily="18" charset="0"/>
                        <a:cs typeface="Times New Roman" panose="02020603050405020304" pitchFamily="18" charset="0"/>
                      </a:rPr>
                      <a:t>более </a:t>
                    </a:r>
                    <a:r>
                      <a:rPr lang="en-US" sz="900" b="1">
                        <a:latin typeface="Times New Roman" panose="02020603050405020304" pitchFamily="18" charset="0"/>
                        <a:cs typeface="Times New Roman" panose="02020603050405020304" pitchFamily="18" charset="0"/>
                      </a:rPr>
                      <a:t>39</a:t>
                    </a:r>
                    <a:r>
                      <a:rPr lang="ru-RU" sz="900" b="1">
                        <a:latin typeface="Times New Roman" panose="02020603050405020304" pitchFamily="18" charset="0"/>
                        <a:cs typeface="Times New Roman" panose="02020603050405020304" pitchFamily="18" charset="0"/>
                      </a:rPr>
                      <a:t> </a:t>
                    </a:r>
                    <a:r>
                      <a:rPr lang="en-US" sz="900" b="1">
                        <a:latin typeface="Times New Roman" panose="02020603050405020304" pitchFamily="18" charset="0"/>
                        <a:cs typeface="Times New Roman" panose="02020603050405020304" pitchFamily="18" charset="0"/>
                      </a:rPr>
                      <a:t>900</a:t>
                    </a:r>
                    <a:endParaRPr lang="en-US" sz="900" b="1">
                      <a:latin typeface="Trebuchet MS" panose="020B0603020202020204" pitchFamily="34" charset="0"/>
                    </a:endParaRPr>
                  </a:p>
                </c:rich>
              </c:tx>
              <c:showLegendKey val="0"/>
              <c:showVal val="1"/>
              <c:showCatName val="0"/>
              <c:showSerName val="0"/>
              <c:showPercent val="0"/>
              <c:showBubbleSize val="0"/>
            </c:dLbl>
            <c:dLbl>
              <c:idx val="3"/>
              <c:layout>
                <c:manualLayout>
                  <c:x val="-3.8296300562124706E-2"/>
                  <c:y val="-2.4959970437191899E-2"/>
                </c:manualLayout>
              </c:layout>
              <c:tx>
                <c:rich>
                  <a:bodyPr/>
                  <a:lstStyle/>
                  <a:p>
                    <a:pPr>
                      <a:defRPr sz="900" b="1" i="0">
                        <a:latin typeface="Times New Roman" panose="02020603050405020304" pitchFamily="18" charset="0"/>
                        <a:cs typeface="Times New Roman" panose="02020603050405020304" pitchFamily="18" charset="0"/>
                      </a:defRPr>
                    </a:pPr>
                    <a:r>
                      <a:rPr lang="ru-RU" sz="900" b="1" i="0">
                        <a:latin typeface="Times New Roman" panose="02020603050405020304" pitchFamily="18" charset="0"/>
                        <a:cs typeface="Times New Roman" panose="02020603050405020304" pitchFamily="18" charset="0"/>
                      </a:rPr>
                      <a:t>более </a:t>
                    </a:r>
                    <a:r>
                      <a:rPr lang="en-US" sz="900" b="1" i="0">
                        <a:latin typeface="Times New Roman" panose="02020603050405020304" pitchFamily="18" charset="0"/>
                        <a:cs typeface="Times New Roman" panose="02020603050405020304" pitchFamily="18" charset="0"/>
                      </a:rPr>
                      <a:t>165</a:t>
                    </a:r>
                    <a:r>
                      <a:rPr lang="ru-RU" sz="900" b="1" i="0">
                        <a:latin typeface="Times New Roman" panose="02020603050405020304" pitchFamily="18" charset="0"/>
                        <a:cs typeface="Times New Roman" panose="02020603050405020304" pitchFamily="18" charset="0"/>
                      </a:rPr>
                      <a:t> </a:t>
                    </a:r>
                    <a:r>
                      <a:rPr lang="en-US" sz="900" b="1" i="0">
                        <a:latin typeface="Times New Roman" panose="02020603050405020304" pitchFamily="18" charset="0"/>
                        <a:cs typeface="Times New Roman" panose="02020603050405020304" pitchFamily="18" charset="0"/>
                      </a:rPr>
                      <a:t>300</a:t>
                    </a:r>
                    <a:r>
                      <a:rPr lang="ru-RU" sz="900" b="1" i="0">
                        <a:latin typeface="Times New Roman" panose="02020603050405020304" pitchFamily="18" charset="0"/>
                        <a:cs typeface="Times New Roman" panose="02020603050405020304" pitchFamily="18" charset="0"/>
                      </a:rPr>
                      <a:t>  </a:t>
                    </a:r>
                    <a:endParaRPr lang="en-US" sz="900" b="1" i="0">
                      <a:latin typeface="Trebuchet MS" panose="020B0603020202020204" pitchFamily="34" charset="0"/>
                    </a:endParaRPr>
                  </a:p>
                </c:rich>
              </c:tx>
              <c:spPr/>
              <c:showLegendKey val="0"/>
              <c:showVal val="1"/>
              <c:showCatName val="0"/>
              <c:showSerName val="0"/>
              <c:showPercent val="0"/>
              <c:showBubbleSize val="0"/>
            </c:dLbl>
            <c:txPr>
              <a:bodyPr/>
              <a:lstStyle/>
              <a:p>
                <a:pPr>
                  <a:defRPr sz="9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dLbls>
          <c:cat>
            <c:strRef>
              <c:f>Лист1!$A$2:$A$5</c:f>
              <c:strCache>
                <c:ptCount val="4"/>
                <c:pt idx="0">
                  <c:v>федеральный уровень</c:v>
                </c:pt>
                <c:pt idx="1">
                  <c:v>уровень государственных 
внебюджетных фондов</c:v>
                </c:pt>
                <c:pt idx="2">
                  <c:v>региональный уровень</c:v>
                </c:pt>
                <c:pt idx="3">
                  <c:v>муниципальный уровень</c:v>
                </c:pt>
              </c:strCache>
            </c:strRef>
          </c:cat>
          <c:val>
            <c:numRef>
              <c:f>Лист1!$B$2:$B$5</c:f>
              <c:numCache>
                <c:formatCode>0%</c:formatCode>
                <c:ptCount val="4"/>
                <c:pt idx="0">
                  <c:v>0.10263044415696421</c:v>
                </c:pt>
                <c:pt idx="1">
                  <c:v>1.1642949547218629E-2</c:v>
                </c:pt>
                <c:pt idx="2">
                  <c:v>0.17205692108667528</c:v>
                </c:pt>
                <c:pt idx="3">
                  <c:v>0.71280724450194044</c:v>
                </c:pt>
              </c:numCache>
            </c:numRef>
          </c:val>
        </c:ser>
        <c:ser>
          <c:idx val="1"/>
          <c:order val="1"/>
          <c:tx>
            <c:strRef>
              <c:f>Лист1!$C$1</c:f>
              <c:strCache>
                <c:ptCount val="1"/>
                <c:pt idx="0">
                  <c:v>Столбец1</c:v>
                </c:pt>
              </c:strCache>
            </c:strRef>
          </c:tx>
          <c:cat>
            <c:strRef>
              <c:f>Лист1!$A$2:$A$5</c:f>
              <c:strCache>
                <c:ptCount val="4"/>
                <c:pt idx="0">
                  <c:v>федеральный уровень</c:v>
                </c:pt>
                <c:pt idx="1">
                  <c:v>уровень государственных 
внебюджетных фондов</c:v>
                </c:pt>
                <c:pt idx="2">
                  <c:v>региональный уровень</c:v>
                </c:pt>
                <c:pt idx="3">
                  <c:v>муниципальный уровень</c:v>
                </c:pt>
              </c:strCache>
            </c:strRef>
          </c:cat>
          <c:val>
            <c:numRef>
              <c:f>Лист1!$C$2:$C$5</c:f>
              <c:numCache>
                <c:formatCode>General</c:formatCode>
                <c:ptCount val="4"/>
                <c:pt idx="0">
                  <c:v>23800</c:v>
                </c:pt>
                <c:pt idx="1">
                  <c:v>2700</c:v>
                </c:pt>
                <c:pt idx="2">
                  <c:v>39900</c:v>
                </c:pt>
                <c:pt idx="3">
                  <c:v>165300</c:v>
                </c:pt>
              </c:numCache>
            </c:numRef>
          </c:val>
        </c:ser>
        <c:dLbls>
          <c:showLegendKey val="0"/>
          <c:showVal val="0"/>
          <c:showCatName val="0"/>
          <c:showSerName val="0"/>
          <c:showPercent val="0"/>
          <c:showBubbleSize val="0"/>
          <c:showLeaderLines val="0"/>
        </c:dLbls>
      </c:pie3DChart>
    </c:plotArea>
    <c:legend>
      <c:legendPos val="tr"/>
      <c:layout>
        <c:manualLayout>
          <c:xMode val="edge"/>
          <c:yMode val="edge"/>
          <c:x val="0.70499788000571362"/>
          <c:y val="6.2297731651294576E-2"/>
          <c:w val="0.28174454390719555"/>
          <c:h val="0.52259130766781237"/>
        </c:manualLayout>
      </c:layout>
      <c:overlay val="0"/>
      <c:txPr>
        <a:bodyPr/>
        <a:lstStyle/>
        <a:p>
          <a:pPr>
            <a:defRPr sz="900" b="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cmpd="sng">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25323728473337"/>
          <c:y val="0.10843278887659703"/>
          <c:w val="0.56651024682520734"/>
          <c:h val="0.81113967159063782"/>
        </c:manualLayout>
      </c:layout>
      <c:pieChart>
        <c:varyColors val="1"/>
        <c:ser>
          <c:idx val="0"/>
          <c:order val="0"/>
          <c:spPr>
            <a:solidFill>
              <a:srgbClr val="9999FF"/>
            </a:solidFill>
            <a:ln w="12699">
              <a:solidFill>
                <a:srgbClr val="000000"/>
              </a:solidFill>
              <a:prstDash val="solid"/>
            </a:ln>
          </c:spPr>
          <c:explosion val="20"/>
          <c:dPt>
            <c:idx val="0"/>
            <c:bubble3D val="0"/>
            <c:explosion val="22"/>
            <c:spPr>
              <a:solidFill>
                <a:srgbClr val="FF99CC"/>
              </a:solidFill>
              <a:ln w="12699">
                <a:solidFill>
                  <a:srgbClr val="000000"/>
                </a:solidFill>
                <a:prstDash val="solid"/>
              </a:ln>
            </c:spPr>
          </c:dPt>
          <c:dPt>
            <c:idx val="1"/>
            <c:bubble3D val="0"/>
            <c:spPr>
              <a:solidFill>
                <a:srgbClr val="00FFFF"/>
              </a:solidFill>
              <a:ln w="12699">
                <a:solidFill>
                  <a:srgbClr val="000000"/>
                </a:solidFill>
                <a:prstDash val="solid"/>
              </a:ln>
            </c:spPr>
          </c:dPt>
          <c:dPt>
            <c:idx val="2"/>
            <c:bubble3D val="0"/>
            <c:spPr>
              <a:solidFill>
                <a:srgbClr val="CCCCFF"/>
              </a:solidFill>
              <a:ln w="12699">
                <a:solidFill>
                  <a:srgbClr val="000000"/>
                </a:solidFill>
                <a:prstDash val="solid"/>
              </a:ln>
            </c:spPr>
          </c:dPt>
          <c:dPt>
            <c:idx val="3"/>
            <c:bubble3D val="0"/>
            <c:spPr>
              <a:solidFill>
                <a:srgbClr val="CCFFFF"/>
              </a:solidFill>
              <a:ln w="12699">
                <a:solidFill>
                  <a:srgbClr val="000000"/>
                </a:solidFill>
                <a:prstDash val="solid"/>
              </a:ln>
            </c:spPr>
          </c:dPt>
          <c:dPt>
            <c:idx val="4"/>
            <c:bubble3D val="0"/>
            <c:spPr>
              <a:solidFill>
                <a:srgbClr val="800080"/>
              </a:solidFill>
              <a:ln w="12699">
                <a:solidFill>
                  <a:srgbClr val="000000"/>
                </a:solidFill>
                <a:prstDash val="solid"/>
              </a:ln>
            </c:spPr>
          </c:dPt>
          <c:dPt>
            <c:idx val="5"/>
            <c:bubble3D val="0"/>
            <c:spPr>
              <a:solidFill>
                <a:srgbClr val="000080"/>
              </a:solidFill>
              <a:ln w="12699">
                <a:solidFill>
                  <a:srgbClr val="000000"/>
                </a:solidFill>
                <a:prstDash val="solid"/>
              </a:ln>
            </c:spPr>
          </c:dPt>
          <c:dPt>
            <c:idx val="6"/>
            <c:bubble3D val="0"/>
          </c:dPt>
          <c:dPt>
            <c:idx val="7"/>
            <c:bubble3D val="0"/>
            <c:spPr>
              <a:solidFill>
                <a:srgbClr val="FFFFCC"/>
              </a:solidFill>
              <a:ln w="12699">
                <a:solidFill>
                  <a:srgbClr val="000000"/>
                </a:solidFill>
                <a:prstDash val="solid"/>
              </a:ln>
            </c:spPr>
          </c:dPt>
          <c:dPt>
            <c:idx val="8"/>
            <c:bubble3D val="0"/>
            <c:spPr>
              <a:solidFill>
                <a:srgbClr val="CCECFF"/>
              </a:solidFill>
              <a:ln w="12699">
                <a:solidFill>
                  <a:srgbClr val="000000"/>
                </a:solidFill>
                <a:prstDash val="solid"/>
              </a:ln>
            </c:spPr>
          </c:dPt>
          <c:dPt>
            <c:idx val="9"/>
            <c:bubble3D val="0"/>
            <c:spPr>
              <a:solidFill>
                <a:srgbClr val="FF00FF"/>
              </a:solidFill>
              <a:ln w="12699">
                <a:solidFill>
                  <a:srgbClr val="000000"/>
                </a:solidFill>
                <a:prstDash val="solid"/>
              </a:ln>
            </c:spPr>
          </c:dPt>
          <c:dPt>
            <c:idx val="10"/>
            <c:bubble3D val="0"/>
            <c:spPr>
              <a:solidFill>
                <a:srgbClr val="660066"/>
              </a:solidFill>
              <a:ln w="12699">
                <a:solidFill>
                  <a:srgbClr val="000000"/>
                </a:solidFill>
                <a:prstDash val="solid"/>
              </a:ln>
            </c:spPr>
          </c:dPt>
          <c:dPt>
            <c:idx val="11"/>
            <c:bubble3D val="0"/>
            <c:spPr>
              <a:solidFill>
                <a:srgbClr val="0066CC"/>
              </a:solidFill>
              <a:ln w="12699">
                <a:solidFill>
                  <a:srgbClr val="000000"/>
                </a:solidFill>
                <a:prstDash val="solid"/>
              </a:ln>
            </c:spPr>
          </c:dPt>
          <c:dPt>
            <c:idx val="12"/>
            <c:bubble3D val="0"/>
            <c:spPr>
              <a:solidFill>
                <a:srgbClr val="FFFF00"/>
              </a:solidFill>
              <a:ln w="12699">
                <a:solidFill>
                  <a:srgbClr val="000000"/>
                </a:solidFill>
                <a:prstDash val="solid"/>
              </a:ln>
            </c:spPr>
          </c:dPt>
          <c:dPt>
            <c:idx val="13"/>
            <c:bubble3D val="0"/>
            <c:spPr>
              <a:solidFill>
                <a:srgbClr val="99CC00"/>
              </a:solidFill>
              <a:ln w="12699">
                <a:solidFill>
                  <a:srgbClr val="000000"/>
                </a:solidFill>
                <a:prstDash val="solid"/>
              </a:ln>
            </c:spPr>
          </c:dPt>
          <c:dPt>
            <c:idx val="14"/>
            <c:bubble3D val="0"/>
          </c:dPt>
          <c:dLbls>
            <c:dLbl>
              <c:idx val="0"/>
              <c:layout>
                <c:manualLayout>
                  <c:x val="-5.2505455944225872E-3"/>
                  <c:y val="-3.5733616367380233E-2"/>
                </c:manualLayout>
              </c:layout>
              <c:dLblPos val="bestFit"/>
              <c:showLegendKey val="0"/>
              <c:showVal val="1"/>
              <c:showCatName val="0"/>
              <c:showSerName val="0"/>
              <c:showPercent val="0"/>
              <c:showBubbleSize val="0"/>
            </c:dLbl>
            <c:dLbl>
              <c:idx val="1"/>
              <c:layout>
                <c:manualLayout>
                  <c:x val="-3.1912677581968922E-3"/>
                  <c:y val="3.0874162064910504E-2"/>
                </c:manualLayout>
              </c:layout>
              <c:dLblPos val="bestFit"/>
              <c:showLegendKey val="0"/>
              <c:showVal val="1"/>
              <c:showCatName val="0"/>
              <c:showSerName val="0"/>
              <c:showPercent val="0"/>
              <c:showBubbleSize val="0"/>
            </c:dLbl>
            <c:dLbl>
              <c:idx val="2"/>
              <c:layout>
                <c:manualLayout>
                  <c:x val="-2.9965042248506817E-2"/>
                  <c:y val="2.633305134378864E-2"/>
                </c:manualLayout>
              </c:layout>
              <c:dLblPos val="bestFit"/>
              <c:showLegendKey val="0"/>
              <c:showVal val="1"/>
              <c:showCatName val="0"/>
              <c:showSerName val="0"/>
              <c:showPercent val="0"/>
              <c:showBubbleSize val="0"/>
            </c:dLbl>
            <c:dLbl>
              <c:idx val="3"/>
              <c:layout>
                <c:manualLayout>
                  <c:x val="1.959103596898876E-2"/>
                  <c:y val="9.929502613826165E-3"/>
                </c:manualLayout>
              </c:layout>
              <c:dLblPos val="bestFit"/>
              <c:showLegendKey val="0"/>
              <c:showVal val="1"/>
              <c:showCatName val="0"/>
              <c:showSerName val="0"/>
              <c:showPercent val="0"/>
              <c:showBubbleSize val="0"/>
            </c:dLbl>
            <c:dLbl>
              <c:idx val="4"/>
              <c:layout>
                <c:manualLayout>
                  <c:x val="9.0097828680506028E-3"/>
                  <c:y val="9.1974143727902788E-3"/>
                </c:manualLayout>
              </c:layout>
              <c:dLblPos val="bestFit"/>
              <c:showLegendKey val="0"/>
              <c:showVal val="1"/>
              <c:showCatName val="0"/>
              <c:showSerName val="0"/>
              <c:showPercent val="0"/>
              <c:showBubbleSize val="0"/>
            </c:dLbl>
            <c:dLbl>
              <c:idx val="5"/>
              <c:layout>
                <c:manualLayout>
                  <c:x val="8.3531982744581169E-3"/>
                  <c:y val="-2.1904080171796709E-3"/>
                </c:manualLayout>
              </c:layout>
              <c:dLblPos val="bestFit"/>
              <c:showLegendKey val="0"/>
              <c:showVal val="1"/>
              <c:showCatName val="0"/>
              <c:showSerName val="0"/>
              <c:showPercent val="0"/>
              <c:showBubbleSize val="0"/>
            </c:dLbl>
            <c:dLbl>
              <c:idx val="6"/>
              <c:layout>
                <c:manualLayout>
                  <c:x val="2.2953859739495179E-3"/>
                  <c:y val="-3.5752559684033105E-3"/>
                </c:manualLayout>
              </c:layout>
              <c:dLblPos val="bestFit"/>
              <c:showLegendKey val="0"/>
              <c:showVal val="1"/>
              <c:showCatName val="0"/>
              <c:showSerName val="0"/>
              <c:showPercent val="0"/>
              <c:showBubbleSize val="0"/>
            </c:dLbl>
            <c:dLbl>
              <c:idx val="7"/>
              <c:layout>
                <c:manualLayout>
                  <c:x val="2.3340937522996542E-3"/>
                  <c:y val="-1.5543005207416166E-2"/>
                </c:manualLayout>
              </c:layout>
              <c:dLblPos val="bestFit"/>
              <c:showLegendKey val="0"/>
              <c:showVal val="1"/>
              <c:showCatName val="0"/>
              <c:showSerName val="0"/>
              <c:showPercent val="0"/>
              <c:showBubbleSize val="0"/>
            </c:dLbl>
            <c:dLbl>
              <c:idx val="8"/>
              <c:layout>
                <c:manualLayout>
                  <c:x val="1.13379766923074E-2"/>
                  <c:y val="-1.0383722695820047E-2"/>
                </c:manualLayout>
              </c:layout>
              <c:dLblPos val="bestFit"/>
              <c:showLegendKey val="0"/>
              <c:showVal val="1"/>
              <c:showCatName val="0"/>
              <c:showSerName val="0"/>
              <c:showPercent val="0"/>
              <c:showBubbleSize val="0"/>
            </c:dLbl>
            <c:dLbl>
              <c:idx val="9"/>
              <c:layout>
                <c:manualLayout>
                  <c:x val="8.9240360106501836E-3"/>
                  <c:y val="8.5559966161254386E-3"/>
                </c:manualLayout>
              </c:layout>
              <c:dLblPos val="bestFit"/>
              <c:showLegendKey val="0"/>
              <c:showVal val="1"/>
              <c:showCatName val="0"/>
              <c:showSerName val="0"/>
              <c:showPercent val="0"/>
              <c:showBubbleSize val="0"/>
            </c:dLbl>
            <c:dLbl>
              <c:idx val="10"/>
              <c:layout>
                <c:manualLayout>
                  <c:x val="8.3491078766669315E-3"/>
                  <c:y val="1.0899546647578143E-2"/>
                </c:manualLayout>
              </c:layout>
              <c:dLblPos val="bestFit"/>
              <c:showLegendKey val="0"/>
              <c:showVal val="1"/>
              <c:showCatName val="0"/>
              <c:showSerName val="0"/>
              <c:showPercent val="0"/>
              <c:showBubbleSize val="0"/>
            </c:dLbl>
            <c:dLbl>
              <c:idx val="11"/>
              <c:layout>
                <c:manualLayout>
                  <c:x val="1.053974313816837E-2"/>
                  <c:y val="1.8521724040693261E-2"/>
                </c:manualLayout>
              </c:layout>
              <c:dLblPos val="bestFit"/>
              <c:showLegendKey val="0"/>
              <c:showVal val="1"/>
              <c:showCatName val="0"/>
              <c:showSerName val="0"/>
              <c:showPercent val="0"/>
              <c:showBubbleSize val="0"/>
            </c:dLbl>
            <c:dLbl>
              <c:idx val="12"/>
              <c:layout>
                <c:manualLayout>
                  <c:x val="9.9820855726367886E-3"/>
                  <c:y val="8.8416737164052836E-3"/>
                </c:manualLayout>
              </c:layout>
              <c:dLblPos val="bestFit"/>
              <c:showLegendKey val="0"/>
              <c:showVal val="1"/>
              <c:showCatName val="0"/>
              <c:showSerName val="0"/>
              <c:showPercent val="0"/>
              <c:showBubbleSize val="0"/>
            </c:dLbl>
            <c:dLbl>
              <c:idx val="13"/>
              <c:layout>
                <c:manualLayout>
                  <c:x val="4.8980241106225354E-3"/>
                  <c:y val="5.2120344461074599E-3"/>
                </c:manualLayout>
              </c:layout>
              <c:dLblPos val="bestFit"/>
              <c:showLegendKey val="0"/>
              <c:showVal val="1"/>
              <c:showCatName val="0"/>
              <c:showSerName val="0"/>
              <c:showPercent val="0"/>
              <c:showBubbleSize val="0"/>
            </c:dLbl>
            <c:dLbl>
              <c:idx val="14"/>
              <c:layout>
                <c:manualLayout>
                  <c:x val="1.5810296440217701E-2"/>
                  <c:y val="3.3754148500032537E-3"/>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399">
                <a:noFill/>
              </a:ln>
            </c:spPr>
            <c:txPr>
              <a:bodyPr/>
              <a:lstStyle/>
              <a:p>
                <a:pPr>
                  <a:defRPr sz="87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Лист1!$T$3:$T$17</c:f>
              <c:strCache>
                <c:ptCount val="15"/>
                <c:pt idx="0">
                  <c:v>Размещение заказов</c:v>
                </c:pt>
                <c:pt idx="1">
                  <c:v>Административно-хозяйственное обеспечение</c:v>
                </c:pt>
                <c:pt idx="2">
                  <c:v>Смета</c:v>
                </c:pt>
                <c:pt idx="3">
                  <c:v>Кадровая работа</c:v>
                </c:pt>
                <c:pt idx="4">
                  <c:v>Доходы</c:v>
                </c:pt>
                <c:pt idx="5">
                  <c:v>Внутренний контроль</c:v>
                </c:pt>
                <c:pt idx="6">
                  <c:v>Федеральный бюджет и бюджет Союзного государства</c:v>
                </c:pt>
                <c:pt idx="7">
                  <c:v>Информациннно-техническое обеспечение</c:v>
                </c:pt>
                <c:pt idx="8">
                  <c:v>Правовое обеспечение</c:v>
                </c:pt>
                <c:pt idx="9">
                  <c:v>Бюджет субъектов и местный бюджет</c:v>
                </c:pt>
                <c:pt idx="10">
                  <c:v>Технологическая деятельность</c:v>
                </c:pt>
                <c:pt idx="11">
                  <c:v>Электронные расчеты</c:v>
                </c:pt>
                <c:pt idx="12">
                  <c:v>Федеральные реестры</c:v>
                </c:pt>
                <c:pt idx="13">
                  <c:v>Бюджетный учет и отчетность</c:v>
                </c:pt>
                <c:pt idx="14">
                  <c:v>Профилактика коррупционных правонарушений</c:v>
                </c:pt>
              </c:strCache>
            </c:strRef>
          </c:cat>
          <c:val>
            <c:numRef>
              <c:f>Лист1!$U$3:$U$17</c:f>
              <c:numCache>
                <c:formatCode>0.00</c:formatCode>
                <c:ptCount val="15"/>
                <c:pt idx="0">
                  <c:v>23.6</c:v>
                </c:pt>
                <c:pt idx="1">
                  <c:v>13.32</c:v>
                </c:pt>
                <c:pt idx="2">
                  <c:v>11.2</c:v>
                </c:pt>
                <c:pt idx="3">
                  <c:v>9.14</c:v>
                </c:pt>
                <c:pt idx="4">
                  <c:v>7.09</c:v>
                </c:pt>
                <c:pt idx="5">
                  <c:v>5.88</c:v>
                </c:pt>
                <c:pt idx="6">
                  <c:v>5.0999999999999996</c:v>
                </c:pt>
                <c:pt idx="7">
                  <c:v>4.6100000000000003</c:v>
                </c:pt>
                <c:pt idx="8">
                  <c:v>4.18</c:v>
                </c:pt>
                <c:pt idx="9">
                  <c:v>3.47</c:v>
                </c:pt>
                <c:pt idx="10">
                  <c:v>3.26</c:v>
                </c:pt>
                <c:pt idx="11">
                  <c:v>2.77</c:v>
                </c:pt>
                <c:pt idx="12">
                  <c:v>2.48</c:v>
                </c:pt>
                <c:pt idx="13">
                  <c:v>2.2000000000000002</c:v>
                </c:pt>
                <c:pt idx="14">
                  <c:v>1.7</c:v>
                </c:pt>
              </c:numCache>
            </c:numRef>
          </c:val>
        </c:ser>
        <c:dLbls>
          <c:showLegendKey val="0"/>
          <c:showVal val="0"/>
          <c:showCatName val="0"/>
          <c:showSerName val="0"/>
          <c:showPercent val="0"/>
          <c:showBubbleSize val="0"/>
          <c:showLeaderLines val="0"/>
        </c:dLbls>
        <c:firstSliceAng val="0"/>
      </c:pieChart>
      <c:spPr>
        <a:noFill/>
        <a:ln w="25399">
          <a:noFill/>
        </a:ln>
      </c:spPr>
    </c:plotArea>
    <c:legend>
      <c:legendPos val="r"/>
      <c:layout>
        <c:manualLayout>
          <c:xMode val="edge"/>
          <c:yMode val="edge"/>
          <c:x val="0.71924849599985563"/>
          <c:y val="1.2626224538834054E-2"/>
          <c:w val="0.26949030855679124"/>
          <c:h val="0.97409160474658973"/>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290135953972763E-2"/>
          <c:y val="7.7719075438150889E-2"/>
          <c:w val="0.53693500467886612"/>
          <c:h val="0.79854648209296419"/>
        </c:manualLayout>
      </c:layout>
      <c:pieChart>
        <c:varyColors val="1"/>
        <c:ser>
          <c:idx val="0"/>
          <c:order val="0"/>
          <c:spPr>
            <a:solidFill>
              <a:srgbClr val="9999FF"/>
            </a:solidFill>
            <a:ln w="12700">
              <a:solidFill>
                <a:srgbClr val="000000"/>
              </a:solidFill>
              <a:prstDash val="solid"/>
            </a:ln>
          </c:spPr>
          <c:explosion val="25"/>
          <c:dPt>
            <c:idx val="0"/>
            <c:bubble3D val="0"/>
            <c:spPr>
              <a:solidFill>
                <a:srgbClr val="800080"/>
              </a:solidFill>
              <a:ln w="12700">
                <a:solidFill>
                  <a:srgbClr val="000000"/>
                </a:solidFill>
                <a:prstDash val="solid"/>
              </a:ln>
            </c:spPr>
          </c:dPt>
          <c:dPt>
            <c:idx val="1"/>
            <c:bubble3D val="0"/>
            <c:spPr>
              <a:solidFill>
                <a:srgbClr val="0066CC"/>
              </a:solidFill>
              <a:ln w="12700">
                <a:solidFill>
                  <a:srgbClr val="000000"/>
                </a:solidFill>
                <a:prstDash val="solid"/>
              </a:ln>
            </c:spPr>
          </c:dPt>
          <c:dPt>
            <c:idx val="2"/>
            <c:bubble3D val="0"/>
            <c:spPr>
              <a:solidFill>
                <a:srgbClr val="CCFFFF"/>
              </a:solidFill>
              <a:ln w="12700">
                <a:solidFill>
                  <a:srgbClr val="000000"/>
                </a:solidFill>
                <a:prstDash val="solid"/>
              </a:ln>
            </c:spPr>
          </c:dPt>
          <c:dPt>
            <c:idx val="3"/>
            <c:bubble3D val="0"/>
            <c:spPr>
              <a:solidFill>
                <a:srgbClr val="FF99CC"/>
              </a:solidFill>
              <a:ln w="12700">
                <a:solidFill>
                  <a:srgbClr val="000000"/>
                </a:solidFill>
                <a:prstDash val="solid"/>
              </a:ln>
            </c:spPr>
          </c:dPt>
          <c:dPt>
            <c:idx val="4"/>
            <c:bubble3D val="0"/>
            <c:spPr>
              <a:solidFill>
                <a:srgbClr val="CCCCFF"/>
              </a:solidFill>
              <a:ln w="12700">
                <a:solidFill>
                  <a:srgbClr val="000000"/>
                </a:solidFill>
                <a:prstDash val="solid"/>
              </a:ln>
            </c:spPr>
          </c:dPt>
          <c:dPt>
            <c:idx val="5"/>
            <c:bubble3D val="0"/>
            <c:spPr>
              <a:solidFill>
                <a:srgbClr val="008080"/>
              </a:solidFill>
              <a:ln w="12700">
                <a:solidFill>
                  <a:srgbClr val="000000"/>
                </a:solidFill>
                <a:prstDash val="solid"/>
              </a:ln>
            </c:spPr>
          </c:dPt>
          <c:dPt>
            <c:idx val="6"/>
            <c:bubble3D val="0"/>
            <c:spPr>
              <a:solidFill>
                <a:srgbClr val="00FFFF"/>
              </a:solidFill>
              <a:ln w="12700">
                <a:solidFill>
                  <a:srgbClr val="000000"/>
                </a:solidFill>
                <a:prstDash val="solid"/>
              </a:ln>
            </c:spPr>
          </c:dPt>
          <c:dPt>
            <c:idx val="7"/>
            <c:bubble3D val="0"/>
            <c:spPr>
              <a:solidFill>
                <a:srgbClr val="FFFFCC"/>
              </a:solidFill>
              <a:ln w="12700">
                <a:solidFill>
                  <a:srgbClr val="000000"/>
                </a:solidFill>
                <a:prstDash val="solid"/>
              </a:ln>
            </c:spPr>
          </c:dPt>
          <c:dPt>
            <c:idx val="8"/>
            <c:bubble3D val="0"/>
            <c:spPr>
              <a:solidFill>
                <a:srgbClr val="FFFF00"/>
              </a:solidFill>
              <a:ln w="12700">
                <a:solidFill>
                  <a:srgbClr val="000000"/>
                </a:solidFill>
                <a:prstDash val="solid"/>
              </a:ln>
            </c:spPr>
          </c:dPt>
          <c:dPt>
            <c:idx val="9"/>
            <c:bubble3D val="0"/>
          </c:dPt>
          <c:dPt>
            <c:idx val="10"/>
            <c:bubble3D val="0"/>
            <c:spPr>
              <a:solidFill>
                <a:srgbClr val="660066"/>
              </a:solidFill>
              <a:ln w="12700">
                <a:solidFill>
                  <a:srgbClr val="000000"/>
                </a:solidFill>
                <a:prstDash val="solid"/>
              </a:ln>
            </c:spPr>
          </c:dPt>
          <c:dPt>
            <c:idx val="11"/>
            <c:bubble3D val="0"/>
            <c:spPr>
              <a:solidFill>
                <a:srgbClr val="99CC00"/>
              </a:solidFill>
              <a:ln w="12700">
                <a:solidFill>
                  <a:srgbClr val="000000"/>
                </a:solidFill>
                <a:prstDash val="solid"/>
              </a:ln>
            </c:spPr>
          </c:dPt>
          <c:dPt>
            <c:idx val="12"/>
            <c:bubble3D val="0"/>
            <c:spPr>
              <a:solidFill>
                <a:srgbClr val="000080"/>
              </a:solidFill>
              <a:ln w="12700">
                <a:solidFill>
                  <a:srgbClr val="000000"/>
                </a:solidFill>
                <a:prstDash val="solid"/>
              </a:ln>
            </c:spPr>
          </c:dPt>
          <c:dPt>
            <c:idx val="13"/>
            <c:bubble3D val="0"/>
            <c:spPr>
              <a:solidFill>
                <a:srgbClr val="0066CC"/>
              </a:solidFill>
              <a:ln w="12700">
                <a:solidFill>
                  <a:srgbClr val="000000"/>
                </a:solidFill>
                <a:prstDash val="solid"/>
              </a:ln>
            </c:spPr>
          </c:dPt>
          <c:dPt>
            <c:idx val="14"/>
            <c:bubble3D val="0"/>
          </c:dPt>
          <c:dLbls>
            <c:dLbl>
              <c:idx val="0"/>
              <c:layout>
                <c:manualLayout>
                  <c:x val="-8.0040989001996087E-3"/>
                  <c:y val="-4.2659385318770636E-3"/>
                </c:manualLayout>
              </c:layout>
              <c:dLblPos val="bestFit"/>
              <c:showLegendKey val="0"/>
              <c:showVal val="1"/>
              <c:showCatName val="0"/>
              <c:showSerName val="0"/>
              <c:showPercent val="0"/>
              <c:showBubbleSize val="0"/>
            </c:dLbl>
            <c:dLbl>
              <c:idx val="1"/>
              <c:layout>
                <c:manualLayout>
                  <c:x val="-8.3701534596923033E-3"/>
                  <c:y val="3.2476081618829904E-3"/>
                </c:manualLayout>
              </c:layout>
              <c:dLblPos val="bestFit"/>
              <c:showLegendKey val="0"/>
              <c:showVal val="1"/>
              <c:showCatName val="0"/>
              <c:showSerName val="0"/>
              <c:showPercent val="0"/>
              <c:showBubbleSize val="0"/>
            </c:dLbl>
            <c:dLbl>
              <c:idx val="2"/>
              <c:layout>
                <c:manualLayout>
                  <c:x val="-3.2001309370897099E-3"/>
                  <c:y val="-7.1805943611887224E-3"/>
                </c:manualLayout>
              </c:layout>
              <c:dLblPos val="bestFit"/>
              <c:showLegendKey val="0"/>
              <c:showVal val="1"/>
              <c:showCatName val="0"/>
              <c:showSerName val="0"/>
              <c:showPercent val="0"/>
              <c:showBubbleSize val="0"/>
            </c:dLbl>
            <c:dLbl>
              <c:idx val="3"/>
              <c:layout>
                <c:manualLayout>
                  <c:x val="-3.4916082846173828E-3"/>
                  <c:y val="-8.0298027262721196E-3"/>
                </c:manualLayout>
              </c:layout>
              <c:dLblPos val="bestFit"/>
              <c:showLegendKey val="0"/>
              <c:showVal val="1"/>
              <c:showCatName val="0"/>
              <c:showSerName val="0"/>
              <c:showPercent val="0"/>
              <c:showBubbleSize val="0"/>
            </c:dLbl>
            <c:dLbl>
              <c:idx val="4"/>
              <c:layout>
                <c:manualLayout>
                  <c:x val="6.6178736243599915E-3"/>
                  <c:y val="-7.6073152146304294E-4"/>
                </c:manualLayout>
              </c:layout>
              <c:dLblPos val="bestFit"/>
              <c:showLegendKey val="0"/>
              <c:showVal val="1"/>
              <c:showCatName val="0"/>
              <c:showSerName val="0"/>
              <c:showPercent val="0"/>
              <c:showBubbleSize val="0"/>
            </c:dLbl>
            <c:dLbl>
              <c:idx val="5"/>
              <c:layout>
                <c:manualLayout>
                  <c:x val="5.5884519179792988E-3"/>
                  <c:y val="-4.2530268393870122E-3"/>
                </c:manualLayout>
              </c:layout>
              <c:dLblPos val="bestFit"/>
              <c:showLegendKey val="0"/>
              <c:showVal val="1"/>
              <c:showCatName val="0"/>
              <c:showSerName val="0"/>
              <c:showPercent val="0"/>
              <c:showBubbleSize val="0"/>
            </c:dLbl>
            <c:dLbl>
              <c:idx val="6"/>
              <c:layout>
                <c:manualLayout>
                  <c:x val="9.9255314604661752E-3"/>
                  <c:y val="-7.5792638596231809E-3"/>
                </c:manualLayout>
              </c:layout>
              <c:dLblPos val="bestFit"/>
              <c:showLegendKey val="0"/>
              <c:showVal val="1"/>
              <c:showCatName val="0"/>
              <c:showSerName val="0"/>
              <c:showPercent val="0"/>
              <c:showBubbleSize val="0"/>
            </c:dLbl>
            <c:dLbl>
              <c:idx val="7"/>
              <c:layout>
                <c:manualLayout>
                  <c:x val="9.7774425282244146E-3"/>
                  <c:y val="-4.1689950046566761E-3"/>
                </c:manualLayout>
              </c:layout>
              <c:dLblPos val="bestFit"/>
              <c:showLegendKey val="0"/>
              <c:showVal val="1"/>
              <c:showCatName val="0"/>
              <c:showSerName val="0"/>
              <c:showPercent val="0"/>
              <c:showBubbleSize val="0"/>
            </c:dLbl>
            <c:dLbl>
              <c:idx val="8"/>
              <c:layout>
                <c:manualLayout>
                  <c:x val="1.0216508747522692E-2"/>
                  <c:y val="-1.7445601557869537E-3"/>
                </c:manualLayout>
              </c:layout>
              <c:dLblPos val="bestFit"/>
              <c:showLegendKey val="0"/>
              <c:showVal val="1"/>
              <c:showCatName val="0"/>
              <c:showSerName val="0"/>
              <c:showPercent val="0"/>
              <c:showBubbleSize val="0"/>
            </c:dLbl>
            <c:dLbl>
              <c:idx val="9"/>
              <c:layout>
                <c:manualLayout>
                  <c:x val="9.0108912617282988E-3"/>
                  <c:y val="4.9263398526797056E-3"/>
                </c:manualLayout>
              </c:layout>
              <c:dLblPos val="bestFit"/>
              <c:showLegendKey val="0"/>
              <c:showVal val="1"/>
              <c:showCatName val="0"/>
              <c:showSerName val="0"/>
              <c:showPercent val="0"/>
              <c:showBubbleSize val="0"/>
            </c:dLbl>
            <c:dLbl>
              <c:idx val="10"/>
              <c:layout>
                <c:manualLayout>
                  <c:x val="8.3818239394273641E-3"/>
                  <c:y val="5.1371602743205489E-4"/>
                </c:manualLayout>
              </c:layout>
              <c:dLblPos val="bestFit"/>
              <c:showLegendKey val="0"/>
              <c:showVal val="1"/>
              <c:showCatName val="0"/>
              <c:showSerName val="0"/>
              <c:showPercent val="0"/>
              <c:showBubbleSize val="0"/>
            </c:dLbl>
            <c:dLbl>
              <c:idx val="11"/>
              <c:layout>
                <c:manualLayout>
                  <c:x val="3.6734969809749832E-3"/>
                  <c:y val="1.203009906019812E-2"/>
                </c:manualLayout>
              </c:layout>
              <c:dLblPos val="bestFit"/>
              <c:showLegendKey val="0"/>
              <c:showVal val="1"/>
              <c:showCatName val="0"/>
              <c:showSerName val="0"/>
              <c:showPercent val="0"/>
              <c:showBubbleSize val="0"/>
            </c:dLbl>
            <c:dLbl>
              <c:idx val="12"/>
              <c:layout>
                <c:manualLayout>
                  <c:x val="9.4374330637499951E-4"/>
                  <c:y val="1.2987045974091949E-2"/>
                </c:manualLayout>
              </c:layout>
              <c:dLblPos val="bestFit"/>
              <c:showLegendKey val="0"/>
              <c:showVal val="1"/>
              <c:showCatName val="0"/>
              <c:showSerName val="0"/>
              <c:showPercent val="0"/>
              <c:showBubbleSize val="0"/>
            </c:dLbl>
            <c:dLbl>
              <c:idx val="13"/>
              <c:layout>
                <c:manualLayout>
                  <c:x val="9.8700947514863847E-3"/>
                  <c:y val="-7.5677334688002713E-3"/>
                </c:manualLayout>
              </c:layout>
              <c:dLblPos val="bestFit"/>
              <c:showLegendKey val="0"/>
              <c:showVal val="1"/>
              <c:showCatName val="0"/>
              <c:showSerName val="0"/>
              <c:showPercent val="0"/>
              <c:showBubbleSize val="0"/>
            </c:dLbl>
            <c:dLbl>
              <c:idx val="14"/>
              <c:layout>
                <c:manualLayout>
                  <c:x val="2.8129556557350801E-2"/>
                  <c:y val="8.9219292932512986E-3"/>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399">
                <a:noFill/>
              </a:ln>
            </c:spPr>
            <c:txPr>
              <a:bodyPr/>
              <a:lstStyle/>
              <a:p>
                <a:pPr>
                  <a:defRPr sz="8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Лист1!$R$92:$R$106</c:f>
              <c:strCache>
                <c:ptCount val="15"/>
                <c:pt idx="0">
                  <c:v>Административно-хозяйственное обеспечение</c:v>
                </c:pt>
                <c:pt idx="1">
                  <c:v>Размещение заказов</c:v>
                </c:pt>
                <c:pt idx="2">
                  <c:v>Федеральный бюджет и бюджет Союзного государства</c:v>
                </c:pt>
                <c:pt idx="3">
                  <c:v>Кадровая работа</c:v>
                </c:pt>
                <c:pt idx="4">
                  <c:v>Бюджет субъектов и местный бюджет</c:v>
                </c:pt>
                <c:pt idx="5">
                  <c:v>Смета</c:v>
                </c:pt>
                <c:pt idx="6">
                  <c:v>Правовое обеспечение</c:v>
                </c:pt>
                <c:pt idx="7">
                  <c:v>Федеральные реестры</c:v>
                </c:pt>
                <c:pt idx="8">
                  <c:v>Технологическая деятельность</c:v>
                </c:pt>
                <c:pt idx="9">
                  <c:v>Информациннно-техническое обеспечение</c:v>
                </c:pt>
                <c:pt idx="10">
                  <c:v>Доходы</c:v>
                </c:pt>
                <c:pt idx="11">
                  <c:v>Электронные расчеты</c:v>
                </c:pt>
                <c:pt idx="12">
                  <c:v>Бюджетный учет и отчетность</c:v>
                </c:pt>
                <c:pt idx="13">
                  <c:v>Внутренний контроль</c:v>
                </c:pt>
                <c:pt idx="14">
                  <c:v>Профилактика коррупционных правонарушений</c:v>
                </c:pt>
              </c:strCache>
            </c:strRef>
          </c:cat>
          <c:val>
            <c:numRef>
              <c:f>Лист1!$S$92:$S$106</c:f>
              <c:numCache>
                <c:formatCode>General</c:formatCode>
                <c:ptCount val="15"/>
                <c:pt idx="0">
                  <c:v>28.48</c:v>
                </c:pt>
                <c:pt idx="1">
                  <c:v>11.17</c:v>
                </c:pt>
                <c:pt idx="2">
                  <c:v>9.19</c:v>
                </c:pt>
                <c:pt idx="3">
                  <c:v>8.24</c:v>
                </c:pt>
                <c:pt idx="4">
                  <c:v>7.64</c:v>
                </c:pt>
                <c:pt idx="5">
                  <c:v>7.64</c:v>
                </c:pt>
                <c:pt idx="6">
                  <c:v>6.15</c:v>
                </c:pt>
                <c:pt idx="7">
                  <c:v>4.54</c:v>
                </c:pt>
                <c:pt idx="8">
                  <c:v>3.76</c:v>
                </c:pt>
                <c:pt idx="9">
                  <c:v>3.58</c:v>
                </c:pt>
                <c:pt idx="10">
                  <c:v>3.28</c:v>
                </c:pt>
                <c:pt idx="11">
                  <c:v>2.39</c:v>
                </c:pt>
                <c:pt idx="12">
                  <c:v>1.73</c:v>
                </c:pt>
                <c:pt idx="13">
                  <c:v>1.19</c:v>
                </c:pt>
                <c:pt idx="14">
                  <c:v>1.02</c:v>
                </c:pt>
              </c:numCache>
            </c:numRef>
          </c:val>
        </c:ser>
        <c:dLbls>
          <c:showLegendKey val="0"/>
          <c:showVal val="0"/>
          <c:showCatName val="0"/>
          <c:showSerName val="0"/>
          <c:showPercent val="0"/>
          <c:showBubbleSize val="0"/>
          <c:showLeaderLines val="1"/>
        </c:dLbls>
        <c:firstSliceAng val="0"/>
      </c:pieChart>
      <c:spPr>
        <a:noFill/>
        <a:ln w="25399">
          <a:noFill/>
        </a:ln>
      </c:spPr>
    </c:plotArea>
    <c:legend>
      <c:legendPos val="r"/>
      <c:layout>
        <c:manualLayout>
          <c:xMode val="edge"/>
          <c:yMode val="edge"/>
          <c:x val="0.7364475450340694"/>
          <c:y val="1.0122377734568019E-2"/>
          <c:w val="0.25812989988629276"/>
          <c:h val="0.96934203517958795"/>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977163173162905E-2"/>
          <c:y val="0.13889079082505992"/>
          <c:w val="0.46122886993696427"/>
          <c:h val="0.88330833977317824"/>
        </c:manualLayout>
      </c:layout>
      <c:pieChart>
        <c:varyColors val="1"/>
        <c:ser>
          <c:idx val="0"/>
          <c:order val="0"/>
          <c:spPr>
            <a:solidFill>
              <a:srgbClr val="9999FF"/>
            </a:solidFill>
            <a:ln w="12707">
              <a:solidFill>
                <a:srgbClr val="000000"/>
              </a:solidFill>
              <a:prstDash val="solid"/>
            </a:ln>
          </c:spPr>
          <c:explosion val="25"/>
          <c:dPt>
            <c:idx val="0"/>
            <c:bubble3D val="0"/>
            <c:explosion val="21"/>
            <c:spPr>
              <a:solidFill>
                <a:srgbClr val="CCFFFF"/>
              </a:solidFill>
              <a:ln w="12707">
                <a:solidFill>
                  <a:srgbClr val="000000"/>
                </a:solidFill>
                <a:prstDash val="solid"/>
              </a:ln>
            </c:spPr>
          </c:dPt>
          <c:dPt>
            <c:idx val="1"/>
            <c:bubble3D val="0"/>
            <c:explosion val="17"/>
            <c:spPr>
              <a:solidFill>
                <a:srgbClr val="FF8080"/>
              </a:solidFill>
              <a:ln w="12707">
                <a:solidFill>
                  <a:srgbClr val="000000"/>
                </a:solidFill>
                <a:prstDash val="solid"/>
              </a:ln>
            </c:spPr>
          </c:dPt>
          <c:dPt>
            <c:idx val="2"/>
            <c:bubble3D val="0"/>
            <c:spPr>
              <a:solidFill>
                <a:srgbClr val="800080"/>
              </a:solidFill>
              <a:ln w="12707">
                <a:solidFill>
                  <a:srgbClr val="000000"/>
                </a:solidFill>
                <a:prstDash val="solid"/>
              </a:ln>
            </c:spPr>
          </c:dPt>
          <c:dPt>
            <c:idx val="3"/>
            <c:bubble3D val="0"/>
            <c:spPr>
              <a:solidFill>
                <a:srgbClr val="FFFFCC"/>
              </a:solidFill>
              <a:ln w="12707">
                <a:solidFill>
                  <a:srgbClr val="000000"/>
                </a:solidFill>
                <a:prstDash val="solid"/>
              </a:ln>
            </c:spPr>
          </c:dPt>
          <c:dPt>
            <c:idx val="4"/>
            <c:bubble3D val="0"/>
            <c:spPr>
              <a:solidFill>
                <a:srgbClr val="1F497D">
                  <a:lumMod val="60000"/>
                  <a:lumOff val="40000"/>
                </a:srgbClr>
              </a:solidFill>
              <a:ln w="12707">
                <a:solidFill>
                  <a:srgbClr val="000000"/>
                </a:solidFill>
                <a:prstDash val="solid"/>
              </a:ln>
            </c:spPr>
          </c:dPt>
          <c:dPt>
            <c:idx val="5"/>
            <c:bubble3D val="0"/>
            <c:spPr>
              <a:solidFill>
                <a:srgbClr val="008080"/>
              </a:solidFill>
              <a:ln w="12707">
                <a:solidFill>
                  <a:srgbClr val="000000"/>
                </a:solidFill>
                <a:prstDash val="solid"/>
              </a:ln>
            </c:spPr>
          </c:dPt>
          <c:dPt>
            <c:idx val="6"/>
            <c:bubble3D val="0"/>
            <c:spPr>
              <a:solidFill>
                <a:srgbClr val="FFFF00"/>
              </a:solidFill>
              <a:ln w="12707">
                <a:solidFill>
                  <a:srgbClr val="000000"/>
                </a:solidFill>
                <a:prstDash val="solid"/>
              </a:ln>
            </c:spPr>
          </c:dPt>
          <c:dPt>
            <c:idx val="7"/>
            <c:bubble3D val="0"/>
            <c:spPr>
              <a:solidFill>
                <a:srgbClr val="99CC00"/>
              </a:solidFill>
              <a:ln w="12707">
                <a:solidFill>
                  <a:srgbClr val="000000"/>
                </a:solidFill>
                <a:prstDash val="solid"/>
              </a:ln>
            </c:spPr>
          </c:dPt>
          <c:dPt>
            <c:idx val="8"/>
            <c:bubble3D val="0"/>
          </c:dPt>
          <c:dPt>
            <c:idx val="9"/>
            <c:bubble3D val="0"/>
          </c:dPt>
          <c:dLbls>
            <c:dLbl>
              <c:idx val="0"/>
              <c:layout>
                <c:manualLayout>
                  <c:x val="-7.2861183210824413E-3"/>
                  <c:y val="-1.4008901061280384E-2"/>
                </c:manualLayout>
              </c:layout>
              <c:dLblPos val="bestFit"/>
              <c:showLegendKey val="0"/>
              <c:showVal val="1"/>
              <c:showCatName val="0"/>
              <c:showSerName val="0"/>
              <c:showPercent val="0"/>
              <c:showBubbleSize val="0"/>
            </c:dLbl>
            <c:dLbl>
              <c:idx val="1"/>
              <c:layout>
                <c:manualLayout>
                  <c:x val="5.1436298994481646E-3"/>
                  <c:y val="-1.454565461925955E-2"/>
                </c:manualLayout>
              </c:layout>
              <c:dLblPos val="bestFit"/>
              <c:showLegendKey val="0"/>
              <c:showVal val="1"/>
              <c:showCatName val="0"/>
              <c:showSerName val="0"/>
              <c:showPercent val="0"/>
              <c:showBubbleSize val="0"/>
            </c:dLbl>
            <c:dLbl>
              <c:idx val="2"/>
              <c:layout>
                <c:manualLayout>
                  <c:x val="1.3160439432605558E-2"/>
                  <c:y val="-6.0431848192888929E-3"/>
                </c:manualLayout>
              </c:layout>
              <c:dLblPos val="bestFit"/>
              <c:showLegendKey val="0"/>
              <c:showVal val="1"/>
              <c:showCatName val="0"/>
              <c:showSerName val="0"/>
              <c:showPercent val="0"/>
              <c:showBubbleSize val="0"/>
            </c:dLbl>
            <c:dLbl>
              <c:idx val="3"/>
              <c:layout>
                <c:manualLayout>
                  <c:x val="9.0313433812463199E-3"/>
                  <c:y val="1.3735511321954605E-3"/>
                </c:manualLayout>
              </c:layout>
              <c:dLblPos val="bestFit"/>
              <c:showLegendKey val="0"/>
              <c:showVal val="1"/>
              <c:showCatName val="0"/>
              <c:showSerName val="0"/>
              <c:showPercent val="0"/>
              <c:showBubbleSize val="0"/>
            </c:dLbl>
            <c:dLbl>
              <c:idx val="4"/>
              <c:layout>
                <c:manualLayout>
                  <c:x val="7.6329240008433845E-3"/>
                  <c:y val="4.0964444661808581E-3"/>
                </c:manualLayout>
              </c:layout>
              <c:dLblPos val="bestFit"/>
              <c:showLegendKey val="0"/>
              <c:showVal val="1"/>
              <c:showCatName val="0"/>
              <c:showSerName val="0"/>
              <c:showPercent val="0"/>
              <c:showBubbleSize val="0"/>
            </c:dLbl>
            <c:dLbl>
              <c:idx val="5"/>
              <c:layout>
                <c:manualLayout>
                  <c:x val="-1.0190561359885416E-2"/>
                  <c:y val="4.4148285812099716E-3"/>
                </c:manualLayout>
              </c:layout>
              <c:dLblPos val="bestFit"/>
              <c:showLegendKey val="0"/>
              <c:showVal val="1"/>
              <c:showCatName val="0"/>
              <c:showSerName val="0"/>
              <c:showPercent val="0"/>
              <c:showBubbleSize val="0"/>
            </c:dLbl>
            <c:dLbl>
              <c:idx val="6"/>
              <c:layout>
                <c:manualLayout>
                  <c:x val="-2.2615801833635063E-3"/>
                  <c:y val="-5.505208588056928E-3"/>
                </c:manualLayout>
              </c:layout>
              <c:dLblPos val="bestFit"/>
              <c:showLegendKey val="0"/>
              <c:showVal val="1"/>
              <c:showCatName val="0"/>
              <c:showSerName val="0"/>
              <c:showPercent val="0"/>
              <c:showBubbleSize val="0"/>
            </c:dLbl>
            <c:dLbl>
              <c:idx val="7"/>
              <c:layout>
                <c:manualLayout>
                  <c:x val="2.0048131102725731E-2"/>
                  <c:y val="-7.0712573971731793E-2"/>
                </c:manualLayout>
              </c:layout>
              <c:dLblPos val="bestFit"/>
              <c:showLegendKey val="0"/>
              <c:showVal val="1"/>
              <c:showCatName val="0"/>
              <c:showSerName val="0"/>
              <c:showPercent val="0"/>
              <c:showBubbleSize val="0"/>
            </c:dLbl>
            <c:dLbl>
              <c:idx val="8"/>
              <c:layout>
                <c:manualLayout>
                  <c:x val="3.6325023084025854E-2"/>
                  <c:y val="2.780358976867022E-4"/>
                </c:manualLayout>
              </c:layout>
              <c:dLblPos val="bestFit"/>
              <c:showLegendKey val="0"/>
              <c:showVal val="1"/>
              <c:showCatName val="0"/>
              <c:showSerName val="0"/>
              <c:showPercent val="0"/>
              <c:showBubbleSize val="0"/>
            </c:dLbl>
            <c:dLbl>
              <c:idx val="9"/>
              <c:layout>
                <c:manualLayout>
                  <c:x val="5.1109850880828263E-2"/>
                  <c:y val="4.1989533916956034E-2"/>
                </c:manualLayout>
              </c:layout>
              <c:dLblPos val="bestFit"/>
              <c:showLegendKey val="0"/>
              <c:showVal val="1"/>
              <c:showCatName val="0"/>
              <c:showSerName val="0"/>
              <c:showPercent val="0"/>
              <c:showBubbleSize val="0"/>
            </c:dLbl>
            <c:dLbl>
              <c:idx val="10"/>
              <c:layout>
                <c:manualLayout>
                  <c:x val="5.6474337028941619E-2"/>
                  <c:y val="-1.6688796253409459E-2"/>
                </c:manualLayout>
              </c:layout>
              <c:dLblPos val="bestFit"/>
              <c:showLegendKey val="0"/>
              <c:showVal val="1"/>
              <c:showCatName val="0"/>
              <c:showSerName val="0"/>
              <c:showPercent val="0"/>
              <c:showBubbleSize val="0"/>
            </c:dLbl>
            <c:dLbl>
              <c:idx val="11"/>
              <c:layout>
                <c:manualLayout>
                  <c:x val="3.7295622328145435E-2"/>
                  <c:y val="3.1998010052665025E-2"/>
                </c:manualLayout>
              </c:layout>
              <c:dLblPos val="bestFit"/>
              <c:showLegendKey val="0"/>
              <c:showVal val="1"/>
              <c:showCatName val="0"/>
              <c:showSerName val="0"/>
              <c:showPercent val="0"/>
              <c:showBubbleSize val="0"/>
            </c:dLbl>
            <c:dLbl>
              <c:idx val="12"/>
              <c:layout>
                <c:manualLayout>
                  <c:x val="1.3830156744425639E-2"/>
                  <c:y val="-2.4216246132172776E-2"/>
                </c:manualLayout>
              </c:layout>
              <c:dLblPos val="bestFit"/>
              <c:showLegendKey val="0"/>
              <c:showVal val="1"/>
              <c:showCatName val="0"/>
              <c:showSerName val="0"/>
              <c:showPercent val="0"/>
              <c:showBubbleSize val="0"/>
            </c:dLbl>
            <c:dLbl>
              <c:idx val="13"/>
              <c:layout>
                <c:manualLayout>
                  <c:x val="1.4518066082861138E-2"/>
                  <c:y val="-1.958139417876277E-2"/>
                </c:manualLayout>
              </c:layout>
              <c:dLblPos val="bestFit"/>
              <c:showLegendKey val="0"/>
              <c:showVal val="1"/>
              <c:showCatName val="0"/>
              <c:showSerName val="0"/>
              <c:showPercent val="0"/>
              <c:showBubbleSize val="0"/>
            </c:dLbl>
            <c:dLbl>
              <c:idx val="14"/>
              <c:layout>
                <c:manualLayout>
                  <c:x val="1.1962265931112716E-2"/>
                  <c:y val="-2.9682542113372807E-2"/>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414">
                <a:noFill/>
              </a:ln>
            </c:spPr>
            <c:txPr>
              <a:bodyPr/>
              <a:lstStyle/>
              <a:p>
                <a:pPr>
                  <a:defRPr sz="8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Лист1!$T$158:$T$167</c:f>
              <c:strCache>
                <c:ptCount val="10"/>
                <c:pt idx="0">
                  <c:v>Бюджет субъектов и местный бюджет</c:v>
                </c:pt>
                <c:pt idx="1">
                  <c:v>Федеральный бюджет и бюджет Союзного государства</c:v>
                </c:pt>
                <c:pt idx="2">
                  <c:v>Электронные расчеты</c:v>
                </c:pt>
                <c:pt idx="3">
                  <c:v>Административно-хозяйственное обеспечение</c:v>
                </c:pt>
                <c:pt idx="4">
                  <c:v>Федеральные реестры</c:v>
                </c:pt>
                <c:pt idx="5">
                  <c:v>Технологическая деятельность</c:v>
                </c:pt>
                <c:pt idx="6">
                  <c:v>Внутренний контроль</c:v>
                </c:pt>
                <c:pt idx="7">
                  <c:v>Информациннно-техническое обеспечение</c:v>
                </c:pt>
                <c:pt idx="8">
                  <c:v>Доходы</c:v>
                </c:pt>
                <c:pt idx="9">
                  <c:v>Бюджетный учет и отчетность</c:v>
                </c:pt>
              </c:strCache>
            </c:strRef>
          </c:cat>
          <c:val>
            <c:numRef>
              <c:f>Лист1!$U$158:$U$167</c:f>
              <c:numCache>
                <c:formatCode>General</c:formatCode>
                <c:ptCount val="10"/>
                <c:pt idx="0">
                  <c:v>39.869999999999997</c:v>
                </c:pt>
                <c:pt idx="1">
                  <c:v>36.51</c:v>
                </c:pt>
                <c:pt idx="2">
                  <c:v>9.14</c:v>
                </c:pt>
                <c:pt idx="3">
                  <c:v>6.62</c:v>
                </c:pt>
                <c:pt idx="4">
                  <c:v>4.62</c:v>
                </c:pt>
                <c:pt idx="5">
                  <c:v>1.43</c:v>
                </c:pt>
                <c:pt idx="6">
                  <c:v>1.2</c:v>
                </c:pt>
                <c:pt idx="7">
                  <c:v>0.54</c:v>
                </c:pt>
                <c:pt idx="8">
                  <c:v>0.05</c:v>
                </c:pt>
                <c:pt idx="9">
                  <c:v>0.02</c:v>
                </c:pt>
              </c:numCache>
            </c:numRef>
          </c:val>
        </c:ser>
        <c:dLbls>
          <c:showLegendKey val="0"/>
          <c:showVal val="0"/>
          <c:showCatName val="0"/>
          <c:showSerName val="0"/>
          <c:showPercent val="0"/>
          <c:showBubbleSize val="0"/>
          <c:showLeaderLines val="1"/>
        </c:dLbls>
        <c:firstSliceAng val="0"/>
      </c:pieChart>
      <c:spPr>
        <a:noFill/>
        <a:ln w="25414">
          <a:noFill/>
        </a:ln>
      </c:spPr>
    </c:plotArea>
    <c:legend>
      <c:legendPos val="r"/>
      <c:layout>
        <c:manualLayout>
          <c:xMode val="edge"/>
          <c:yMode val="edge"/>
          <c:x val="0.69413407200321453"/>
          <c:y val="7.2298441919136833E-4"/>
          <c:w val="0.3030458163413613"/>
          <c:h val="0.98044830268792582"/>
        </c:manualLayout>
      </c:layout>
      <c:overlay val="0"/>
      <c:spPr>
        <a:solidFill>
          <a:srgbClr val="FFFFFF"/>
        </a:solidFill>
        <a:ln w="3177">
          <a:solidFill>
            <a:srgbClr val="000000"/>
          </a:solidFill>
          <a:prstDash val="solid"/>
        </a:ln>
      </c:spPr>
      <c:txPr>
        <a:bodyPr/>
        <a:lstStyle/>
        <a:p>
          <a:pPr>
            <a:defRPr sz="8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ysClr val="window" lastClr="FFFFFF"/>
    </a:solidFill>
    <a:ln w="3177">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sz="1200"/>
              <a:t>Способы передачи информации между УФК и КСО субъектов Российской</a:t>
            </a:r>
            <a:r>
              <a:rPr lang="ru-RU" sz="1200" baseline="0"/>
              <a:t> Федерации </a:t>
            </a:r>
            <a:r>
              <a:rPr lang="ru-RU" sz="1200"/>
              <a:t>в 2016 году</a:t>
            </a:r>
          </a:p>
        </c:rich>
      </c:tx>
      <c:layout>
        <c:manualLayout>
          <c:xMode val="edge"/>
          <c:yMode val="edge"/>
          <c:x val="0.12366504033621564"/>
          <c:y val="3.4363091646942953E-3"/>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6863406408094436"/>
          <c:y val="0.25056433408577877"/>
          <c:w val="0.66441821247892074"/>
          <c:h val="0.35214446952595935"/>
        </c:manualLayout>
      </c:layout>
      <c:pie3DChart>
        <c:varyColors val="1"/>
        <c:ser>
          <c:idx val="2"/>
          <c:order val="2"/>
          <c:spPr>
            <a:ln>
              <a:solidFill>
                <a:schemeClr val="tx1"/>
              </a:solidFill>
            </a:ln>
          </c:spPr>
          <c:dLbls>
            <c:dLbl>
              <c:idx val="0"/>
              <c:layout>
                <c:manualLayout>
                  <c:x val="-1.0834489359875542E-2"/>
                  <c:y val="-1.7179996035188765E-2"/>
                </c:manualLayout>
              </c:layout>
              <c:tx>
                <c:rich>
                  <a:bodyPr/>
                  <a:lstStyle/>
                  <a:p>
                    <a:r>
                      <a:rPr lang="en-US" sz="1200"/>
                      <a:t>1%</a:t>
                    </a:r>
                    <a:endParaRPr lang="en-US"/>
                  </a:p>
                </c:rich>
              </c:tx>
              <c:showLegendKey val="0"/>
              <c:showVal val="1"/>
              <c:showCatName val="0"/>
              <c:showSerName val="0"/>
              <c:showPercent val="0"/>
              <c:showBubbleSize val="0"/>
            </c:dLbl>
            <c:dLbl>
              <c:idx val="1"/>
              <c:layout>
                <c:manualLayout>
                  <c:x val="-0.18422505848235091"/>
                  <c:y val="2.3577842243403787E-3"/>
                </c:manualLayout>
              </c:layout>
              <c:tx>
                <c:rich>
                  <a:bodyPr/>
                  <a:lstStyle/>
                  <a:p>
                    <a:r>
                      <a:rPr lang="ru-RU" sz="1200"/>
                      <a:t>38</a:t>
                    </a:r>
                    <a:r>
                      <a:rPr lang="en-US" sz="1200"/>
                      <a:t>%</a:t>
                    </a:r>
                    <a:endParaRPr lang="en-US"/>
                  </a:p>
                </c:rich>
              </c:tx>
              <c:showLegendKey val="0"/>
              <c:showVal val="1"/>
              <c:showCatName val="0"/>
              <c:showSerName val="0"/>
              <c:showPercent val="0"/>
              <c:showBubbleSize val="0"/>
            </c:dLbl>
            <c:dLbl>
              <c:idx val="2"/>
              <c:layout>
                <c:manualLayout>
                  <c:x val="-5.2890188874422588E-2"/>
                  <c:y val="-0.18656799878413027"/>
                </c:manualLayout>
              </c:layout>
              <c:tx>
                <c:rich>
                  <a:bodyPr/>
                  <a:lstStyle/>
                  <a:p>
                    <a:r>
                      <a:rPr lang="en-US" sz="1200"/>
                      <a:t>1</a:t>
                    </a:r>
                    <a:r>
                      <a:rPr lang="ru-RU" sz="1200"/>
                      <a:t>8</a:t>
                    </a:r>
                    <a:r>
                      <a:rPr lang="en-US" sz="1200"/>
                      <a:t>%</a:t>
                    </a:r>
                    <a:endParaRPr lang="en-US"/>
                  </a:p>
                </c:rich>
              </c:tx>
              <c:showLegendKey val="0"/>
              <c:showVal val="1"/>
              <c:showCatName val="0"/>
              <c:showSerName val="0"/>
              <c:showPercent val="0"/>
              <c:showBubbleSize val="0"/>
            </c:dLbl>
            <c:dLbl>
              <c:idx val="3"/>
              <c:layout>
                <c:manualLayout>
                  <c:x val="0.18698489498509702"/>
                  <c:y val="1.2327669567619836E-3"/>
                </c:manualLayout>
              </c:layout>
              <c:tx>
                <c:rich>
                  <a:bodyPr/>
                  <a:lstStyle/>
                  <a:p>
                    <a:r>
                      <a:rPr lang="en-US" sz="1200"/>
                      <a:t>4</a:t>
                    </a:r>
                    <a:r>
                      <a:rPr lang="ru-RU" sz="1200"/>
                      <a:t>3</a:t>
                    </a:r>
                    <a:r>
                      <a:rPr lang="en-US" sz="1200"/>
                      <a:t>%</a:t>
                    </a:r>
                    <a:endParaRPr lang="en-US"/>
                  </a:p>
                </c:rich>
              </c:tx>
              <c:showLegendKey val="0"/>
              <c:showVal val="1"/>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'диаграммы прил 2'!$B$31:$B$34</c:f>
              <c:strCache>
                <c:ptCount val="4"/>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strCache>
            </c:strRef>
          </c:cat>
          <c:val>
            <c:numRef>
              <c:f>'диаграммы прил 2'!$C$31:$C$34</c:f>
              <c:numCache>
                <c:formatCode>General</c:formatCode>
                <c:ptCount val="4"/>
                <c:pt idx="0">
                  <c:v>1</c:v>
                </c:pt>
                <c:pt idx="1">
                  <c:v>32</c:v>
                </c:pt>
                <c:pt idx="2">
                  <c:v>15</c:v>
                </c:pt>
                <c:pt idx="3">
                  <c:v>37</c:v>
                </c:pt>
              </c:numCache>
            </c:numRef>
          </c:val>
        </c:ser>
        <c:ser>
          <c:idx val="3"/>
          <c:order val="3"/>
          <c:cat>
            <c:strRef>
              <c:f>'диаграммы прил 2'!$B$31:$B$34</c:f>
              <c:strCache>
                <c:ptCount val="4"/>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strCache>
            </c:strRef>
          </c:cat>
          <c:val>
            <c:numRef>
              <c:f>'диаграммы прил 2'!$D$31:$D$34</c:f>
              <c:numCache>
                <c:formatCode>0%</c:formatCode>
                <c:ptCount val="4"/>
                <c:pt idx="0">
                  <c:v>0.01</c:v>
                </c:pt>
                <c:pt idx="1">
                  <c:v>0.38</c:v>
                </c:pt>
                <c:pt idx="2">
                  <c:v>0.18</c:v>
                </c:pt>
                <c:pt idx="3">
                  <c:v>0.43</c:v>
                </c:pt>
              </c:numCache>
            </c:numRef>
          </c:val>
        </c:ser>
        <c:ser>
          <c:idx val="0"/>
          <c:order val="0"/>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dLbl>
              <c:idx val="0"/>
              <c:layout>
                <c:manualLayout>
                  <c:x val="-0.16529112613031297"/>
                  <c:y val="2.3462825440658782E-3"/>
                </c:manualLayout>
              </c:layout>
              <c:tx>
                <c:rich>
                  <a:bodyPr/>
                  <a:lstStyle/>
                  <a:p>
                    <a:r>
                      <a:rPr lang="ru-RU"/>
                      <a:t>25%</a:t>
                    </a:r>
                  </a:p>
                </c:rich>
              </c:tx>
              <c:dLblPos val="bestFit"/>
              <c:showLegendKey val="0"/>
              <c:showVal val="0"/>
              <c:showCatName val="0"/>
              <c:showSerName val="0"/>
              <c:showPercent val="0"/>
              <c:showBubbleSize val="0"/>
            </c:dLbl>
            <c:dLbl>
              <c:idx val="1"/>
              <c:tx>
                <c:rich>
                  <a:bodyPr/>
                  <a:lstStyle/>
                  <a:p>
                    <a:r>
                      <a:rPr lang="ru-RU"/>
                      <a:t>28%</a:t>
                    </a:r>
                  </a:p>
                </c:rich>
              </c:tx>
              <c:dLblPos val="bestFit"/>
              <c:showLegendKey val="0"/>
              <c:showVal val="0"/>
              <c:showCatName val="0"/>
              <c:showSerName val="0"/>
              <c:showPercent val="0"/>
              <c:showBubbleSize val="0"/>
            </c:dLbl>
            <c:dLbl>
              <c:idx val="2"/>
              <c:layout>
                <c:manualLayout>
                  <c:x val="0.11857125785077877"/>
                  <c:y val="-0.11554427734447886"/>
                </c:manualLayout>
              </c:layout>
              <c:dLblPos val="bestFit"/>
              <c:showLegendKey val="0"/>
              <c:showVal val="0"/>
              <c:showCatName val="0"/>
              <c:showSerName val="0"/>
              <c:showPercent val="1"/>
              <c:showBubbleSize val="0"/>
            </c:dLbl>
            <c:dLbl>
              <c:idx val="3"/>
              <c:tx>
                <c:rich>
                  <a:bodyPr/>
                  <a:lstStyle/>
                  <a:p>
                    <a:r>
                      <a:rPr lang="ru-RU"/>
                      <a:t>29%</a:t>
                    </a:r>
                  </a:p>
                </c:rich>
              </c:tx>
              <c:dLblPos val="bestFit"/>
              <c:showLegendKey val="0"/>
              <c:showVal val="0"/>
              <c:showCatName val="0"/>
              <c:showSerName val="0"/>
              <c:showPercent val="0"/>
              <c:showBubbleSize val="0"/>
            </c:dLbl>
            <c:dLbl>
              <c:idx val="4"/>
              <c:delete val="1"/>
            </c:dLbl>
            <c:numFmt formatCode="0%" sourceLinked="0"/>
            <c:spPr>
              <a:noFill/>
              <a:ln w="25400">
                <a:noFill/>
              </a:ln>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dLbls>
          <c:cat>
            <c:strRef>
              <c:f>'V:\exch2\Отдел 6.3\Методология\Взаимодействие с КСО\Типовое соглашение с КСО\Мониторинг\2015\31.12.2014\[Приложения № 1, 2, 3.4кв 2014г..XLS]Приложение №3'!$A$42:$A$46</c:f>
              <c:strCache>
                <c:ptCount val="5"/>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pt idx="4">
                  <c:v>Количество КСО, использующих Портал АС ФК</c:v>
                </c:pt>
              </c:strCache>
            </c:strRef>
          </c:cat>
          <c:val>
            <c:numRef>
              <c:f>'V:\exch2\Отдел 6.3\Методология\Взаимодействие с КСО\Типовое соглашение с КСО\Мониторинг\2015\31.12.2014\[Приложения № 1, 2, 3.4кв 2014г..XLS]Приложение №3'!$B$42:$B$46</c:f>
              <c:numCache>
                <c:formatCode>General</c:formatCode>
                <c:ptCount val="5"/>
                <c:pt idx="0">
                  <c:v>21</c:v>
                </c:pt>
                <c:pt idx="1">
                  <c:v>23</c:v>
                </c:pt>
                <c:pt idx="2">
                  <c:v>15</c:v>
                </c:pt>
                <c:pt idx="3">
                  <c:v>24</c:v>
                </c:pt>
                <c:pt idx="4">
                  <c:v>0</c:v>
                </c:pt>
              </c:numCache>
            </c:numRef>
          </c:val>
        </c:ser>
        <c:ser>
          <c:idx val="1"/>
          <c:order val="1"/>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numFmt formatCode="0%" sourceLinked="0"/>
            <c:spPr>
              <a:noFill/>
              <a:ln w="25400">
                <a:noFill/>
              </a:ln>
            </c:spPr>
            <c:txPr>
              <a:bodyPr/>
              <a:lstStyle/>
              <a:p>
                <a:pPr>
                  <a:defRPr sz="950"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dLbls>
          <c:cat>
            <c:strRef>
              <c:f>'V:\exch2\Отдел 6.3\Методология\Взаимодействие с КСО\Типовое соглашение с КСО\Мониторинг\2015\31.12.2014\[Приложения № 1, 2, 3.4кв 2014г..XLS]Приложение №3'!$A$42:$A$46</c:f>
              <c:strCache>
                <c:ptCount val="5"/>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pt idx="4">
                  <c:v>Количество КСО, использующих Портал АС ФК</c:v>
                </c:pt>
              </c:strCache>
            </c:strRef>
          </c:cat>
          <c:val>
            <c:numRef>
              <c:f>'V:\exch2\Отдел 6.3\Методология\Взаимодействие с КСО\Типовое соглашение с КСО\Мониторинг\2015\31.12.2014\[Приложения № 1, 2, 3.4кв 2014г..XLS]Приложение №3'!$C$42:$C$46</c:f>
              <c:numCache>
                <c:formatCode>General</c:formatCode>
                <c:ptCount val="5"/>
                <c:pt idx="0">
                  <c:v>0.25301204819277107</c:v>
                </c:pt>
                <c:pt idx="1">
                  <c:v>0.27710843373493976</c:v>
                </c:pt>
                <c:pt idx="2">
                  <c:v>0.18072289156626506</c:v>
                </c:pt>
                <c:pt idx="3">
                  <c:v>0.28915662650602408</c:v>
                </c:pt>
                <c:pt idx="4">
                  <c:v>0</c:v>
                </c:pt>
              </c:numCache>
            </c:numRef>
          </c:val>
        </c:ser>
        <c:dLbls>
          <c:showLegendKey val="0"/>
          <c:showVal val="0"/>
          <c:showCatName val="0"/>
          <c:showSerName val="0"/>
          <c:showPercent val="0"/>
          <c:showBubbleSize val="0"/>
          <c:showLeaderLines val="1"/>
        </c:dLbls>
      </c:pie3DChart>
      <c:spPr>
        <a:noFill/>
        <a:ln w="25400">
          <a:noFill/>
        </a:ln>
      </c:spPr>
    </c:plotArea>
    <c:legend>
      <c:legendPos val="r"/>
      <c:legendEntry>
        <c:idx val="4"/>
        <c:delete val="1"/>
      </c:legendEntry>
      <c:layout>
        <c:manualLayout>
          <c:xMode val="edge"/>
          <c:yMode val="edge"/>
          <c:x val="0.12478914062122602"/>
          <c:y val="0.71344808543936067"/>
          <c:w val="0.78813162575710038"/>
          <c:h val="0.28655182924879619"/>
        </c:manualLayout>
      </c:layout>
      <c:overlay val="0"/>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sz="1200"/>
              <a:t>Способы передачи информации между УФК и КСО муниципальных образований в </a:t>
            </a:r>
            <a:r>
              <a:rPr lang="ru-RU" sz="1200" baseline="0"/>
              <a:t>2016 году</a:t>
            </a:r>
            <a:endParaRPr lang="ru-RU" sz="1200"/>
          </a:p>
        </c:rich>
      </c:tx>
      <c:layout>
        <c:manualLayout>
          <c:xMode val="edge"/>
          <c:yMode val="edge"/>
          <c:x val="0.14403793275524962"/>
          <c:y val="3.6985394348007045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
          <c:y val="0.42280923661138103"/>
          <c:w val="0.5924676784710512"/>
          <c:h val="0.33811330764505498"/>
        </c:manualLayout>
      </c:layout>
      <c:pie3DChart>
        <c:varyColors val="1"/>
        <c:ser>
          <c:idx val="2"/>
          <c:order val="2"/>
          <c:spPr>
            <a:ln>
              <a:solidFill>
                <a:schemeClr val="tx1"/>
              </a:solidFill>
            </a:ln>
          </c:spPr>
          <c:dLbls>
            <c:dLbl>
              <c:idx val="0"/>
              <c:layout>
                <c:manualLayout>
                  <c:x val="2.5415772658012883E-2"/>
                  <c:y val="-5.5360715045754419E-2"/>
                </c:manualLayout>
              </c:layout>
              <c:tx>
                <c:rich>
                  <a:bodyPr/>
                  <a:lstStyle/>
                  <a:p>
                    <a:r>
                      <a:rPr lang="en-US"/>
                      <a:t>1</a:t>
                    </a:r>
                    <a:r>
                      <a:rPr lang="ru-RU"/>
                      <a:t>%</a:t>
                    </a:r>
                    <a:endParaRPr lang="en-US"/>
                  </a:p>
                </c:rich>
              </c:tx>
              <c:showLegendKey val="0"/>
              <c:showVal val="1"/>
              <c:showCatName val="0"/>
              <c:showSerName val="0"/>
              <c:showPercent val="0"/>
              <c:showBubbleSize val="0"/>
            </c:dLbl>
            <c:dLbl>
              <c:idx val="1"/>
              <c:tx>
                <c:rich>
                  <a:bodyPr/>
                  <a:lstStyle/>
                  <a:p>
                    <a:r>
                      <a:rPr lang="ru-RU"/>
                      <a:t>1</a:t>
                    </a:r>
                    <a:r>
                      <a:rPr lang="en-US"/>
                      <a:t>3</a:t>
                    </a:r>
                    <a:r>
                      <a:rPr lang="ru-RU"/>
                      <a:t>%</a:t>
                    </a:r>
                    <a:endParaRPr lang="en-US"/>
                  </a:p>
                </c:rich>
              </c:tx>
              <c:showLegendKey val="0"/>
              <c:showVal val="1"/>
              <c:showCatName val="0"/>
              <c:showSerName val="0"/>
              <c:showPercent val="0"/>
              <c:showBubbleSize val="0"/>
            </c:dLbl>
            <c:dLbl>
              <c:idx val="2"/>
              <c:layout>
                <c:manualLayout>
                  <c:x val="4.6584311263238282E-2"/>
                  <c:y val="-0.1891259133148897"/>
                </c:manualLayout>
              </c:layout>
              <c:tx>
                <c:rich>
                  <a:bodyPr/>
                  <a:lstStyle/>
                  <a:p>
                    <a:r>
                      <a:rPr lang="ru-RU"/>
                      <a:t>7</a:t>
                    </a:r>
                    <a:r>
                      <a:rPr lang="en-US"/>
                      <a:t>6</a:t>
                    </a:r>
                    <a:r>
                      <a:rPr lang="ru-RU"/>
                      <a:t>%</a:t>
                    </a:r>
                    <a:endParaRPr lang="en-US"/>
                  </a:p>
                </c:rich>
              </c:tx>
              <c:showLegendKey val="0"/>
              <c:showVal val="1"/>
              <c:showCatName val="0"/>
              <c:showSerName val="0"/>
              <c:showPercent val="0"/>
              <c:showBubbleSize val="0"/>
            </c:dLbl>
            <c:dLbl>
              <c:idx val="3"/>
              <c:tx>
                <c:rich>
                  <a:bodyPr/>
                  <a:lstStyle/>
                  <a:p>
                    <a:r>
                      <a:rPr lang="en-US"/>
                      <a:t>10</a:t>
                    </a:r>
                    <a:r>
                      <a:rPr lang="ru-RU"/>
                      <a:t>%</a:t>
                    </a:r>
                    <a:endParaRPr lang="en-US"/>
                  </a:p>
                </c:rich>
              </c:tx>
              <c:showLegendKey val="0"/>
              <c:showVal val="1"/>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dLbls>
          <c:cat>
            <c:strRef>
              <c:f>'[Отчет_II полугодие 2016.xlsx]диаграммы прил 2'!$B$91:$B$94</c:f>
              <c:strCache>
                <c:ptCount val="4"/>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strCache>
            </c:strRef>
          </c:cat>
          <c:val>
            <c:numRef>
              <c:f>'[Отчет_II полугодие 2016.xlsx]диаграммы прил 2'!$C$91:$C$94</c:f>
              <c:numCache>
                <c:formatCode>General</c:formatCode>
                <c:ptCount val="4"/>
                <c:pt idx="0">
                  <c:v>3</c:v>
                </c:pt>
                <c:pt idx="1">
                  <c:v>265</c:v>
                </c:pt>
                <c:pt idx="2">
                  <c:v>1478</c:v>
                </c:pt>
                <c:pt idx="3">
                  <c:v>190</c:v>
                </c:pt>
              </c:numCache>
            </c:numRef>
          </c:val>
        </c:ser>
        <c:ser>
          <c:idx val="0"/>
          <c:order val="0"/>
          <c:spPr>
            <a:solidFill>
              <a:srgbClr val="9999FF"/>
            </a:solidFill>
            <a:ln w="12700">
              <a:solidFill>
                <a:schemeClr val="accent2">
                  <a:lumMod val="75000"/>
                </a:schemeClr>
              </a:solidFill>
              <a:prstDash val="solid"/>
            </a:ln>
          </c:spPr>
          <c:dPt>
            <c:idx val="0"/>
            <c:bubble3D val="0"/>
          </c:dPt>
          <c:dPt>
            <c:idx val="1"/>
            <c:bubble3D val="0"/>
            <c:spPr>
              <a:solidFill>
                <a:srgbClr val="993366"/>
              </a:solidFill>
              <a:ln w="12700">
                <a:solidFill>
                  <a:schemeClr val="accent2">
                    <a:lumMod val="75000"/>
                  </a:schemeClr>
                </a:solidFill>
                <a:prstDash val="solid"/>
              </a:ln>
            </c:spPr>
          </c:dPt>
          <c:dPt>
            <c:idx val="2"/>
            <c:bubble3D val="0"/>
            <c:spPr>
              <a:solidFill>
                <a:srgbClr val="FFFFCC"/>
              </a:solidFill>
              <a:ln w="12700">
                <a:solidFill>
                  <a:schemeClr val="accent2">
                    <a:lumMod val="75000"/>
                  </a:schemeClr>
                </a:solidFill>
                <a:prstDash val="solid"/>
              </a:ln>
            </c:spPr>
          </c:dPt>
          <c:dPt>
            <c:idx val="3"/>
            <c:bubble3D val="0"/>
            <c:spPr>
              <a:solidFill>
                <a:srgbClr val="CCFFFF"/>
              </a:solidFill>
              <a:ln w="12700">
                <a:solidFill>
                  <a:schemeClr val="accent2">
                    <a:lumMod val="75000"/>
                  </a:schemeClr>
                </a:solidFill>
                <a:prstDash val="solid"/>
              </a:ln>
            </c:spPr>
          </c:dPt>
          <c:dPt>
            <c:idx val="4"/>
            <c:bubble3D val="0"/>
            <c:spPr>
              <a:solidFill>
                <a:srgbClr val="660066"/>
              </a:solidFill>
              <a:ln w="12700">
                <a:solidFill>
                  <a:schemeClr val="accent2">
                    <a:lumMod val="75000"/>
                  </a:schemeClr>
                </a:solidFill>
                <a:prstDash val="solid"/>
              </a:ln>
            </c:spPr>
          </c:dPt>
          <c:dLbls>
            <c:dLbl>
              <c:idx val="0"/>
              <c:layout>
                <c:manualLayout>
                  <c:x val="-0.11275086866015811"/>
                  <c:y val="2.4035240080284081E-2"/>
                </c:manualLayout>
              </c:layout>
              <c:tx>
                <c:rich>
                  <a:bodyPr/>
                  <a:lstStyle/>
                  <a:p>
                    <a:r>
                      <a:rPr lang="ru-RU" sz="1100" b="1">
                        <a:latin typeface="Times New Roman" pitchFamily="18" charset="0"/>
                        <a:cs typeface="Times New Roman" pitchFamily="18" charset="0"/>
                      </a:rPr>
                      <a:t>17%</a:t>
                    </a:r>
                    <a:endParaRPr lang="en-US"/>
                  </a:p>
                </c:rich>
              </c:tx>
              <c:dLblPos val="bestFit"/>
              <c:showLegendKey val="0"/>
              <c:showVal val="0"/>
              <c:showCatName val="0"/>
              <c:showSerName val="0"/>
              <c:showPercent val="0"/>
              <c:showBubbleSize val="0"/>
            </c:dLbl>
            <c:dLbl>
              <c:idx val="1"/>
              <c:layout>
                <c:manualLayout>
                  <c:x val="-0.14205385496228265"/>
                  <c:y val="-9.0913617415470119E-2"/>
                </c:manualLayout>
              </c:layout>
              <c:tx>
                <c:rich>
                  <a:bodyPr/>
                  <a:lstStyle/>
                  <a:p>
                    <a:r>
                      <a:rPr lang="ru-RU" sz="1100" b="1">
                        <a:latin typeface="Times New Roman" pitchFamily="18" charset="0"/>
                        <a:cs typeface="Times New Roman" pitchFamily="18" charset="0"/>
                      </a:rPr>
                      <a:t>23%</a:t>
                    </a:r>
                    <a:endParaRPr lang="en-US"/>
                  </a:p>
                </c:rich>
              </c:tx>
              <c:dLblPos val="bestFit"/>
              <c:showLegendKey val="0"/>
              <c:showVal val="0"/>
              <c:showCatName val="0"/>
              <c:showSerName val="0"/>
              <c:showPercent val="0"/>
              <c:showBubbleSize val="0"/>
            </c:dLbl>
            <c:dLbl>
              <c:idx val="2"/>
              <c:layout>
                <c:manualLayout>
                  <c:x val="0.13478916315898962"/>
                  <c:y val="-0.14021695426369576"/>
                </c:manualLayout>
              </c:layout>
              <c:tx>
                <c:rich>
                  <a:bodyPr/>
                  <a:lstStyle/>
                  <a:p>
                    <a:r>
                      <a:rPr lang="ru-RU" sz="1100" b="1">
                        <a:latin typeface="Times New Roman" pitchFamily="18" charset="0"/>
                        <a:cs typeface="Times New Roman" pitchFamily="18" charset="0"/>
                      </a:rPr>
                      <a:t>53%</a:t>
                    </a:r>
                    <a:endParaRPr lang="en-US"/>
                  </a:p>
                </c:rich>
              </c:tx>
              <c:dLblPos val="bestFit"/>
              <c:showLegendKey val="0"/>
              <c:showVal val="0"/>
              <c:showCatName val="0"/>
              <c:showSerName val="0"/>
              <c:showPercent val="0"/>
              <c:showBubbleSize val="0"/>
            </c:dLbl>
            <c:dLbl>
              <c:idx val="3"/>
              <c:layout>
                <c:manualLayout>
                  <c:x val="4.5582405647569914E-2"/>
                  <c:y val="3.8902655550409143E-2"/>
                </c:manualLayout>
              </c:layout>
              <c:tx>
                <c:rich>
                  <a:bodyPr/>
                  <a:lstStyle/>
                  <a:p>
                    <a:pPr>
                      <a:defRPr lang="ru-RU" sz="1100" b="1">
                        <a:latin typeface="Times New Roman" pitchFamily="18" charset="0"/>
                        <a:cs typeface="Times New Roman" pitchFamily="18" charset="0"/>
                      </a:defRPr>
                    </a:pPr>
                    <a:r>
                      <a:rPr lang="ru-RU" sz="1100" b="1">
                        <a:latin typeface="Times New Roman" pitchFamily="18" charset="0"/>
                        <a:cs typeface="Times New Roman" pitchFamily="18" charset="0"/>
                      </a:rPr>
                      <a:t>7%</a:t>
                    </a:r>
                    <a:endParaRPr lang="en-US"/>
                  </a:p>
                </c:rich>
              </c:tx>
              <c:spPr/>
              <c:dLblPos val="bestFit"/>
              <c:showLegendKey val="0"/>
              <c:showVal val="0"/>
              <c:showCatName val="0"/>
              <c:showSerName val="0"/>
              <c:showPercent val="0"/>
              <c:showBubbleSize val="0"/>
            </c:dLbl>
            <c:dLbl>
              <c:idx val="4"/>
              <c:delete val="1"/>
            </c:dLbl>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'V:\exch2\Отдел 6.3\Методология\Взаимодействие с КСО\Типовое соглашение с КСО\Мониторинг\2015\31.12.2014\[Приложения № 1, 2, 3.4кв 2014г..XLS]Приложение №3'!$A$123:$A$127</c:f>
              <c:strCache>
                <c:ptCount val="5"/>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pt idx="4">
                  <c:v>Количество КСО, использующих АСФК</c:v>
                </c:pt>
              </c:strCache>
            </c:strRef>
          </c:cat>
          <c:val>
            <c:numRef>
              <c:f>'V:\exch2\Отдел 6.3\Методология\Взаимодействие с КСО\Типовое соглашение с КСО\Мониторинг\2015\31.12.2014\[Приложения № 1, 2, 3.4кв 2014г..XLS]Приложение №3'!$B$123:$B$127</c:f>
              <c:numCache>
                <c:formatCode>General</c:formatCode>
                <c:ptCount val="5"/>
                <c:pt idx="0">
                  <c:v>237</c:v>
                </c:pt>
                <c:pt idx="1">
                  <c:v>323</c:v>
                </c:pt>
                <c:pt idx="2">
                  <c:v>759</c:v>
                </c:pt>
                <c:pt idx="3">
                  <c:v>102</c:v>
                </c:pt>
                <c:pt idx="4">
                  <c:v>0</c:v>
                </c:pt>
              </c:numCache>
            </c:numRef>
          </c:val>
        </c:ser>
        <c:ser>
          <c:idx val="1"/>
          <c:order val="1"/>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cat>
            <c:strRef>
              <c:f>'V:\exch2\Отдел 6.3\Методология\Взаимодействие с КСО\Типовое соглашение с КСО\Мониторинг\2015\31.12.2014\[Приложения № 1, 2, 3.4кв 2014г..XLS]Приложение №3'!$A$123:$A$127</c:f>
              <c:strCache>
                <c:ptCount val="5"/>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pt idx="4">
                  <c:v>Количество КСО, использующих АСФК</c:v>
                </c:pt>
              </c:strCache>
            </c:strRef>
          </c:cat>
          <c:val>
            <c:numRef>
              <c:f>'V:\exch2\Отдел 6.3\Методология\Взаимодействие с КСО\Типовое соглашение с КСО\Мониторинг\2015\31.12.2014\[Приложения № 1, 2, 3.4кв 2014г..XLS]Приложение №3'!$C$123:$C$127</c:f>
              <c:numCache>
                <c:formatCode>General</c:formatCode>
                <c:ptCount val="5"/>
                <c:pt idx="0">
                  <c:v>0.16678395496129486</c:v>
                </c:pt>
                <c:pt idx="1">
                  <c:v>0.22730471498944405</c:v>
                </c:pt>
                <c:pt idx="2">
                  <c:v>0.53413089373680511</c:v>
                </c:pt>
                <c:pt idx="3">
                  <c:v>7.1780436312456022E-2</c:v>
                </c:pt>
                <c:pt idx="4">
                  <c:v>0</c:v>
                </c:pt>
              </c:numCache>
            </c:numRef>
          </c:val>
        </c:ser>
        <c:dLbls>
          <c:showLegendKey val="0"/>
          <c:showVal val="0"/>
          <c:showCatName val="0"/>
          <c:showSerName val="0"/>
          <c:showPercent val="0"/>
          <c:showBubbleSize val="0"/>
          <c:showLeaderLines val="1"/>
        </c:dLbls>
      </c:pie3DChart>
      <c:spPr>
        <a:noFill/>
        <a:ln w="25400">
          <a:noFill/>
        </a:ln>
      </c:spPr>
    </c:plotArea>
    <c:legend>
      <c:legendPos val="r"/>
      <c:legendEntry>
        <c:idx val="4"/>
        <c:delete val="1"/>
      </c:legendEntry>
      <c:layout>
        <c:manualLayout>
          <c:xMode val="edge"/>
          <c:yMode val="edge"/>
          <c:x val="0.60708260043206741"/>
          <c:y val="0.26456324040576013"/>
          <c:w val="0.37268121844589519"/>
          <c:h val="0.60783485848052776"/>
        </c:manualLayout>
      </c:layout>
      <c:overlay val="0"/>
      <c:spPr>
        <a:solidFill>
          <a:srgbClr val="FFFFFF"/>
        </a:solidFill>
        <a:ln w="3175">
          <a:solidFill>
            <a:srgbClr val="000000"/>
          </a:solidFill>
          <a:prstDash val="solid"/>
        </a:ln>
      </c:spPr>
      <c:txPr>
        <a:bodyPr/>
        <a:lstStyle/>
        <a:p>
          <a:pPr rtl="0">
            <a:defRPr sz="100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количество обращений финансовых органов субъектов Российской Федерации (15.11.2016)</c:v>
                </c:pt>
              </c:strCache>
            </c:strRef>
          </c:tx>
          <c:invertIfNegative val="0"/>
          <c:dLbls>
            <c:dLbl>
              <c:idx val="0"/>
              <c:layout>
                <c:manualLayout>
                  <c:x val="2.7777777777777776E-2"/>
                  <c:y val="-3.5714285714285712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16</c:v>
                </c:pt>
              </c:numCache>
            </c:numRef>
          </c:val>
        </c:ser>
        <c:ser>
          <c:idx val="1"/>
          <c:order val="1"/>
          <c:tx>
            <c:strRef>
              <c:f>Лист1!$C$1</c:f>
              <c:strCache>
                <c:ptCount val="1"/>
                <c:pt idx="0">
                  <c:v>количество обращений финансовых органов субъектов Российской Федерации (12.12.2016)</c:v>
                </c:pt>
              </c:strCache>
            </c:strRef>
          </c:tx>
          <c:invertIfNegative val="0"/>
          <c:dLbls>
            <c:dLbl>
              <c:idx val="0"/>
              <c:layout>
                <c:manualLayout>
                  <c:x val="2.3147965879265049E-2"/>
                  <c:y val="-2.7777777777777776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19</c:v>
                </c:pt>
              </c:numCache>
            </c:numRef>
          </c:val>
        </c:ser>
        <c:ser>
          <c:idx val="2"/>
          <c:order val="2"/>
          <c:tx>
            <c:strRef>
              <c:f>Лист1!$D$1</c:f>
              <c:strCache>
                <c:ptCount val="1"/>
                <c:pt idx="0">
                  <c:v>количество заключенных соглашений с финансовыми органами субъектов Российской Федерации (01.01.2017)</c:v>
                </c:pt>
              </c:strCache>
            </c:strRef>
          </c:tx>
          <c:invertIfNegative val="0"/>
          <c:dLbls>
            <c:dLbl>
              <c:idx val="0"/>
              <c:layout>
                <c:manualLayout>
                  <c:x val="2.0833333333333419E-2"/>
                  <c:y val="-2.7777777777777776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19</c:v>
                </c:pt>
              </c:numCache>
            </c:numRef>
          </c:val>
        </c:ser>
        <c:dLbls>
          <c:showLegendKey val="0"/>
          <c:showVal val="0"/>
          <c:showCatName val="0"/>
          <c:showSerName val="0"/>
          <c:showPercent val="0"/>
          <c:showBubbleSize val="0"/>
        </c:dLbls>
        <c:gapWidth val="150"/>
        <c:shape val="cylinder"/>
        <c:axId val="94932352"/>
        <c:axId val="94962816"/>
        <c:axId val="0"/>
      </c:bar3DChart>
      <c:catAx>
        <c:axId val="94932352"/>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94962816"/>
        <c:crosses val="autoZero"/>
        <c:auto val="1"/>
        <c:lblAlgn val="ctr"/>
        <c:lblOffset val="100"/>
        <c:noMultiLvlLbl val="0"/>
      </c:catAx>
      <c:valAx>
        <c:axId val="94962816"/>
        <c:scaling>
          <c:orientation val="minMax"/>
        </c:scaling>
        <c:delete val="0"/>
        <c:axPos val="l"/>
        <c:majorGridlines/>
        <c:numFmt formatCode="General" sourceLinked="1"/>
        <c:majorTickMark val="out"/>
        <c:minorTickMark val="none"/>
        <c:tickLblPos val="nextTo"/>
        <c:crossAx val="94932352"/>
        <c:crosses val="autoZero"/>
        <c:crossBetween val="between"/>
      </c:valAx>
      <c:spPr>
        <a:noFill/>
        <a:ln w="25383">
          <a:noFill/>
        </a:ln>
      </c:spPr>
    </c:plotArea>
    <c:legend>
      <c:legendPos val="r"/>
      <c:layout>
        <c:manualLayout>
          <c:xMode val="edge"/>
          <c:yMode val="edge"/>
          <c:x val="0.67515108380331179"/>
          <c:y val="6.4625864898813223E-2"/>
          <c:w val="0.31111893907998345"/>
          <c:h val="0.85942666821825664"/>
        </c:manualLayout>
      </c:layout>
      <c:overlay val="0"/>
      <c:txPr>
        <a:bodyPr/>
        <a:lstStyle/>
        <a:p>
          <a:pPr>
            <a:defRPr sz="999"/>
          </a:pPr>
          <a:endParaRPr lang="ru-RU"/>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ru-RU" sz="1400" b="1" i="0" baseline="0">
                <a:effectLst/>
                <a:latin typeface="Times New Roman" panose="02020603050405020304" pitchFamily="18" charset="0"/>
                <a:cs typeface="Times New Roman" panose="02020603050405020304" pitchFamily="18" charset="0"/>
              </a:rPr>
              <a:t>Количество обращений зарегистрированных </a:t>
            </a:r>
            <a:br>
              <a:rPr lang="ru-RU" sz="1400" b="1" i="0" baseline="0">
                <a:effectLst/>
                <a:latin typeface="Times New Roman" panose="02020603050405020304" pitchFamily="18" charset="0"/>
                <a:cs typeface="Times New Roman" panose="02020603050405020304" pitchFamily="18" charset="0"/>
              </a:rPr>
            </a:br>
            <a:r>
              <a:rPr lang="ru-RU" sz="1400" b="1" i="0" baseline="0">
                <a:effectLst/>
                <a:latin typeface="Times New Roman" panose="02020603050405020304" pitchFamily="18" charset="0"/>
                <a:cs typeface="Times New Roman" panose="02020603050405020304" pitchFamily="18" charset="0"/>
              </a:rPr>
              <a:t>в </a:t>
            </a:r>
            <a:r>
              <a:rPr lang="ru-RU" sz="1400" b="1" i="0" u="none" strike="noStrike" baseline="0">
                <a:effectLst/>
              </a:rPr>
              <a:t>СУЭ ФК</a:t>
            </a:r>
            <a:r>
              <a:rPr lang="ru-RU" sz="1400" b="1" i="0" u="none" strike="noStrike" baseline="0">
                <a:effectLst/>
                <a:latin typeface="Times New Roman" panose="02020603050405020304" pitchFamily="18" charset="0"/>
                <a:cs typeface="Times New Roman" panose="02020603050405020304" pitchFamily="18" charset="0"/>
              </a:rPr>
              <a:t> </a:t>
            </a:r>
            <a:r>
              <a:rPr lang="ru-RU" sz="1400" b="1" i="0" baseline="0">
                <a:effectLst/>
                <a:latin typeface="Times New Roman" panose="02020603050405020304" pitchFamily="18" charset="0"/>
                <a:cs typeface="Times New Roman" panose="02020603050405020304" pitchFamily="18" charset="0"/>
              </a:rPr>
              <a:t>в 2016 году</a:t>
            </a:r>
            <a:endParaRPr lang="ru-RU" sz="14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Лист1!$B$1</c:f>
              <c:strCache>
                <c:ptCount val="1"/>
                <c:pt idx="0">
                  <c:v>количество обращений</c:v>
                </c:pt>
              </c:strCache>
            </c:strRef>
          </c:tx>
          <c:invertIfNegative val="0"/>
          <c:dLbls>
            <c:dLbl>
              <c:idx val="4"/>
              <c:layout>
                <c:manualLayout>
                  <c:x val="2.2075055187637158E-3"/>
                  <c:y val="-1.4433917660750655E-2"/>
                </c:manualLayout>
              </c:layout>
              <c:showLegendKey val="0"/>
              <c:showVal val="1"/>
              <c:showCatName val="0"/>
              <c:showSerName val="0"/>
              <c:showPercent val="0"/>
              <c:showBubbleSize val="0"/>
            </c:dLbl>
            <c:dLbl>
              <c:idx val="5"/>
              <c:layout>
                <c:manualLayout>
                  <c:x val="0"/>
                  <c:y val="-4.3301752982251966E-2"/>
                </c:manualLayout>
              </c:layout>
              <c:showLegendKey val="0"/>
              <c:showVal val="1"/>
              <c:showCatName val="0"/>
              <c:showSerName val="0"/>
              <c:showPercent val="0"/>
              <c:showBubbleSize val="0"/>
            </c:dLbl>
            <c:dLbl>
              <c:idx val="6"/>
              <c:layout>
                <c:manualLayout>
                  <c:x val="6.6225165562913907E-3"/>
                  <c:y val="1.4433917660750655E-2"/>
                </c:manualLayout>
              </c:layout>
              <c:showLegendKey val="0"/>
              <c:showVal val="1"/>
              <c:showCatName val="0"/>
              <c:showSerName val="0"/>
              <c:showPercent val="0"/>
              <c:showBubbleSize val="0"/>
            </c:dLbl>
            <c:dLbl>
              <c:idx val="10"/>
              <c:layout>
                <c:manualLayout>
                  <c:x val="0"/>
                  <c:y val="1.0825438245562974E-2"/>
                </c:manualLayout>
              </c:layout>
              <c:showLegendKey val="0"/>
              <c:showVal val="1"/>
              <c:showCatName val="0"/>
              <c:showSerName val="0"/>
              <c:showPercent val="0"/>
              <c:showBubbleSize val="0"/>
            </c:dLbl>
            <c:dLbl>
              <c:idx val="11"/>
              <c:layout>
                <c:manualLayout>
                  <c:x val="6.6225165562913907E-3"/>
                  <c:y val="-3.2476314736688973E-2"/>
                </c:manualLayout>
              </c:layout>
              <c:showLegendKey val="0"/>
              <c:showVal val="1"/>
              <c:showCatName val="0"/>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trendline>
            <c:spPr>
              <a:ln w="19050"/>
            </c:spPr>
            <c:trendlineType val="poly"/>
            <c:order val="2"/>
            <c:dispRSqr val="0"/>
            <c:dispEq val="0"/>
          </c:trendline>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10468</c:v>
                </c:pt>
                <c:pt idx="1">
                  <c:v>9583</c:v>
                </c:pt>
                <c:pt idx="2">
                  <c:v>22328</c:v>
                </c:pt>
                <c:pt idx="3">
                  <c:v>20577</c:v>
                </c:pt>
                <c:pt idx="4">
                  <c:v>19918</c:v>
                </c:pt>
                <c:pt idx="5">
                  <c:v>23011</c:v>
                </c:pt>
                <c:pt idx="6">
                  <c:v>27113</c:v>
                </c:pt>
                <c:pt idx="7">
                  <c:v>58530</c:v>
                </c:pt>
                <c:pt idx="8">
                  <c:v>61674</c:v>
                </c:pt>
                <c:pt idx="9">
                  <c:v>68944</c:v>
                </c:pt>
                <c:pt idx="10">
                  <c:v>93605</c:v>
                </c:pt>
                <c:pt idx="11">
                  <c:v>94547</c:v>
                </c:pt>
              </c:numCache>
            </c:numRef>
          </c:val>
        </c:ser>
        <c:dLbls>
          <c:showLegendKey val="0"/>
          <c:showVal val="0"/>
          <c:showCatName val="0"/>
          <c:showSerName val="0"/>
          <c:showPercent val="0"/>
          <c:showBubbleSize val="0"/>
        </c:dLbls>
        <c:gapWidth val="150"/>
        <c:axId val="111928448"/>
        <c:axId val="111929984"/>
      </c:barChart>
      <c:catAx>
        <c:axId val="111928448"/>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1929984"/>
        <c:crosses val="autoZero"/>
        <c:auto val="1"/>
        <c:lblAlgn val="ctr"/>
        <c:lblOffset val="100"/>
        <c:noMultiLvlLbl val="0"/>
      </c:catAx>
      <c:valAx>
        <c:axId val="11192998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1928448"/>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ru-RU" sz="1400" b="1" i="0" baseline="0">
                <a:effectLst/>
                <a:latin typeface="Times New Roman" panose="02020603050405020304" pitchFamily="18" charset="0"/>
                <a:cs typeface="Times New Roman" panose="02020603050405020304" pitchFamily="18" charset="0"/>
              </a:rPr>
              <a:t>Количество обращений, зарегистрированных </a:t>
            </a:r>
            <a:br>
              <a:rPr lang="ru-RU" sz="1400" b="1" i="0" baseline="0">
                <a:effectLst/>
                <a:latin typeface="Times New Roman" panose="02020603050405020304" pitchFamily="18" charset="0"/>
                <a:cs typeface="Times New Roman" panose="02020603050405020304" pitchFamily="18" charset="0"/>
              </a:rPr>
            </a:br>
            <a:r>
              <a:rPr lang="ru-RU" sz="1400" b="1" i="0" baseline="0">
                <a:effectLst/>
                <a:latin typeface="Times New Roman" panose="02020603050405020304" pitchFamily="18" charset="0"/>
                <a:cs typeface="Times New Roman" panose="02020603050405020304" pitchFamily="18" charset="0"/>
              </a:rPr>
              <a:t>в </a:t>
            </a:r>
            <a:r>
              <a:rPr lang="ru-RU" sz="1400" b="1" i="0" u="none" strike="noStrike" baseline="0">
                <a:effectLst/>
              </a:rPr>
              <a:t>СУЭ ФК</a:t>
            </a:r>
            <a:r>
              <a:rPr lang="ru-RU" sz="1400" b="1" i="0" baseline="0">
                <a:effectLst/>
                <a:latin typeface="Times New Roman" panose="02020603050405020304" pitchFamily="18" charset="0"/>
                <a:cs typeface="Times New Roman" panose="02020603050405020304" pitchFamily="18" charset="0"/>
              </a:rPr>
              <a:t> закрытого контура вычислительных систем, в 2016 году</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13906728546348926"/>
          <c:y val="2.1650876491125983E-2"/>
        </c:manualLayout>
      </c:layout>
      <c:overlay val="0"/>
    </c:title>
    <c:autoTitleDeleted val="0"/>
    <c:plotArea>
      <c:layout/>
      <c:barChart>
        <c:barDir val="col"/>
        <c:grouping val="clustered"/>
        <c:varyColors val="0"/>
        <c:ser>
          <c:idx val="0"/>
          <c:order val="0"/>
          <c:tx>
            <c:strRef>
              <c:f>Лист1!$B$1</c:f>
              <c:strCache>
                <c:ptCount val="1"/>
                <c:pt idx="0">
                  <c:v>количество обращений</c:v>
                </c:pt>
              </c:strCache>
            </c:strRef>
          </c:tx>
          <c:spPr>
            <a:solidFill>
              <a:schemeClr val="bg2">
                <a:lumMod val="50000"/>
              </a:schemeClr>
            </a:solidFill>
          </c:spPr>
          <c:invertIfNegative val="0"/>
          <c:dLbls>
            <c:dLbl>
              <c:idx val="4"/>
              <c:layout>
                <c:manualLayout>
                  <c:x val="2.2075055187637158E-3"/>
                  <c:y val="-1.4433917660750655E-2"/>
                </c:manualLayout>
              </c:layout>
              <c:showLegendKey val="0"/>
              <c:showVal val="1"/>
              <c:showCatName val="0"/>
              <c:showSerName val="0"/>
              <c:showPercent val="0"/>
              <c:showBubbleSize val="0"/>
            </c:dLbl>
            <c:dLbl>
              <c:idx val="5"/>
              <c:layout>
                <c:manualLayout>
                  <c:x val="0"/>
                  <c:y val="-4.3301752982251966E-2"/>
                </c:manualLayout>
              </c:layout>
              <c:showLegendKey val="0"/>
              <c:showVal val="1"/>
              <c:showCatName val="0"/>
              <c:showSerName val="0"/>
              <c:showPercent val="0"/>
              <c:showBubbleSize val="0"/>
            </c:dLbl>
            <c:dLbl>
              <c:idx val="6"/>
              <c:layout>
                <c:manualLayout>
                  <c:x val="6.6225165562913907E-3"/>
                  <c:y val="1.4433917660750655E-2"/>
                </c:manualLayout>
              </c:layout>
              <c:showLegendKey val="0"/>
              <c:showVal val="1"/>
              <c:showCatName val="0"/>
              <c:showSerName val="0"/>
              <c:showPercent val="0"/>
              <c:showBubbleSize val="0"/>
            </c:dLbl>
            <c:dLbl>
              <c:idx val="10"/>
              <c:layout>
                <c:manualLayout>
                  <c:x val="0"/>
                  <c:y val="1.0825438245562974E-2"/>
                </c:manualLayout>
              </c:layout>
              <c:showLegendKey val="0"/>
              <c:showVal val="1"/>
              <c:showCatName val="0"/>
              <c:showSerName val="0"/>
              <c:showPercent val="0"/>
              <c:showBubbleSize val="0"/>
            </c:dLbl>
            <c:dLbl>
              <c:idx val="11"/>
              <c:layout>
                <c:manualLayout>
                  <c:x val="6.6225165562913907E-3"/>
                  <c:y val="-3.2476314736688973E-2"/>
                </c:manualLayout>
              </c:layout>
              <c:showLegendKey val="0"/>
              <c:showVal val="1"/>
              <c:showCatName val="0"/>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trendline>
            <c:spPr>
              <a:ln w="19050"/>
            </c:spPr>
            <c:trendlineType val="poly"/>
            <c:order val="2"/>
            <c:dispRSqr val="0"/>
            <c:dispEq val="0"/>
          </c:trendline>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15314</c:v>
                </c:pt>
                <c:pt idx="1">
                  <c:v>17350</c:v>
                </c:pt>
                <c:pt idx="2">
                  <c:v>17602</c:v>
                </c:pt>
                <c:pt idx="3">
                  <c:v>18267</c:v>
                </c:pt>
                <c:pt idx="4">
                  <c:v>16164</c:v>
                </c:pt>
                <c:pt idx="5">
                  <c:v>20844</c:v>
                </c:pt>
                <c:pt idx="6">
                  <c:v>21502</c:v>
                </c:pt>
                <c:pt idx="7">
                  <c:v>20848</c:v>
                </c:pt>
                <c:pt idx="8">
                  <c:v>19538</c:v>
                </c:pt>
                <c:pt idx="9">
                  <c:v>18610</c:v>
                </c:pt>
                <c:pt idx="10">
                  <c:v>25405</c:v>
                </c:pt>
                <c:pt idx="11">
                  <c:v>53008</c:v>
                </c:pt>
              </c:numCache>
            </c:numRef>
          </c:val>
        </c:ser>
        <c:dLbls>
          <c:showLegendKey val="0"/>
          <c:showVal val="0"/>
          <c:showCatName val="0"/>
          <c:showSerName val="0"/>
          <c:showPercent val="0"/>
          <c:showBubbleSize val="0"/>
        </c:dLbls>
        <c:gapWidth val="150"/>
        <c:axId val="111984000"/>
        <c:axId val="111998080"/>
      </c:barChart>
      <c:catAx>
        <c:axId val="111984000"/>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1998080"/>
        <c:crosses val="autoZero"/>
        <c:auto val="1"/>
        <c:lblAlgn val="ctr"/>
        <c:lblOffset val="100"/>
        <c:noMultiLvlLbl val="0"/>
      </c:catAx>
      <c:valAx>
        <c:axId val="11199808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1984000"/>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Лист1!$B$1</c:f>
              <c:strCache>
                <c:ptCount val="1"/>
                <c:pt idx="0">
                  <c:v>Да</c:v>
                </c:pt>
              </c:strCache>
            </c:strRef>
          </c:tx>
          <c:invertIfNegative val="0"/>
          <c:dLbls>
            <c:showLegendKey val="0"/>
            <c:showVal val="1"/>
            <c:showCatName val="0"/>
            <c:showSerName val="0"/>
            <c:showPercent val="0"/>
            <c:showBubbleSize val="0"/>
            <c:showLeaderLines val="0"/>
          </c:dLbls>
          <c:cat>
            <c:strRef>
              <c:f>Лист1!$A$2:$A$5</c:f>
              <c:strCache>
                <c:ptCount val="4"/>
                <c:pt idx="0">
                  <c:v>Осуществление загрузки и сверки тем контрольных мероприятий по централизованным заданиям </c:v>
                </c:pt>
                <c:pt idx="1">
                  <c:v>Заполнение карточки запланированных контрольных мероприятий</c:v>
                </c:pt>
                <c:pt idx="2">
                  <c:v>Ввод запланированных контрольных мероприятий непосредственно на этапе планирования</c:v>
                </c:pt>
                <c:pt idx="3">
                  <c:v>Формирование печатной формы Плана контрольной работы территориального управления Федерального казначейства для согласования с центральным аппаратом Росфиннадзора</c:v>
                </c:pt>
              </c:strCache>
            </c:strRef>
          </c:cat>
          <c:val>
            <c:numRef>
              <c:f>Лист1!$B$2:$B$5</c:f>
              <c:numCache>
                <c:formatCode>General</c:formatCode>
                <c:ptCount val="4"/>
                <c:pt idx="0">
                  <c:v>59</c:v>
                </c:pt>
                <c:pt idx="1">
                  <c:v>67</c:v>
                </c:pt>
                <c:pt idx="2">
                  <c:v>26</c:v>
                </c:pt>
                <c:pt idx="3">
                  <c:v>11</c:v>
                </c:pt>
              </c:numCache>
            </c:numRef>
          </c:val>
        </c:ser>
        <c:ser>
          <c:idx val="1"/>
          <c:order val="1"/>
          <c:tx>
            <c:strRef>
              <c:f>Лист1!$C$1</c:f>
              <c:strCache>
                <c:ptCount val="1"/>
                <c:pt idx="0">
                  <c:v>Нет</c:v>
                </c:pt>
              </c:strCache>
            </c:strRef>
          </c:tx>
          <c:invertIfNegative val="0"/>
          <c:dLbls>
            <c:showLegendKey val="0"/>
            <c:showVal val="1"/>
            <c:showCatName val="0"/>
            <c:showSerName val="0"/>
            <c:showPercent val="0"/>
            <c:showBubbleSize val="0"/>
            <c:showLeaderLines val="0"/>
          </c:dLbls>
          <c:cat>
            <c:strRef>
              <c:f>Лист1!$A$2:$A$5</c:f>
              <c:strCache>
                <c:ptCount val="4"/>
                <c:pt idx="0">
                  <c:v>Осуществление загрузки и сверки тем контрольных мероприятий по централизованным заданиям </c:v>
                </c:pt>
                <c:pt idx="1">
                  <c:v>Заполнение карточки запланированных контрольных мероприятий</c:v>
                </c:pt>
                <c:pt idx="2">
                  <c:v>Ввод запланированных контрольных мероприятий непосредственно на этапе планирования</c:v>
                </c:pt>
                <c:pt idx="3">
                  <c:v>Формирование печатной формы Плана контрольной работы территориального управления Федерального казначейства для согласования с центральным аппаратом Росфиннадзора</c:v>
                </c:pt>
              </c:strCache>
            </c:strRef>
          </c:cat>
          <c:val>
            <c:numRef>
              <c:f>Лист1!$C$2:$C$5</c:f>
              <c:numCache>
                <c:formatCode>General</c:formatCode>
                <c:ptCount val="4"/>
                <c:pt idx="0">
                  <c:v>20</c:v>
                </c:pt>
                <c:pt idx="1">
                  <c:v>12</c:v>
                </c:pt>
                <c:pt idx="2">
                  <c:v>53</c:v>
                </c:pt>
                <c:pt idx="3">
                  <c:v>69</c:v>
                </c:pt>
              </c:numCache>
            </c:numRef>
          </c:val>
        </c:ser>
        <c:dLbls>
          <c:showLegendKey val="0"/>
          <c:showVal val="0"/>
          <c:showCatName val="0"/>
          <c:showSerName val="0"/>
          <c:showPercent val="0"/>
          <c:showBubbleSize val="0"/>
        </c:dLbls>
        <c:gapWidth val="150"/>
        <c:overlap val="100"/>
        <c:axId val="112024576"/>
        <c:axId val="112030464"/>
      </c:barChart>
      <c:catAx>
        <c:axId val="112024576"/>
        <c:scaling>
          <c:orientation val="minMax"/>
        </c:scaling>
        <c:delete val="0"/>
        <c:axPos val="b"/>
        <c:majorTickMark val="out"/>
        <c:minorTickMark val="none"/>
        <c:tickLblPos val="nextTo"/>
        <c:crossAx val="112030464"/>
        <c:crosses val="autoZero"/>
        <c:auto val="1"/>
        <c:lblAlgn val="ctr"/>
        <c:lblOffset val="100"/>
        <c:noMultiLvlLbl val="0"/>
      </c:catAx>
      <c:valAx>
        <c:axId val="112030464"/>
        <c:scaling>
          <c:orientation val="minMax"/>
        </c:scaling>
        <c:delete val="0"/>
        <c:axPos val="l"/>
        <c:majorGridlines/>
        <c:numFmt formatCode="General" sourceLinked="1"/>
        <c:majorTickMark val="out"/>
        <c:minorTickMark val="none"/>
        <c:tickLblPos val="nextTo"/>
        <c:crossAx val="112024576"/>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Лист1!$B$1</c:f>
              <c:strCache>
                <c:ptCount val="1"/>
                <c:pt idx="0">
                  <c:v>Да</c:v>
                </c:pt>
              </c:strCache>
            </c:strRef>
          </c:tx>
          <c:invertIfNegative val="0"/>
          <c:dLbls>
            <c:showLegendKey val="0"/>
            <c:showVal val="1"/>
            <c:showCatName val="0"/>
            <c:showSerName val="0"/>
            <c:showPercent val="0"/>
            <c:showBubbleSize val="0"/>
            <c:showLeaderLines val="0"/>
          </c:dLbls>
          <c:cat>
            <c:strRef>
              <c:f>Лист1!$A$2:$A$5</c:f>
              <c:strCache>
                <c:ptCount val="4"/>
                <c:pt idx="0">
                  <c:v>Ведение в карточке КМ  учета состава проверочной (ревизионной) группы</c:v>
                </c:pt>
                <c:pt idx="1">
                  <c:v>Указание в КМ тем программы</c:v>
                </c:pt>
                <c:pt idx="2">
                  <c:v>Оформление решения о проведении КМ (приказ)</c:v>
                </c:pt>
                <c:pt idx="3">
                  <c:v>Оформление в карточке мероприятия удостоверения на проведение КМ</c:v>
                </c:pt>
              </c:strCache>
            </c:strRef>
          </c:cat>
          <c:val>
            <c:numRef>
              <c:f>Лист1!$B$2:$B$5</c:f>
              <c:numCache>
                <c:formatCode>General</c:formatCode>
                <c:ptCount val="4"/>
                <c:pt idx="0">
                  <c:v>78</c:v>
                </c:pt>
                <c:pt idx="1">
                  <c:v>71</c:v>
                </c:pt>
                <c:pt idx="2">
                  <c:v>57</c:v>
                </c:pt>
                <c:pt idx="3">
                  <c:v>55</c:v>
                </c:pt>
              </c:numCache>
            </c:numRef>
          </c:val>
        </c:ser>
        <c:ser>
          <c:idx val="1"/>
          <c:order val="1"/>
          <c:tx>
            <c:strRef>
              <c:f>Лист1!$C$1</c:f>
              <c:strCache>
                <c:ptCount val="1"/>
                <c:pt idx="0">
                  <c:v>Нет</c:v>
                </c:pt>
              </c:strCache>
            </c:strRef>
          </c:tx>
          <c:invertIfNegative val="0"/>
          <c:dLbls>
            <c:showLegendKey val="0"/>
            <c:showVal val="1"/>
            <c:showCatName val="0"/>
            <c:showSerName val="0"/>
            <c:showPercent val="0"/>
            <c:showBubbleSize val="0"/>
            <c:showLeaderLines val="0"/>
          </c:dLbls>
          <c:cat>
            <c:strRef>
              <c:f>Лист1!$A$2:$A$5</c:f>
              <c:strCache>
                <c:ptCount val="4"/>
                <c:pt idx="0">
                  <c:v>Ведение в карточке КМ  учета состава проверочной (ревизионной) группы</c:v>
                </c:pt>
                <c:pt idx="1">
                  <c:v>Указание в КМ тем программы</c:v>
                </c:pt>
                <c:pt idx="2">
                  <c:v>Оформление решения о проведении КМ (приказ)</c:v>
                </c:pt>
                <c:pt idx="3">
                  <c:v>Оформление в карточке мероприятия удостоверения на проведение КМ</c:v>
                </c:pt>
              </c:strCache>
            </c:strRef>
          </c:cat>
          <c:val>
            <c:numRef>
              <c:f>Лист1!$C$2:$C$5</c:f>
              <c:numCache>
                <c:formatCode>General</c:formatCode>
                <c:ptCount val="4"/>
                <c:pt idx="0">
                  <c:v>1</c:v>
                </c:pt>
                <c:pt idx="1">
                  <c:v>8</c:v>
                </c:pt>
                <c:pt idx="2">
                  <c:v>22</c:v>
                </c:pt>
                <c:pt idx="3">
                  <c:v>24</c:v>
                </c:pt>
              </c:numCache>
            </c:numRef>
          </c:val>
        </c:ser>
        <c:dLbls>
          <c:showLegendKey val="0"/>
          <c:showVal val="0"/>
          <c:showCatName val="0"/>
          <c:showSerName val="0"/>
          <c:showPercent val="0"/>
          <c:showBubbleSize val="0"/>
        </c:dLbls>
        <c:gapWidth val="150"/>
        <c:overlap val="100"/>
        <c:axId val="112097152"/>
        <c:axId val="112098688"/>
      </c:barChart>
      <c:catAx>
        <c:axId val="112097152"/>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2098688"/>
        <c:crosses val="autoZero"/>
        <c:auto val="1"/>
        <c:lblAlgn val="ctr"/>
        <c:lblOffset val="100"/>
        <c:noMultiLvlLbl val="0"/>
      </c:catAx>
      <c:valAx>
        <c:axId val="112098688"/>
        <c:scaling>
          <c:orientation val="minMax"/>
        </c:scaling>
        <c:delete val="0"/>
        <c:axPos val="l"/>
        <c:majorGridlines/>
        <c:numFmt formatCode="General" sourceLinked="1"/>
        <c:majorTickMark val="out"/>
        <c:minorTickMark val="none"/>
        <c:tickLblPos val="nextTo"/>
        <c:crossAx val="112097152"/>
        <c:crosses val="autoZero"/>
        <c:crossBetween val="between"/>
      </c:valAx>
    </c:plotArea>
    <c:legend>
      <c:legendPos val="r"/>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percentStacked"/>
        <c:varyColors val="0"/>
        <c:ser>
          <c:idx val="0"/>
          <c:order val="0"/>
          <c:tx>
            <c:strRef>
              <c:f>Лист1!$B$1</c:f>
              <c:strCache>
                <c:ptCount val="1"/>
                <c:pt idx="0">
                  <c:v>Да</c:v>
                </c:pt>
              </c:strCache>
            </c:strRef>
          </c:tx>
          <c:invertIfNegative val="0"/>
          <c:dLbls>
            <c:showLegendKey val="0"/>
            <c:showVal val="1"/>
            <c:showCatName val="0"/>
            <c:showSerName val="0"/>
            <c:showPercent val="0"/>
            <c:showBubbleSize val="0"/>
            <c:showLeaderLines val="0"/>
          </c:dLbls>
          <c:cat>
            <c:strRef>
              <c:f>Лист1!$A$2:$A$8</c:f>
              <c:strCache>
                <c:ptCount val="7"/>
                <c:pt idx="0">
                  <c:v>Ведение учета выявленных нарушений в карточке КМ</c:v>
                </c:pt>
                <c:pt idx="1">
                  <c:v>Введение нарушения ревизорами по мере выявления в ходе проведения КМ </c:v>
                </c:pt>
                <c:pt idx="2">
                  <c:v>Формирование в карточке КМ документов по приостановлению КМ</c:v>
                </c:pt>
                <c:pt idx="3">
                  <c:v>Формирование в карточке КМ документов по встречной проверке</c:v>
                </c:pt>
                <c:pt idx="4">
                  <c:v>Формирование в карточке КМ  Акта о факте непредставления документов</c:v>
                </c:pt>
                <c:pt idx="5">
                  <c:v>Формирование в карточке КМ  Акта изъятия документов</c:v>
                </c:pt>
                <c:pt idx="6">
                  <c:v>Формирование в карточке КМ Справки о завершении контрольных действий</c:v>
                </c:pt>
              </c:strCache>
            </c:strRef>
          </c:cat>
          <c:val>
            <c:numRef>
              <c:f>Лист1!$B$2:$B$8</c:f>
              <c:numCache>
                <c:formatCode>General</c:formatCode>
                <c:ptCount val="7"/>
                <c:pt idx="0">
                  <c:v>79</c:v>
                </c:pt>
                <c:pt idx="1">
                  <c:v>9</c:v>
                </c:pt>
                <c:pt idx="2">
                  <c:v>30</c:v>
                </c:pt>
                <c:pt idx="3">
                  <c:v>51</c:v>
                </c:pt>
                <c:pt idx="4">
                  <c:v>26</c:v>
                </c:pt>
                <c:pt idx="5">
                  <c:v>6</c:v>
                </c:pt>
                <c:pt idx="6">
                  <c:v>14</c:v>
                </c:pt>
              </c:numCache>
            </c:numRef>
          </c:val>
        </c:ser>
        <c:ser>
          <c:idx val="1"/>
          <c:order val="1"/>
          <c:tx>
            <c:strRef>
              <c:f>Лист1!$C$1</c:f>
              <c:strCache>
                <c:ptCount val="1"/>
                <c:pt idx="0">
                  <c:v>Нет</c:v>
                </c:pt>
              </c:strCache>
            </c:strRef>
          </c:tx>
          <c:invertIfNegative val="0"/>
          <c:dLbls>
            <c:showLegendKey val="0"/>
            <c:showVal val="1"/>
            <c:showCatName val="0"/>
            <c:showSerName val="0"/>
            <c:showPercent val="0"/>
            <c:showBubbleSize val="0"/>
            <c:showLeaderLines val="0"/>
          </c:dLbls>
          <c:cat>
            <c:strRef>
              <c:f>Лист1!$A$2:$A$8</c:f>
              <c:strCache>
                <c:ptCount val="7"/>
                <c:pt idx="0">
                  <c:v>Ведение учета выявленных нарушений в карточке КМ</c:v>
                </c:pt>
                <c:pt idx="1">
                  <c:v>Введение нарушения ревизорами по мере выявления в ходе проведения КМ </c:v>
                </c:pt>
                <c:pt idx="2">
                  <c:v>Формирование в карточке КМ документов по приостановлению КМ</c:v>
                </c:pt>
                <c:pt idx="3">
                  <c:v>Формирование в карточке КМ документов по встречной проверке</c:v>
                </c:pt>
                <c:pt idx="4">
                  <c:v>Формирование в карточке КМ  Акта о факте непредставления документов</c:v>
                </c:pt>
                <c:pt idx="5">
                  <c:v>Формирование в карточке КМ  Акта изъятия документов</c:v>
                </c:pt>
                <c:pt idx="6">
                  <c:v>Формирование в карточке КМ Справки о завершении контрольных действий</c:v>
                </c:pt>
              </c:strCache>
            </c:strRef>
          </c:cat>
          <c:val>
            <c:numRef>
              <c:f>Лист1!$C$2:$C$8</c:f>
              <c:numCache>
                <c:formatCode>General</c:formatCode>
                <c:ptCount val="7"/>
                <c:pt idx="0">
                  <c:v>0</c:v>
                </c:pt>
                <c:pt idx="1">
                  <c:v>70</c:v>
                </c:pt>
                <c:pt idx="2">
                  <c:v>49</c:v>
                </c:pt>
                <c:pt idx="3">
                  <c:v>28</c:v>
                </c:pt>
                <c:pt idx="4">
                  <c:v>53</c:v>
                </c:pt>
                <c:pt idx="5">
                  <c:v>73</c:v>
                </c:pt>
                <c:pt idx="6">
                  <c:v>65</c:v>
                </c:pt>
              </c:numCache>
            </c:numRef>
          </c:val>
        </c:ser>
        <c:dLbls>
          <c:showLegendKey val="0"/>
          <c:showVal val="0"/>
          <c:showCatName val="0"/>
          <c:showSerName val="0"/>
          <c:showPercent val="0"/>
          <c:showBubbleSize val="0"/>
        </c:dLbls>
        <c:gapWidth val="150"/>
        <c:overlap val="100"/>
        <c:axId val="112202496"/>
        <c:axId val="112204032"/>
      </c:barChart>
      <c:catAx>
        <c:axId val="112202496"/>
        <c:scaling>
          <c:orientation val="minMax"/>
        </c:scaling>
        <c:delete val="0"/>
        <c:axPos val="l"/>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2204032"/>
        <c:crosses val="autoZero"/>
        <c:auto val="1"/>
        <c:lblAlgn val="ctr"/>
        <c:lblOffset val="100"/>
        <c:noMultiLvlLbl val="0"/>
      </c:catAx>
      <c:valAx>
        <c:axId val="112204032"/>
        <c:scaling>
          <c:orientation val="minMax"/>
        </c:scaling>
        <c:delete val="0"/>
        <c:axPos val="b"/>
        <c:majorGridlines/>
        <c:numFmt formatCode="0%" sourceLinked="1"/>
        <c:majorTickMark val="out"/>
        <c:minorTickMark val="none"/>
        <c:tickLblPos val="nextTo"/>
        <c:crossAx val="112202496"/>
        <c:crosses val="autoZero"/>
        <c:crossBetween val="between"/>
      </c:valAx>
    </c:plotArea>
    <c:legend>
      <c:legendPos val="r"/>
      <c:overlay val="0"/>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6.0250932102533475E-2"/>
          <c:y val="5.5357848952155002E-2"/>
          <c:w val="0.83490248604590911"/>
          <c:h val="0.49806247528667458"/>
        </c:manualLayout>
      </c:layout>
      <c:barChart>
        <c:barDir val="col"/>
        <c:grouping val="stacked"/>
        <c:varyColors val="0"/>
        <c:ser>
          <c:idx val="0"/>
          <c:order val="0"/>
          <c:tx>
            <c:strRef>
              <c:f>Лист1!$B$1</c:f>
              <c:strCache>
                <c:ptCount val="1"/>
                <c:pt idx="0">
                  <c:v>Да</c:v>
                </c:pt>
              </c:strCache>
            </c:strRef>
          </c:tx>
          <c:invertIfNegative val="0"/>
          <c:dLbls>
            <c:showLegendKey val="0"/>
            <c:showVal val="1"/>
            <c:showCatName val="0"/>
            <c:showSerName val="0"/>
            <c:showPercent val="0"/>
            <c:showBubbleSize val="0"/>
            <c:showLeaderLines val="0"/>
          </c:dLbls>
          <c:cat>
            <c:strRef>
              <c:f>Лист1!$A$2:$A$5</c:f>
              <c:strCache>
                <c:ptCount val="4"/>
                <c:pt idx="0">
                  <c:v>Введение в карточку предписаний</c:v>
                </c:pt>
                <c:pt idx="1">
                  <c:v>Введение в карточку представлений</c:v>
                </c:pt>
                <c:pt idx="2">
                  <c:v>Отражение в карточке мероприятия документа о согласовании уведомления о применении бюджетной меры принуждения </c:v>
                </c:pt>
                <c:pt idx="3">
                  <c:v>Введение в карточке мероприятия протокола об АП</c:v>
                </c:pt>
              </c:strCache>
            </c:strRef>
          </c:cat>
          <c:val>
            <c:numRef>
              <c:f>Лист1!$B$2:$B$5</c:f>
              <c:numCache>
                <c:formatCode>General</c:formatCode>
                <c:ptCount val="4"/>
                <c:pt idx="0">
                  <c:v>77</c:v>
                </c:pt>
                <c:pt idx="1">
                  <c:v>77</c:v>
                </c:pt>
                <c:pt idx="2">
                  <c:v>58</c:v>
                </c:pt>
                <c:pt idx="3">
                  <c:v>62</c:v>
                </c:pt>
              </c:numCache>
            </c:numRef>
          </c:val>
        </c:ser>
        <c:ser>
          <c:idx val="1"/>
          <c:order val="1"/>
          <c:tx>
            <c:strRef>
              <c:f>Лист1!$C$1</c:f>
              <c:strCache>
                <c:ptCount val="1"/>
                <c:pt idx="0">
                  <c:v>Нет</c:v>
                </c:pt>
              </c:strCache>
            </c:strRef>
          </c:tx>
          <c:invertIfNegative val="0"/>
          <c:dLbls>
            <c:showLegendKey val="0"/>
            <c:showVal val="1"/>
            <c:showCatName val="0"/>
            <c:showSerName val="0"/>
            <c:showPercent val="0"/>
            <c:showBubbleSize val="0"/>
            <c:showLeaderLines val="0"/>
          </c:dLbls>
          <c:cat>
            <c:strRef>
              <c:f>Лист1!$A$2:$A$5</c:f>
              <c:strCache>
                <c:ptCount val="4"/>
                <c:pt idx="0">
                  <c:v>Введение в карточку предписаний</c:v>
                </c:pt>
                <c:pt idx="1">
                  <c:v>Введение в карточку представлений</c:v>
                </c:pt>
                <c:pt idx="2">
                  <c:v>Отражение в карточке мероприятия документа о согласовании уведомления о применении бюджетной меры принуждения </c:v>
                </c:pt>
                <c:pt idx="3">
                  <c:v>Введение в карточке мероприятия протокола об АП</c:v>
                </c:pt>
              </c:strCache>
            </c:strRef>
          </c:cat>
          <c:val>
            <c:numRef>
              <c:f>Лист1!$C$2:$C$5</c:f>
              <c:numCache>
                <c:formatCode>General</c:formatCode>
                <c:ptCount val="4"/>
                <c:pt idx="0">
                  <c:v>2</c:v>
                </c:pt>
                <c:pt idx="1">
                  <c:v>2</c:v>
                </c:pt>
                <c:pt idx="2">
                  <c:v>21</c:v>
                </c:pt>
                <c:pt idx="3">
                  <c:v>17</c:v>
                </c:pt>
              </c:numCache>
            </c:numRef>
          </c:val>
        </c:ser>
        <c:dLbls>
          <c:showLegendKey val="0"/>
          <c:showVal val="0"/>
          <c:showCatName val="0"/>
          <c:showSerName val="0"/>
          <c:showPercent val="0"/>
          <c:showBubbleSize val="0"/>
        </c:dLbls>
        <c:gapWidth val="150"/>
        <c:overlap val="100"/>
        <c:axId val="112262528"/>
        <c:axId val="112276608"/>
      </c:barChart>
      <c:catAx>
        <c:axId val="112262528"/>
        <c:scaling>
          <c:orientation val="minMax"/>
        </c:scaling>
        <c:delete val="0"/>
        <c:axPos val="b"/>
        <c:majorTickMark val="out"/>
        <c:minorTickMark val="none"/>
        <c:tickLblPos val="nextTo"/>
        <c:crossAx val="112276608"/>
        <c:crosses val="autoZero"/>
        <c:auto val="1"/>
        <c:lblAlgn val="ctr"/>
        <c:lblOffset val="100"/>
        <c:noMultiLvlLbl val="0"/>
      </c:catAx>
      <c:valAx>
        <c:axId val="112276608"/>
        <c:scaling>
          <c:orientation val="minMax"/>
        </c:scaling>
        <c:delete val="0"/>
        <c:axPos val="l"/>
        <c:majorGridlines/>
        <c:numFmt formatCode="General" sourceLinked="1"/>
        <c:majorTickMark val="out"/>
        <c:minorTickMark val="none"/>
        <c:tickLblPos val="nextTo"/>
        <c:crossAx val="112262528"/>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Структура</a:t>
            </a:r>
            <a:r>
              <a:rPr lang="ru-RU" baseline="0">
                <a:latin typeface="Times New Roman" panose="02020603050405020304" pitchFamily="18" charset="0"/>
                <a:cs typeface="Times New Roman" panose="02020603050405020304" pitchFamily="18" charset="0"/>
              </a:rPr>
              <a:t> исполнения мероприятий</a:t>
            </a:r>
            <a:endParaRPr lang="ru-RU">
              <a:latin typeface="Times New Roman" panose="02020603050405020304" pitchFamily="18" charset="0"/>
              <a:cs typeface="Times New Roman" panose="02020603050405020304" pitchFamily="18" charset="0"/>
            </a:endParaRPr>
          </a:p>
        </c:rich>
      </c:tx>
      <c:layout>
        <c:manualLayout>
          <c:xMode val="edge"/>
          <c:yMode val="edge"/>
          <c:x val="0.24395861093289906"/>
          <c:y val="2.3997855943991035E-3"/>
        </c:manualLayout>
      </c:layout>
      <c:overlay val="1"/>
    </c:title>
    <c:autoTitleDeleted val="0"/>
    <c:plotArea>
      <c:layout>
        <c:manualLayout>
          <c:layoutTarget val="inner"/>
          <c:xMode val="edge"/>
          <c:yMode val="edge"/>
          <c:x val="3.9589300492897626E-2"/>
          <c:y val="8.6493235306912608E-2"/>
          <c:w val="0.94448460052506844"/>
          <c:h val="0.75696915647974927"/>
        </c:manualLayout>
      </c:layout>
      <c:barChart>
        <c:barDir val="col"/>
        <c:grouping val="clustered"/>
        <c:varyColors val="0"/>
        <c:ser>
          <c:idx val="0"/>
          <c:order val="0"/>
          <c:tx>
            <c:strRef>
              <c:f>Лист1!$B$1</c:f>
              <c:strCache>
                <c:ptCount val="1"/>
                <c:pt idx="0">
                  <c:v>2014</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Лист1!$A$2:$A$6</c:f>
              <c:strCache>
                <c:ptCount val="5"/>
                <c:pt idx="0">
                  <c:v>справки о доходах государственных гражданских служащих</c:v>
                </c:pt>
                <c:pt idx="1">
                  <c:v>справки о доходах претендентов</c:v>
                </c:pt>
                <c:pt idx="2">
                  <c:v>уведомления об иной оплачиваемой работе</c:v>
                </c:pt>
                <c:pt idx="3">
                  <c:v>заседания Комиссии</c:v>
                </c:pt>
                <c:pt idx="4">
                  <c:v>приказы Федерального казначейства</c:v>
                </c:pt>
              </c:strCache>
            </c:strRef>
          </c:cat>
          <c:val>
            <c:numRef>
              <c:f>Лист1!$B$2:$B$6</c:f>
              <c:numCache>
                <c:formatCode>General</c:formatCode>
                <c:ptCount val="5"/>
                <c:pt idx="0">
                  <c:v>1495</c:v>
                </c:pt>
                <c:pt idx="1">
                  <c:v>130</c:v>
                </c:pt>
                <c:pt idx="2">
                  <c:v>10</c:v>
                </c:pt>
                <c:pt idx="3">
                  <c:v>4</c:v>
                </c:pt>
                <c:pt idx="4">
                  <c:v>6</c:v>
                </c:pt>
              </c:numCache>
            </c:numRef>
          </c:val>
        </c:ser>
        <c:ser>
          <c:idx val="1"/>
          <c:order val="1"/>
          <c:tx>
            <c:strRef>
              <c:f>Лист1!$C$1</c:f>
              <c:strCache>
                <c:ptCount val="1"/>
                <c:pt idx="0">
                  <c:v>2015</c:v>
                </c:pt>
              </c:strCache>
            </c:strRef>
          </c:tx>
          <c:invertIfNegative val="0"/>
          <c:dLbls>
            <c:showLegendKey val="0"/>
            <c:showVal val="1"/>
            <c:showCatName val="0"/>
            <c:showSerName val="0"/>
            <c:showPercent val="0"/>
            <c:showBubbleSize val="0"/>
            <c:showLeaderLines val="0"/>
          </c:dLbls>
          <c:cat>
            <c:strRef>
              <c:f>Лист1!$A$2:$A$6</c:f>
              <c:strCache>
                <c:ptCount val="5"/>
                <c:pt idx="0">
                  <c:v>справки о доходах государственных гражданских служащих</c:v>
                </c:pt>
                <c:pt idx="1">
                  <c:v>справки о доходах претендентов</c:v>
                </c:pt>
                <c:pt idx="2">
                  <c:v>уведомления об иной оплачиваемой работе</c:v>
                </c:pt>
                <c:pt idx="3">
                  <c:v>заседания Комиссии</c:v>
                </c:pt>
                <c:pt idx="4">
                  <c:v>приказы Федерального казначейства</c:v>
                </c:pt>
              </c:strCache>
            </c:strRef>
          </c:cat>
          <c:val>
            <c:numRef>
              <c:f>Лист1!$C$2:$C$6</c:f>
              <c:numCache>
                <c:formatCode>General</c:formatCode>
                <c:ptCount val="5"/>
                <c:pt idx="0">
                  <c:v>1717</c:v>
                </c:pt>
                <c:pt idx="1">
                  <c:v>230</c:v>
                </c:pt>
                <c:pt idx="2">
                  <c:v>9</c:v>
                </c:pt>
                <c:pt idx="3">
                  <c:v>6</c:v>
                </c:pt>
                <c:pt idx="4">
                  <c:v>7</c:v>
                </c:pt>
              </c:numCache>
            </c:numRef>
          </c:val>
        </c:ser>
        <c:ser>
          <c:idx val="2"/>
          <c:order val="2"/>
          <c:tx>
            <c:strRef>
              <c:f>Лист1!$D$1</c:f>
              <c:strCache>
                <c:ptCount val="1"/>
                <c:pt idx="0">
                  <c:v>2016</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Лист1!$A$2:$A$6</c:f>
              <c:strCache>
                <c:ptCount val="5"/>
                <c:pt idx="0">
                  <c:v>справки о доходах государственных гражданских служащих</c:v>
                </c:pt>
                <c:pt idx="1">
                  <c:v>справки о доходах претендентов</c:v>
                </c:pt>
                <c:pt idx="2">
                  <c:v>уведомления об иной оплачиваемой работе</c:v>
                </c:pt>
                <c:pt idx="3">
                  <c:v>заседания Комиссии</c:v>
                </c:pt>
                <c:pt idx="4">
                  <c:v>приказы Федерального казначейства</c:v>
                </c:pt>
              </c:strCache>
            </c:strRef>
          </c:cat>
          <c:val>
            <c:numRef>
              <c:f>Лист1!$D$2:$D$6</c:f>
              <c:numCache>
                <c:formatCode>General</c:formatCode>
                <c:ptCount val="5"/>
                <c:pt idx="0">
                  <c:v>1862</c:v>
                </c:pt>
                <c:pt idx="1">
                  <c:v>1263</c:v>
                </c:pt>
                <c:pt idx="2">
                  <c:v>41</c:v>
                </c:pt>
                <c:pt idx="3">
                  <c:v>3</c:v>
                </c:pt>
                <c:pt idx="4">
                  <c:v>9</c:v>
                </c:pt>
              </c:numCache>
            </c:numRef>
          </c:val>
        </c:ser>
        <c:dLbls>
          <c:showLegendKey val="0"/>
          <c:showVal val="0"/>
          <c:showCatName val="0"/>
          <c:showSerName val="0"/>
          <c:showPercent val="0"/>
          <c:showBubbleSize val="0"/>
        </c:dLbls>
        <c:gapWidth val="150"/>
        <c:axId val="112319872"/>
        <c:axId val="111027328"/>
      </c:barChart>
      <c:catAx>
        <c:axId val="11231987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1027328"/>
        <c:crosses val="autoZero"/>
        <c:auto val="1"/>
        <c:lblAlgn val="ctr"/>
        <c:lblOffset val="100"/>
        <c:noMultiLvlLbl val="0"/>
      </c:catAx>
      <c:valAx>
        <c:axId val="111027328"/>
        <c:scaling>
          <c:orientation val="minMax"/>
          <c:max val="2000"/>
          <c:min val="0"/>
        </c:scaling>
        <c:delete val="0"/>
        <c:axPos val="l"/>
        <c:numFmt formatCode="General" sourceLinked="1"/>
        <c:majorTickMark val="out"/>
        <c:minorTickMark val="none"/>
        <c:tickLblPos val="nextTo"/>
        <c:crossAx val="112319872"/>
        <c:crosses val="autoZero"/>
        <c:crossBetween val="between"/>
        <c:minorUnit val="100"/>
      </c:valAx>
    </c:plotArea>
    <c:legend>
      <c:legendPos val="tr"/>
      <c:layout>
        <c:manualLayout>
          <c:xMode val="edge"/>
          <c:yMode val="edge"/>
          <c:x val="0.87932150272260745"/>
          <c:y val="0.22450211693939948"/>
          <c:w val="8.1044993753890182E-2"/>
          <c:h val="0.14985844528419145"/>
        </c:manualLayout>
      </c:layout>
      <c:overlay val="0"/>
      <c:spPr>
        <a:effectLst>
          <a:glow rad="63500">
            <a:schemeClr val="accent2">
              <a:satMod val="175000"/>
              <a:alpha val="40000"/>
            </a:schemeClr>
          </a:glow>
        </a:effectLst>
      </c:spP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количество обращений финансовых органов муниципальных образований (15.11.2016)</c:v>
                </c:pt>
              </c:strCache>
            </c:strRef>
          </c:tx>
          <c:invertIfNegative val="0"/>
          <c:dLbls>
            <c:dLbl>
              <c:idx val="0"/>
              <c:layout>
                <c:manualLayout>
                  <c:x val="2.7777777777777776E-2"/>
                  <c:y val="-3.5714285714285712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#,##0</c:formatCode>
                <c:ptCount val="1"/>
                <c:pt idx="0">
                  <c:v>1849</c:v>
                </c:pt>
              </c:numCache>
            </c:numRef>
          </c:val>
        </c:ser>
        <c:ser>
          <c:idx val="1"/>
          <c:order val="1"/>
          <c:tx>
            <c:strRef>
              <c:f>Лист1!$C$1</c:f>
              <c:strCache>
                <c:ptCount val="1"/>
                <c:pt idx="0">
                  <c:v>количество обращений муниципальных образований (12.12.2016)</c:v>
                </c:pt>
              </c:strCache>
            </c:strRef>
          </c:tx>
          <c:invertIfNegative val="0"/>
          <c:dLbls>
            <c:dLbl>
              <c:idx val="0"/>
              <c:layout>
                <c:manualLayout>
                  <c:x val="2.3147965879265049E-2"/>
                  <c:y val="-2.7777777777777776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#,##0</c:formatCode>
                <c:ptCount val="1"/>
                <c:pt idx="0">
                  <c:v>2748</c:v>
                </c:pt>
              </c:numCache>
            </c:numRef>
          </c:val>
        </c:ser>
        <c:ser>
          <c:idx val="2"/>
          <c:order val="2"/>
          <c:tx>
            <c:strRef>
              <c:f>Лист1!$D$1</c:f>
              <c:strCache>
                <c:ptCount val="1"/>
                <c:pt idx="0">
                  <c:v>количество заключенных соглашений с финансовыми органами муниципальных образований (01.01.2017)</c:v>
                </c:pt>
              </c:strCache>
            </c:strRef>
          </c:tx>
          <c:invertIfNegative val="0"/>
          <c:dLbls>
            <c:dLbl>
              <c:idx val="0"/>
              <c:layout>
                <c:manualLayout>
                  <c:x val="2.0833333333333419E-2"/>
                  <c:y val="-2.7777777777777776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#,##0</c:formatCode>
                <c:ptCount val="1"/>
                <c:pt idx="0">
                  <c:v>4319</c:v>
                </c:pt>
              </c:numCache>
            </c:numRef>
          </c:val>
        </c:ser>
        <c:dLbls>
          <c:showLegendKey val="0"/>
          <c:showVal val="0"/>
          <c:showCatName val="0"/>
          <c:showSerName val="0"/>
          <c:showPercent val="0"/>
          <c:showBubbleSize val="0"/>
        </c:dLbls>
        <c:gapWidth val="150"/>
        <c:shape val="cylinder"/>
        <c:axId val="94995200"/>
        <c:axId val="94996736"/>
        <c:axId val="0"/>
      </c:bar3DChart>
      <c:catAx>
        <c:axId val="94995200"/>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94996736"/>
        <c:crosses val="autoZero"/>
        <c:auto val="1"/>
        <c:lblAlgn val="ctr"/>
        <c:lblOffset val="100"/>
        <c:noMultiLvlLbl val="0"/>
      </c:catAx>
      <c:valAx>
        <c:axId val="94996736"/>
        <c:scaling>
          <c:orientation val="minMax"/>
        </c:scaling>
        <c:delete val="0"/>
        <c:axPos val="l"/>
        <c:majorGridlines/>
        <c:numFmt formatCode="#,##0" sourceLinked="1"/>
        <c:majorTickMark val="out"/>
        <c:minorTickMark val="none"/>
        <c:tickLblPos val="nextTo"/>
        <c:crossAx val="94995200"/>
        <c:crosses val="autoZero"/>
        <c:crossBetween val="between"/>
      </c:valAx>
      <c:spPr>
        <a:noFill/>
        <a:ln w="25384">
          <a:noFill/>
        </a:ln>
      </c:spPr>
    </c:plotArea>
    <c:legend>
      <c:legendPos val="r"/>
      <c:layout>
        <c:manualLayout>
          <c:xMode val="edge"/>
          <c:yMode val="edge"/>
          <c:x val="0.6773674603840556"/>
          <c:y val="0.15958331070685131"/>
          <c:w val="0.32031885622293083"/>
          <c:h val="0.7945292876431892"/>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98"/>
            </a:pPr>
            <a:r>
              <a:rPr lang="ru-RU" sz="1200"/>
              <a:t>Кассовое обслуживание исполенния бюджетов субъектов</a:t>
            </a:r>
            <a:r>
              <a:rPr lang="ru-RU" sz="1200" baseline="0"/>
              <a:t> </a:t>
            </a:r>
            <a:r>
              <a:rPr lang="ru-RU" sz="1200"/>
              <a:t>Российской Федерации по состоянию на 1 января 2017 года</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473093772369363"/>
          <c:y val="0.19894431881135966"/>
          <c:w val="0.70409334287759495"/>
          <c:h val="0.48421654905593547"/>
        </c:manualLayout>
      </c:layout>
      <c:pie3DChart>
        <c:varyColors val="1"/>
        <c:ser>
          <c:idx val="0"/>
          <c:order val="0"/>
          <c:tx>
            <c:strRef>
              <c:f>Лист1!$B$1</c:f>
              <c:strCache>
                <c:ptCount val="1"/>
                <c:pt idx="0">
                  <c:v>Кассовое обслуживание исполенния бюджетов субъектов Российской Федерации (по состоянию на 01.01.2015)</c:v>
                </c:pt>
              </c:strCache>
            </c:strRef>
          </c:tx>
          <c:explosion val="16"/>
          <c:dPt>
            <c:idx val="0"/>
            <c:bubble3D val="0"/>
            <c:explosion val="4"/>
            <c:spPr>
              <a:solidFill>
                <a:schemeClr val="accent1">
                  <a:lumMod val="40000"/>
                  <a:lumOff val="60000"/>
                </a:schemeClr>
              </a:solidFill>
            </c:spPr>
          </c:dPt>
          <c:dPt>
            <c:idx val="1"/>
            <c:bubble3D val="0"/>
            <c:explosion val="5"/>
            <c:spPr>
              <a:solidFill>
                <a:schemeClr val="bg1">
                  <a:lumMod val="85000"/>
                </a:schemeClr>
              </a:solidFill>
            </c:spPr>
          </c:dPt>
          <c:dPt>
            <c:idx val="2"/>
            <c:bubble3D val="0"/>
            <c:explosion val="2"/>
            <c:spPr>
              <a:solidFill>
                <a:schemeClr val="accent6">
                  <a:lumMod val="20000"/>
                  <a:lumOff val="80000"/>
                </a:schemeClr>
              </a:solidFill>
              <a:ln w="25357"/>
            </c:spPr>
          </c:dPt>
          <c:dLbls>
            <c:dLbl>
              <c:idx val="0"/>
              <c:layout>
                <c:manualLayout>
                  <c:x val="7.0502198111705716E-2"/>
                  <c:y val="3.1547804375455936E-2"/>
                </c:manualLayout>
              </c:layout>
              <c:tx>
                <c:rich>
                  <a:bodyPr/>
                  <a:lstStyle/>
                  <a:p>
                    <a:r>
                      <a:rPr lang="ru-RU" sz="998" dirty="0" smtClean="0"/>
                      <a:t>18</a:t>
                    </a:r>
                  </a:p>
                  <a:p>
                    <a:r>
                      <a:rPr lang="en-US" sz="998" dirty="0" smtClean="0"/>
                      <a:t>2</a:t>
                    </a:r>
                    <a:r>
                      <a:rPr lang="ru-RU" sz="998" dirty="0" smtClean="0"/>
                      <a:t>1 </a:t>
                    </a:r>
                    <a:r>
                      <a:rPr lang="en-US" sz="998" dirty="0"/>
                      <a:t>%</a:t>
                    </a:r>
                    <a:endParaRPr lang="en-US" dirty="0"/>
                  </a:p>
                </c:rich>
              </c:tx>
              <c:dLblPos val="bestFit"/>
              <c:showLegendKey val="0"/>
              <c:showVal val="0"/>
              <c:showCatName val="0"/>
              <c:showSerName val="0"/>
              <c:showPercent val="0"/>
              <c:showBubbleSize val="0"/>
            </c:dLbl>
            <c:dLbl>
              <c:idx val="1"/>
              <c:layout>
                <c:manualLayout>
                  <c:x val="0.23559158214879442"/>
                  <c:y val="-8.9429149823425355E-2"/>
                </c:manualLayout>
              </c:layout>
              <c:tx>
                <c:rich>
                  <a:bodyPr/>
                  <a:lstStyle/>
                  <a:p>
                    <a:r>
                      <a:rPr lang="ru-RU" sz="998" dirty="0" smtClean="0"/>
                      <a:t>37</a:t>
                    </a:r>
                  </a:p>
                  <a:p>
                    <a:r>
                      <a:rPr lang="ru-RU" sz="998" dirty="0" smtClean="0"/>
                      <a:t>44 </a:t>
                    </a:r>
                    <a:r>
                      <a:rPr lang="en-US" sz="998" dirty="0" smtClean="0"/>
                      <a:t>%</a:t>
                    </a:r>
                    <a:endParaRPr lang="ru-RU" dirty="0" smtClean="0"/>
                  </a:p>
                </c:rich>
              </c:tx>
              <c:dLblPos val="bestFit"/>
              <c:showLegendKey val="0"/>
              <c:showVal val="0"/>
              <c:showCatName val="0"/>
              <c:showSerName val="0"/>
              <c:showPercent val="0"/>
              <c:showBubbleSize val="0"/>
            </c:dLbl>
            <c:dLbl>
              <c:idx val="2"/>
              <c:layout>
                <c:manualLayout>
                  <c:x val="-0.11741337154006605"/>
                  <c:y val="6.6837232738457833E-2"/>
                </c:manualLayout>
              </c:layout>
              <c:tx>
                <c:rich>
                  <a:bodyPr/>
                  <a:lstStyle/>
                  <a:p>
                    <a:r>
                      <a:rPr lang="ru-RU" sz="998" dirty="0" smtClean="0"/>
                      <a:t>30</a:t>
                    </a:r>
                  </a:p>
                  <a:p>
                    <a:r>
                      <a:rPr lang="ru-RU" sz="998" dirty="0" smtClean="0"/>
                      <a:t>35 </a:t>
                    </a:r>
                    <a:r>
                      <a:rPr lang="en-US" sz="998" dirty="0" smtClean="0"/>
                      <a:t>%</a:t>
                    </a:r>
                    <a:endParaRPr lang="ru-RU" dirty="0" smtClean="0"/>
                  </a:p>
                </c:rich>
              </c:tx>
              <c:dLblPos val="bestFit"/>
              <c:showLegendKey val="0"/>
              <c:showVal val="0"/>
              <c:showCatName val="0"/>
              <c:showSerName val="0"/>
              <c:showPercent val="0"/>
              <c:showBubbleSize val="0"/>
            </c:dLbl>
            <c:txPr>
              <a:bodyPr/>
              <a:lstStyle/>
              <a:p>
                <a:pPr>
                  <a:defRPr sz="998"/>
                </a:pPr>
                <a:endParaRPr lang="ru-RU"/>
              </a:p>
            </c:txPr>
            <c:showLegendKey val="0"/>
            <c:showVal val="0"/>
            <c:showCatName val="0"/>
            <c:showSerName val="0"/>
            <c:showPercent val="1"/>
            <c:showBubbleSize val="0"/>
            <c:showLeaderLines val="1"/>
          </c:dLbls>
          <c:cat>
            <c:strRef>
              <c:f>Лист1!$A$2:$A$4</c:f>
              <c:strCache>
                <c:ptCount val="3"/>
                <c:pt idx="0">
                  <c:v>с открытием лицевого счета бюджета финансовому органу</c:v>
                </c:pt>
                <c:pt idx="1">
                  <c:v>с открытием лицевых счетов согласно соответствующему соглашению</c:v>
                </c:pt>
                <c:pt idx="2">
                  <c:v>с применением «смешанного» порядка кассового обслуживания</c:v>
                </c:pt>
              </c:strCache>
            </c:strRef>
          </c:cat>
          <c:val>
            <c:numRef>
              <c:f>Лист1!$B$2:$B$4</c:f>
              <c:numCache>
                <c:formatCode>General</c:formatCode>
                <c:ptCount val="3"/>
                <c:pt idx="0">
                  <c:v>18</c:v>
                </c:pt>
                <c:pt idx="1">
                  <c:v>37</c:v>
                </c:pt>
                <c:pt idx="2">
                  <c:v>30</c:v>
                </c:pt>
              </c:numCache>
            </c:numRef>
          </c:val>
        </c:ser>
        <c:dLbls>
          <c:showLegendKey val="0"/>
          <c:showVal val="0"/>
          <c:showCatName val="0"/>
          <c:showSerName val="0"/>
          <c:showPercent val="0"/>
          <c:showBubbleSize val="0"/>
          <c:showLeaderLines val="1"/>
        </c:dLbls>
      </c:pie3DChart>
      <c:spPr>
        <a:noFill/>
        <a:ln w="25357">
          <a:noFill/>
        </a:ln>
      </c:spPr>
    </c:plotArea>
    <c:legend>
      <c:legendPos val="b"/>
      <c:legendEntry>
        <c:idx val="1"/>
        <c:txPr>
          <a:bodyPr/>
          <a:lstStyle/>
          <a:p>
            <a:pPr>
              <a:defRPr sz="998" kern="700" baseline="0"/>
            </a:pPr>
            <a:endParaRPr lang="ru-RU"/>
          </a:p>
        </c:txPr>
      </c:legendEntry>
      <c:layout>
        <c:manualLayout>
          <c:xMode val="edge"/>
          <c:yMode val="edge"/>
          <c:x val="5.3444661699166799E-4"/>
          <c:y val="0.70981826135369441"/>
          <c:w val="0.79540277263999715"/>
          <c:h val="0.23439686434106474"/>
        </c:manualLayout>
      </c:layout>
      <c:overlay val="0"/>
      <c:txPr>
        <a:bodyPr/>
        <a:lstStyle/>
        <a:p>
          <a:pPr>
            <a:defRPr sz="998"/>
          </a:pPr>
          <a:endParaRPr lang="ru-RU"/>
        </a:p>
      </c:txPr>
    </c:legend>
    <c:plotVisOnly val="1"/>
    <c:dispBlanksAs val="gap"/>
    <c:showDLblsOverMax val="0"/>
  </c:chart>
  <c:spPr>
    <a:ln>
      <a:noFill/>
    </a:ln>
  </c:spPr>
  <c:txPr>
    <a:bodyPr/>
    <a:lstStyle/>
    <a:p>
      <a:pPr>
        <a:defRPr sz="1398">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pPr>
        <a:noFill/>
        <a:ln>
          <a:noFill/>
        </a:ln>
      </c:spPr>
    </c:sideWall>
    <c:backWall>
      <c:thickness val="0"/>
      <c:spPr>
        <a:noFill/>
        <a:ln>
          <a:noFill/>
        </a:ln>
      </c:spPr>
    </c:backWall>
    <c:plotArea>
      <c:layout>
        <c:manualLayout>
          <c:layoutTarget val="inner"/>
          <c:xMode val="edge"/>
          <c:yMode val="edge"/>
          <c:x val="0.12645501665233022"/>
          <c:y val="0.11330110390612938"/>
          <c:w val="0.79331890690428852"/>
          <c:h val="0.44148374687268632"/>
        </c:manualLayout>
      </c:layout>
      <c:bar3DChart>
        <c:barDir val="col"/>
        <c:grouping val="clustered"/>
        <c:varyColors val="0"/>
        <c:ser>
          <c:idx val="0"/>
          <c:order val="0"/>
          <c:tx>
            <c:strRef>
              <c:f>Лист1!$B$1</c:f>
              <c:strCache>
                <c:ptCount val="1"/>
                <c:pt idx="0">
                  <c:v>лицевых счетов главных распорядителей (распорядителей) бюджетных средств (01) </c:v>
                </c:pt>
              </c:strCache>
            </c:strRef>
          </c:tx>
          <c:spPr>
            <a:solidFill>
              <a:srgbClr val="F79646">
                <a:lumMod val="20000"/>
                <a:lumOff val="80000"/>
              </a:srgbClr>
            </a:solidFill>
          </c:spPr>
          <c:invertIfNegative val="0"/>
          <c:dLbls>
            <c:dLbl>
              <c:idx val="0"/>
              <c:layout>
                <c:manualLayout>
                  <c:x val="2.2038567493112946E-3"/>
                  <c:y val="-2.4067388688327317E-3"/>
                </c:manualLayout>
              </c:layout>
              <c:tx>
                <c:rich>
                  <a:bodyPr/>
                  <a:lstStyle/>
                  <a:p>
                    <a:r>
                      <a:rPr lang="ru-RU" sz="999"/>
                      <a:t>1 664</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1654</c:v>
                </c:pt>
              </c:numCache>
            </c:numRef>
          </c:val>
        </c:ser>
        <c:ser>
          <c:idx val="1"/>
          <c:order val="1"/>
          <c:tx>
            <c:strRef>
              <c:f>Лист1!$C$1</c:f>
              <c:strCache>
                <c:ptCount val="1"/>
                <c:pt idx="0">
                  <c:v>лицевых счетов получателей бюджетных средств (03)</c:v>
                </c:pt>
              </c:strCache>
            </c:strRef>
          </c:tx>
          <c:spPr>
            <a:solidFill>
              <a:srgbClr val="4BACC6">
                <a:lumMod val="20000"/>
                <a:lumOff val="80000"/>
              </a:srgbClr>
            </a:solidFill>
          </c:spPr>
          <c:invertIfNegative val="0"/>
          <c:dLbls>
            <c:dLbl>
              <c:idx val="0"/>
              <c:layout>
                <c:manualLayout>
                  <c:x val="1.3222966963840304E-2"/>
                  <c:y val="-7.220406113495741E-3"/>
                </c:manualLayout>
              </c:layout>
              <c:tx>
                <c:rich>
                  <a:bodyPr/>
                  <a:lstStyle/>
                  <a:p>
                    <a:r>
                      <a:rPr lang="ru-RU" sz="999"/>
                      <a:t>10 170</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10212</c:v>
                </c:pt>
              </c:numCache>
            </c:numRef>
          </c:val>
        </c:ser>
        <c:ser>
          <c:idx val="2"/>
          <c:order val="2"/>
          <c:tx>
            <c:strRef>
              <c:f>Лист1!$D$1</c:f>
              <c:strCache>
                <c:ptCount val="1"/>
                <c:pt idx="0">
                  <c:v>лицевых счетов для учета операций со средствами, поступающими во временное распоряжение получателей бюджетных средств (05) </c:v>
                </c:pt>
              </c:strCache>
            </c:strRef>
          </c:tx>
          <c:spPr>
            <a:solidFill>
              <a:srgbClr val="9BBB59">
                <a:lumMod val="20000"/>
                <a:lumOff val="80000"/>
              </a:srgbClr>
            </a:solidFill>
          </c:spPr>
          <c:invertIfNegative val="0"/>
          <c:dLbls>
            <c:dLbl>
              <c:idx val="0"/>
              <c:layout>
                <c:manualLayout>
                  <c:x val="1.9834710743801571E-2"/>
                  <c:y val="-2.4069283758302775E-3"/>
                </c:manualLayout>
              </c:layout>
              <c:tx>
                <c:rich>
                  <a:bodyPr/>
                  <a:lstStyle/>
                  <a:p>
                    <a:r>
                      <a:rPr lang="ru-RU" sz="999"/>
                      <a:t>5 146</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5129</c:v>
                </c:pt>
              </c:numCache>
            </c:numRef>
          </c:val>
        </c:ser>
        <c:ser>
          <c:idx val="3"/>
          <c:order val="3"/>
          <c:tx>
            <c:strRef>
              <c:f>Лист1!$E$1</c:f>
              <c:strCache>
                <c:ptCount val="1"/>
                <c:pt idx="0">
                  <c:v>лицевых счетов главных администраторов источников внутреннего финансирования дефицита бюджета (06) </c:v>
                </c:pt>
              </c:strCache>
            </c:strRef>
          </c:tx>
          <c:spPr>
            <a:solidFill>
              <a:srgbClr val="8064A2">
                <a:lumMod val="20000"/>
                <a:lumOff val="80000"/>
              </a:srgbClr>
            </a:solidFill>
          </c:spPr>
          <c:invertIfNegative val="0"/>
          <c:dLbls>
            <c:dLbl>
              <c:idx val="0"/>
              <c:layout>
                <c:manualLayout>
                  <c:x val="1.5426997245178983E-2"/>
                  <c:y val="-9.6269554753309269E-3"/>
                </c:manualLayout>
              </c:layout>
              <c:tx>
                <c:rich>
                  <a:bodyPr/>
                  <a:lstStyle/>
                  <a:p>
                    <a:r>
                      <a:rPr lang="ru-RU" sz="999"/>
                      <a:t>14</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14</c:v>
                </c:pt>
              </c:numCache>
            </c:numRef>
          </c:val>
        </c:ser>
        <c:ser>
          <c:idx val="4"/>
          <c:order val="4"/>
          <c:tx>
            <c:strRef>
              <c:f>Лист1!$F$1</c:f>
              <c:strCache>
                <c:ptCount val="1"/>
                <c:pt idx="0">
                  <c:v>лицевых счетов администраторов источников внутреннего финансирования дефицита бюджета (08) </c:v>
                </c:pt>
              </c:strCache>
            </c:strRef>
          </c:tx>
          <c:spPr>
            <a:solidFill>
              <a:srgbClr val="1F497D">
                <a:lumMod val="20000"/>
                <a:lumOff val="80000"/>
              </a:srgbClr>
            </a:solidFill>
          </c:spPr>
          <c:invertIfNegative val="0"/>
          <c:dLbls>
            <c:dLbl>
              <c:idx val="0"/>
              <c:layout>
                <c:manualLayout>
                  <c:x val="2.4242250710396738E-2"/>
                  <c:y val="-1.444043321299639E-2"/>
                </c:manualLayout>
              </c:layout>
              <c:tx>
                <c:rich>
                  <a:bodyPr/>
                  <a:lstStyle/>
                  <a:p>
                    <a:r>
                      <a:rPr lang="ru-RU" sz="999"/>
                      <a:t>85</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Лист1!$F$2</c:f>
              <c:numCache>
                <c:formatCode>General</c:formatCode>
                <c:ptCount val="1"/>
                <c:pt idx="0">
                  <c:v>86</c:v>
                </c:pt>
              </c:numCache>
            </c:numRef>
          </c:val>
        </c:ser>
        <c:ser>
          <c:idx val="5"/>
          <c:order val="5"/>
          <c:tx>
            <c:strRef>
              <c:f>Лист1!$G$1</c:f>
              <c:strCache>
                <c:ptCount val="1"/>
                <c:pt idx="0">
                  <c:v>лицевых счетов иных получателей бюджетных средств (10)</c:v>
                </c:pt>
              </c:strCache>
            </c:strRef>
          </c:tx>
          <c:spPr>
            <a:solidFill>
              <a:srgbClr val="C0504D">
                <a:lumMod val="20000"/>
                <a:lumOff val="80000"/>
              </a:srgbClr>
            </a:solidFill>
          </c:spPr>
          <c:invertIfNegative val="0"/>
          <c:dLbls>
            <c:dLbl>
              <c:idx val="0"/>
              <c:layout>
                <c:manualLayout>
                  <c:x val="1.3223140495867768E-2"/>
                  <c:y val="-4.8134777376654635E-3"/>
                </c:manualLayout>
              </c:layout>
              <c:tx>
                <c:rich>
                  <a:bodyPr/>
                  <a:lstStyle/>
                  <a:p>
                    <a:r>
                      <a:rPr lang="ru-RU" sz="999"/>
                      <a:t>10</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Лист1!$G$2</c:f>
              <c:numCache>
                <c:formatCode>General</c:formatCode>
                <c:ptCount val="1"/>
                <c:pt idx="0">
                  <c:v>10</c:v>
                </c:pt>
              </c:numCache>
            </c:numRef>
          </c:val>
        </c:ser>
        <c:ser>
          <c:idx val="6"/>
          <c:order val="6"/>
          <c:tx>
            <c:strRef>
              <c:f>Лист1!$H$1</c:f>
              <c:strCache>
                <c:ptCount val="1"/>
                <c:pt idx="0">
                  <c:v>лицевых счетов для учета операций по переданным полномочиям получателя бюджетных средств (14) </c:v>
                </c:pt>
              </c:strCache>
            </c:strRef>
          </c:tx>
          <c:spPr>
            <a:solidFill>
              <a:srgbClr val="EEECE1">
                <a:lumMod val="90000"/>
              </a:srgbClr>
            </a:solidFill>
          </c:spPr>
          <c:invertIfNegative val="0"/>
          <c:dLbls>
            <c:dLbl>
              <c:idx val="0"/>
              <c:layout>
                <c:manualLayout>
                  <c:x val="2.4404658652825876E-2"/>
                  <c:y val="-4.8134875684535334E-3"/>
                </c:manualLayout>
              </c:layout>
              <c:tx>
                <c:rich>
                  <a:bodyPr/>
                  <a:lstStyle/>
                  <a:p>
                    <a:r>
                      <a:rPr lang="ru-RU" sz="999"/>
                      <a:t>8 256</a:t>
                    </a:r>
                    <a:endParaRPr lang="ru-RU"/>
                  </a:p>
                </c:rich>
              </c:tx>
              <c:showLegendKey val="0"/>
              <c:showVal val="0"/>
              <c:showCatName val="0"/>
              <c:showSerName val="0"/>
              <c:showPercent val="0"/>
              <c:showBubbleSize val="0"/>
            </c:dLbl>
            <c:txPr>
              <a:bodyPr/>
              <a:lstStyle/>
              <a:p>
                <a:pPr>
                  <a:defRPr sz="9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Лист1!$H$2</c:f>
              <c:numCache>
                <c:formatCode>General</c:formatCode>
                <c:ptCount val="1"/>
                <c:pt idx="0">
                  <c:v>7932</c:v>
                </c:pt>
              </c:numCache>
            </c:numRef>
          </c:val>
        </c:ser>
        <c:dLbls>
          <c:showLegendKey val="0"/>
          <c:showVal val="0"/>
          <c:showCatName val="0"/>
          <c:showSerName val="0"/>
          <c:showPercent val="0"/>
          <c:showBubbleSize val="0"/>
        </c:dLbls>
        <c:gapWidth val="75"/>
        <c:shape val="box"/>
        <c:axId val="98707712"/>
        <c:axId val="98725888"/>
        <c:axId val="0"/>
      </c:bar3DChart>
      <c:catAx>
        <c:axId val="98707712"/>
        <c:scaling>
          <c:orientation val="minMax"/>
        </c:scaling>
        <c:delete val="0"/>
        <c:axPos val="b"/>
        <c:numFmt formatCode="General" sourceLinked="1"/>
        <c:majorTickMark val="none"/>
        <c:minorTickMark val="none"/>
        <c:tickLblPos val="nextTo"/>
        <c:txPr>
          <a:bodyPr rot="0" vert="horz"/>
          <a:lstStyle/>
          <a:p>
            <a:pPr>
              <a:defRPr sz="1198" b="0" i="0" u="none" strike="noStrike" baseline="0">
                <a:solidFill>
                  <a:srgbClr val="000000"/>
                </a:solidFill>
                <a:latin typeface="Times New Roman"/>
                <a:ea typeface="Times New Roman"/>
                <a:cs typeface="Times New Roman"/>
              </a:defRPr>
            </a:pPr>
            <a:endParaRPr lang="ru-RU"/>
          </a:p>
        </c:txPr>
        <c:crossAx val="98725888"/>
        <c:crosses val="autoZero"/>
        <c:auto val="1"/>
        <c:lblAlgn val="ctr"/>
        <c:lblOffset val="100"/>
        <c:noMultiLvlLbl val="0"/>
      </c:catAx>
      <c:valAx>
        <c:axId val="98725888"/>
        <c:scaling>
          <c:orientation val="minMax"/>
        </c:scaling>
        <c:delete val="1"/>
        <c:axPos val="l"/>
        <c:numFmt formatCode="General" sourceLinked="1"/>
        <c:majorTickMark val="out"/>
        <c:minorTickMark val="none"/>
        <c:tickLblPos val="nextTo"/>
        <c:crossAx val="98707712"/>
        <c:crosses val="autoZero"/>
        <c:crossBetween val="between"/>
      </c:valAx>
      <c:spPr>
        <a:noFill/>
        <a:ln w="25364">
          <a:noFill/>
        </a:ln>
      </c:spPr>
    </c:plotArea>
    <c:legend>
      <c:legendPos val="b"/>
      <c:layout>
        <c:manualLayout>
          <c:xMode val="edge"/>
          <c:yMode val="edge"/>
          <c:x val="9.2463187864228844E-2"/>
          <c:y val="0.55878276829088291"/>
          <c:w val="0.87710994943108334"/>
          <c:h val="0.42936632992795715"/>
        </c:manualLayout>
      </c:layout>
      <c:overlay val="0"/>
      <c:spPr>
        <a:ln>
          <a:noFill/>
        </a:ln>
      </c:spPr>
      <c:txPr>
        <a:bodyPr/>
        <a:lstStyle/>
        <a:p>
          <a:pPr>
            <a:defRPr sz="999"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ln>
      <a:noFill/>
    </a:ln>
  </c:spPr>
  <c:txPr>
    <a:bodyPr/>
    <a:lstStyle/>
    <a:p>
      <a:pPr>
        <a:defRPr sz="1198" b="0" i="0" u="none" strike="noStrike" baseline="0">
          <a:solidFill>
            <a:srgbClr val="000000"/>
          </a:solidFill>
          <a:latin typeface="Times New Roman"/>
          <a:ea typeface="Times New Roman"/>
          <a:cs typeface="Times New Roman"/>
        </a:defRPr>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t>Кассовое обслуживание исполнения местных бюджетов</a:t>
            </a:r>
            <a:r>
              <a:rPr lang="ru-RU" sz="1200" baseline="0"/>
              <a:t> </a:t>
            </a:r>
            <a:r>
              <a:rPr lang="ru-RU" sz="1200"/>
              <a:t>по состоянию на 1 января 2017 года</a:t>
            </a:r>
          </a:p>
        </c:rich>
      </c:tx>
      <c:layout>
        <c:manualLayout>
          <c:xMode val="edge"/>
          <c:yMode val="edge"/>
          <c:x val="0.13116929757485762"/>
          <c:y val="2.0625541940739053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0103683848029637E-2"/>
          <c:y val="0.25651199504121025"/>
          <c:w val="0.5258976936393589"/>
          <c:h val="0.54835528513481269"/>
        </c:manualLayout>
      </c:layout>
      <c:pie3DChart>
        <c:varyColors val="1"/>
        <c:ser>
          <c:idx val="0"/>
          <c:order val="0"/>
          <c:tx>
            <c:strRef>
              <c:f>Лист1!$B$1</c:f>
              <c:strCache>
                <c:ptCount val="1"/>
                <c:pt idx="0">
                  <c:v>Кассовое обслуживание исполнения местных бюджетов по состоянию на 1 января 2015 года</c:v>
                </c:pt>
              </c:strCache>
            </c:strRef>
          </c:tx>
          <c:explosion val="25"/>
          <c:dPt>
            <c:idx val="0"/>
            <c:bubble3D val="0"/>
            <c:explosion val="6"/>
            <c:spPr>
              <a:solidFill>
                <a:schemeClr val="accent1">
                  <a:lumMod val="40000"/>
                  <a:lumOff val="60000"/>
                </a:schemeClr>
              </a:solidFill>
            </c:spPr>
          </c:dPt>
          <c:dPt>
            <c:idx val="1"/>
            <c:bubble3D val="0"/>
            <c:explosion val="6"/>
            <c:spPr>
              <a:solidFill>
                <a:schemeClr val="bg1">
                  <a:lumMod val="85000"/>
                </a:schemeClr>
              </a:solidFill>
            </c:spPr>
          </c:dPt>
          <c:dPt>
            <c:idx val="2"/>
            <c:bubble3D val="0"/>
            <c:explosion val="0"/>
            <c:spPr>
              <a:solidFill>
                <a:schemeClr val="accent6">
                  <a:lumMod val="20000"/>
                  <a:lumOff val="80000"/>
                </a:schemeClr>
              </a:solidFill>
            </c:spPr>
          </c:dPt>
          <c:dLbls>
            <c:dLbl>
              <c:idx val="0"/>
              <c:layout>
                <c:manualLayout>
                  <c:x val="-1.0484561825605133E-2"/>
                  <c:y val="-5.6242657167854017E-2"/>
                </c:manualLayout>
              </c:layout>
              <c:tx>
                <c:rich>
                  <a:bodyPr/>
                  <a:lstStyle/>
                  <a:p>
                    <a:r>
                      <a:rPr lang="ru-RU" sz="999"/>
                      <a:t>6 243</a:t>
                    </a:r>
                  </a:p>
                  <a:p>
                    <a:r>
                      <a:rPr lang="ru-RU" sz="999"/>
                      <a:t>27,7 </a:t>
                    </a:r>
                    <a:r>
                      <a:rPr lang="en-US" sz="999"/>
                      <a:t>%</a:t>
                    </a:r>
                    <a:endParaRPr lang="en-US"/>
                  </a:p>
                </c:rich>
              </c:tx>
              <c:dLblPos val="bestFit"/>
              <c:showLegendKey val="0"/>
              <c:showVal val="0"/>
              <c:showCatName val="0"/>
              <c:showSerName val="0"/>
              <c:showPercent val="0"/>
              <c:showBubbleSize val="0"/>
            </c:dLbl>
            <c:dLbl>
              <c:idx val="1"/>
              <c:layout>
                <c:manualLayout>
                  <c:x val="-2.8206474190726159E-2"/>
                  <c:y val="1.6280152480939881E-2"/>
                </c:manualLayout>
              </c:layout>
              <c:tx>
                <c:rich>
                  <a:bodyPr/>
                  <a:lstStyle/>
                  <a:p>
                    <a:r>
                      <a:rPr lang="ru-RU" sz="999"/>
                      <a:t>11 429</a:t>
                    </a:r>
                  </a:p>
                  <a:p>
                    <a:r>
                      <a:rPr lang="ru-RU" sz="999"/>
                      <a:t>50,7 </a:t>
                    </a:r>
                    <a:r>
                      <a:rPr lang="en-US" sz="999"/>
                      <a:t>%</a:t>
                    </a:r>
                    <a:endParaRPr lang="en-US"/>
                  </a:p>
                </c:rich>
              </c:tx>
              <c:dLblPos val="bestFit"/>
              <c:showLegendKey val="0"/>
              <c:showVal val="0"/>
              <c:showCatName val="0"/>
              <c:showSerName val="0"/>
              <c:showPercent val="0"/>
              <c:showBubbleSize val="0"/>
            </c:dLbl>
            <c:dLbl>
              <c:idx val="2"/>
              <c:layout>
                <c:manualLayout>
                  <c:x val="-3.4373541848935547E-2"/>
                  <c:y val="-1.5455255593050868E-2"/>
                </c:manualLayout>
              </c:layout>
              <c:tx>
                <c:rich>
                  <a:bodyPr/>
                  <a:lstStyle/>
                  <a:p>
                    <a:r>
                      <a:rPr lang="ru-RU" sz="999"/>
                      <a:t>4 881</a:t>
                    </a:r>
                  </a:p>
                  <a:p>
                    <a:r>
                      <a:rPr lang="ru-RU" sz="999"/>
                      <a:t>21,6 </a:t>
                    </a:r>
                    <a:r>
                      <a:rPr lang="en-US" sz="999"/>
                      <a:t>%</a:t>
                    </a:r>
                    <a:endParaRPr lang="en-US"/>
                  </a:p>
                </c:rich>
              </c:tx>
              <c:dLblPos val="bestFit"/>
              <c:showLegendKey val="0"/>
              <c:showVal val="0"/>
              <c:showCatName val="0"/>
              <c:showSerName val="0"/>
              <c:showPercent val="0"/>
              <c:showBubbleSize val="0"/>
            </c:dLbl>
            <c:txPr>
              <a:bodyPr/>
              <a:lstStyle/>
              <a:p>
                <a:pPr>
                  <a:defRPr sz="999"/>
                </a:pPr>
                <a:endParaRPr lang="ru-RU"/>
              </a:p>
            </c:txPr>
            <c:showLegendKey val="0"/>
            <c:showVal val="0"/>
            <c:showCatName val="0"/>
            <c:showSerName val="0"/>
            <c:showPercent val="1"/>
            <c:showBubbleSize val="0"/>
            <c:showLeaderLines val="1"/>
          </c:dLbls>
          <c:cat>
            <c:strRef>
              <c:f>Лист1!$A$2:$A$4</c:f>
              <c:strCache>
                <c:ptCount val="3"/>
                <c:pt idx="0">
                  <c:v>с открытием лицевого счета бюджета финансовому органу</c:v>
                </c:pt>
                <c:pt idx="1">
                  <c:v>с открытием лицевых счетов согласно соответствующему соглашению</c:v>
                </c:pt>
                <c:pt idx="2">
                  <c:v>с применением «смешанного» порядка кассового обслуживания</c:v>
                </c:pt>
              </c:strCache>
            </c:strRef>
          </c:cat>
          <c:val>
            <c:numRef>
              <c:f>Лист1!$B$2:$B$4</c:f>
              <c:numCache>
                <c:formatCode>General</c:formatCode>
                <c:ptCount val="3"/>
                <c:pt idx="0">
                  <c:v>6555</c:v>
                </c:pt>
                <c:pt idx="1">
                  <c:v>11593</c:v>
                </c:pt>
                <c:pt idx="2">
                  <c:v>4623</c:v>
                </c:pt>
              </c:numCache>
            </c:numRef>
          </c:val>
        </c:ser>
        <c:dLbls>
          <c:showLegendKey val="0"/>
          <c:showVal val="0"/>
          <c:showCatName val="0"/>
          <c:showSerName val="0"/>
          <c:showPercent val="0"/>
          <c:showBubbleSize val="0"/>
          <c:showLeaderLines val="1"/>
        </c:dLbls>
      </c:pie3DChart>
      <c:spPr>
        <a:noFill/>
        <a:ln w="25380">
          <a:noFill/>
        </a:ln>
      </c:spPr>
    </c:plotArea>
    <c:legend>
      <c:legendPos val="r"/>
      <c:layout>
        <c:manualLayout>
          <c:xMode val="edge"/>
          <c:yMode val="edge"/>
          <c:x val="0.58581743557223143"/>
          <c:y val="0.22120170929047095"/>
          <c:w val="0.33232679807641496"/>
          <c:h val="0.61233422268497439"/>
        </c:manualLayout>
      </c:layout>
      <c:overlay val="0"/>
      <c:txPr>
        <a:bodyPr/>
        <a:lstStyle/>
        <a:p>
          <a:pPr>
            <a:defRPr sz="999"/>
          </a:pPr>
          <a:endParaRPr lang="ru-RU"/>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0.47788</cdr:x>
      <cdr:y>0.63359</cdr:y>
    </cdr:from>
    <cdr:to>
      <cdr:x>0.79302</cdr:x>
      <cdr:y>1</cdr:y>
    </cdr:to>
    <cdr:sp macro="" textlink="">
      <cdr:nvSpPr>
        <cdr:cNvPr id="2" name="TextBox 1"/>
        <cdr:cNvSpPr txBox="1"/>
      </cdr:nvSpPr>
      <cdr:spPr>
        <a:xfrm xmlns:a="http://schemas.openxmlformats.org/drawingml/2006/main">
          <a:off x="1457325" y="22860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0.14083</cdr:y>
    </cdr:to>
    <cdr:sp macro="" textlink="">
      <cdr:nvSpPr>
        <cdr:cNvPr id="2" name="TextBox 1"/>
        <cdr:cNvSpPr txBox="1"/>
      </cdr:nvSpPr>
      <cdr:spPr>
        <a:xfrm xmlns:a="http://schemas.openxmlformats.org/drawingml/2006/main">
          <a:off x="111" y="0"/>
          <a:ext cx="5367020" cy="56098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200" b="1" dirty="0" smtClean="0">
              <a:latin typeface="Times New Roman" pitchFamily="18" charset="0"/>
              <a:cs typeface="Times New Roman" pitchFamily="18" charset="0"/>
            </a:rPr>
            <a:t>Количество </a:t>
          </a:r>
          <a:r>
            <a:rPr lang="ru-RU" sz="1200" b="1" dirty="0">
              <a:latin typeface="Times New Roman" pitchFamily="18" charset="0"/>
              <a:ea typeface="+mn-ea"/>
              <a:cs typeface="Times New Roman" pitchFamily="18" charset="0"/>
            </a:rPr>
            <a:t>лицевых </a:t>
          </a:r>
          <a:r>
            <a:rPr lang="ru-RU" sz="1200" b="1" dirty="0" smtClean="0">
              <a:latin typeface="Times New Roman" pitchFamily="18" charset="0"/>
              <a:ea typeface="+mn-ea"/>
              <a:cs typeface="Times New Roman" pitchFamily="18" charset="0"/>
            </a:rPr>
            <a:t>счетов, открытых </a:t>
          </a:r>
          <a:r>
            <a:rPr lang="ru-RU" sz="1200" b="1" dirty="0">
              <a:latin typeface="Times New Roman" pitchFamily="18" charset="0"/>
              <a:ea typeface="+mn-ea"/>
              <a:cs typeface="Times New Roman" pitchFamily="18" charset="0"/>
            </a:rPr>
            <a:t>участникам бюджетного</a:t>
          </a:r>
          <a:r>
            <a:rPr lang="ru-RU" sz="1200" b="1" baseline="0" dirty="0">
              <a:latin typeface="Times New Roman" pitchFamily="18" charset="0"/>
              <a:ea typeface="+mn-ea"/>
              <a:cs typeface="Times New Roman" pitchFamily="18" charset="0"/>
            </a:rPr>
            <a:t> </a:t>
          </a:r>
          <a:r>
            <a:rPr lang="ru-RU" sz="1200" b="1" dirty="0">
              <a:latin typeface="Times New Roman" pitchFamily="18" charset="0"/>
              <a:ea typeface="+mn-ea"/>
              <a:cs typeface="Times New Roman" pitchFamily="18" charset="0"/>
            </a:rPr>
            <a:t>процесса субъектов Российской </a:t>
          </a:r>
          <a:r>
            <a:rPr lang="ru-RU" sz="1200" b="1" dirty="0" smtClean="0">
              <a:latin typeface="Times New Roman" pitchFamily="18" charset="0"/>
              <a:ea typeface="+mn-ea"/>
              <a:cs typeface="Times New Roman" pitchFamily="18" charset="0"/>
            </a:rPr>
            <a:t>Федерации,</a:t>
          </a:r>
          <a:r>
            <a:rPr lang="ru-RU" sz="1200" b="1" baseline="0" dirty="0" smtClean="0">
              <a:latin typeface="Times New Roman" pitchFamily="18" charset="0"/>
              <a:ea typeface="+mn-ea"/>
              <a:cs typeface="Times New Roman" pitchFamily="18" charset="0"/>
            </a:rPr>
            <a:t> </a:t>
          </a:r>
          <a:r>
            <a:rPr lang="ru-RU" sz="1200" b="1" dirty="0" smtClean="0">
              <a:latin typeface="Times New Roman" pitchFamily="18" charset="0"/>
              <a:ea typeface="+mn-ea"/>
              <a:cs typeface="Times New Roman" pitchFamily="18" charset="0"/>
            </a:rPr>
            <a:t>по состоянию на 1 января 2017 года</a:t>
          </a:r>
          <a:endParaRPr lang="ru-RU" sz="1200" b="1" dirty="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0.11424</cdr:x>
      <cdr:y>0.62715</cdr:y>
    </cdr:from>
    <cdr:to>
      <cdr:x>0.2623</cdr:x>
      <cdr:y>0.6725</cdr:y>
    </cdr:to>
    <cdr:sp macro="" textlink="">
      <cdr:nvSpPr>
        <cdr:cNvPr id="2" name="Надпись 2"/>
        <cdr:cNvSpPr txBox="1">
          <a:spLocks xmlns:a="http://schemas.openxmlformats.org/drawingml/2006/main" noChangeArrowheads="1"/>
        </cdr:cNvSpPr>
      </cdr:nvSpPr>
      <cdr:spPr bwMode="auto">
        <a:xfrm xmlns:a="http://schemas.openxmlformats.org/drawingml/2006/main">
          <a:off x="597387" y="2389441"/>
          <a:ext cx="774213" cy="17278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l"/>
          <a:r>
            <a:rPr lang="ru-RU" sz="1000">
              <a:latin typeface="Times New Roman" panose="02020603050405020304" pitchFamily="18" charset="0"/>
              <a:cs typeface="Times New Roman" panose="02020603050405020304" pitchFamily="18" charset="0"/>
            </a:rPr>
            <a:t>01.01.2016</a:t>
          </a:r>
        </a:p>
      </cdr:txBody>
    </cdr:sp>
  </cdr:relSizeAnchor>
  <cdr:relSizeAnchor xmlns:cdr="http://schemas.openxmlformats.org/drawingml/2006/chartDrawing">
    <cdr:from>
      <cdr:x>0.35718</cdr:x>
      <cdr:y>0.6312</cdr:y>
    </cdr:from>
    <cdr:to>
      <cdr:x>0.50638</cdr:x>
      <cdr:y>0.675</cdr:y>
    </cdr:to>
    <cdr:sp macro="" textlink="">
      <cdr:nvSpPr>
        <cdr:cNvPr id="3" name="Надпись 2"/>
        <cdr:cNvSpPr txBox="1">
          <a:spLocks xmlns:a="http://schemas.openxmlformats.org/drawingml/2006/main" noChangeArrowheads="1"/>
        </cdr:cNvSpPr>
      </cdr:nvSpPr>
      <cdr:spPr bwMode="auto">
        <a:xfrm xmlns:a="http://schemas.openxmlformats.org/drawingml/2006/main">
          <a:off x="1867775" y="2404873"/>
          <a:ext cx="780175" cy="16687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01.01.2016</a:t>
          </a:r>
        </a:p>
      </cdr:txBody>
    </cdr:sp>
  </cdr:relSizeAnchor>
  <cdr:relSizeAnchor xmlns:cdr="http://schemas.openxmlformats.org/drawingml/2006/chartDrawing">
    <cdr:from>
      <cdr:x>0.63003</cdr:x>
      <cdr:y>0.63177</cdr:y>
    </cdr:from>
    <cdr:to>
      <cdr:x>0.79417</cdr:x>
      <cdr:y>0.6775</cdr:y>
    </cdr:to>
    <cdr:sp macro="" textlink="">
      <cdr:nvSpPr>
        <cdr:cNvPr id="4" name="Надпись 2"/>
        <cdr:cNvSpPr txBox="1">
          <a:spLocks xmlns:a="http://schemas.openxmlformats.org/drawingml/2006/main" noChangeArrowheads="1"/>
        </cdr:cNvSpPr>
      </cdr:nvSpPr>
      <cdr:spPr bwMode="auto">
        <a:xfrm xmlns:a="http://schemas.openxmlformats.org/drawingml/2006/main">
          <a:off x="3294569" y="2407044"/>
          <a:ext cx="858331" cy="17423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01.01.2016</a:t>
          </a:r>
        </a:p>
      </cdr:txBody>
    </cdr:sp>
  </cdr:relSizeAnchor>
  <cdr:relSizeAnchor xmlns:cdr="http://schemas.openxmlformats.org/drawingml/2006/chartDrawing">
    <cdr:from>
      <cdr:x>0.2264</cdr:x>
      <cdr:y>0.63004</cdr:y>
    </cdr:from>
    <cdr:to>
      <cdr:x>0.37705</cdr:x>
      <cdr:y>0.6675</cdr:y>
    </cdr:to>
    <cdr:sp macro="" textlink="">
      <cdr:nvSpPr>
        <cdr:cNvPr id="5" name="Надпись 2"/>
        <cdr:cNvSpPr txBox="1">
          <a:spLocks xmlns:a="http://schemas.openxmlformats.org/drawingml/2006/main" noChangeArrowheads="1"/>
        </cdr:cNvSpPr>
      </cdr:nvSpPr>
      <cdr:spPr bwMode="auto">
        <a:xfrm xmlns:a="http://schemas.openxmlformats.org/drawingml/2006/main">
          <a:off x="1183897" y="2400453"/>
          <a:ext cx="787778" cy="14272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01.01.2017</a:t>
          </a:r>
        </a:p>
      </cdr:txBody>
    </cdr:sp>
  </cdr:relSizeAnchor>
  <cdr:relSizeAnchor xmlns:cdr="http://schemas.openxmlformats.org/drawingml/2006/chartDrawing">
    <cdr:from>
      <cdr:x>0.48618</cdr:x>
      <cdr:y>0.63177</cdr:y>
    </cdr:from>
    <cdr:to>
      <cdr:x>0.63206</cdr:x>
      <cdr:y>0.6775</cdr:y>
    </cdr:to>
    <cdr:sp macro="" textlink="">
      <cdr:nvSpPr>
        <cdr:cNvPr id="6" name="Надпись 2"/>
        <cdr:cNvSpPr txBox="1">
          <a:spLocks xmlns:a="http://schemas.openxmlformats.org/drawingml/2006/main" noChangeArrowheads="1"/>
        </cdr:cNvSpPr>
      </cdr:nvSpPr>
      <cdr:spPr bwMode="auto">
        <a:xfrm xmlns:a="http://schemas.openxmlformats.org/drawingml/2006/main">
          <a:off x="2542345" y="2407044"/>
          <a:ext cx="762830" cy="17423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01.01.2017</a:t>
          </a:r>
        </a:p>
      </cdr:txBody>
    </cdr:sp>
  </cdr:relSizeAnchor>
  <cdr:relSizeAnchor xmlns:cdr="http://schemas.openxmlformats.org/drawingml/2006/chartDrawing">
    <cdr:from>
      <cdr:x>0.75065</cdr:x>
      <cdr:y>0.63004</cdr:y>
    </cdr:from>
    <cdr:to>
      <cdr:x>0.92532</cdr:x>
      <cdr:y>0.675</cdr:y>
    </cdr:to>
    <cdr:sp macro="" textlink="">
      <cdr:nvSpPr>
        <cdr:cNvPr id="7" name="Надпись 2"/>
        <cdr:cNvSpPr txBox="1">
          <a:spLocks xmlns:a="http://schemas.openxmlformats.org/drawingml/2006/main" noChangeArrowheads="1"/>
        </cdr:cNvSpPr>
      </cdr:nvSpPr>
      <cdr:spPr bwMode="auto">
        <a:xfrm xmlns:a="http://schemas.openxmlformats.org/drawingml/2006/main">
          <a:off x="3925318" y="2400453"/>
          <a:ext cx="913382" cy="17129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01.01.2017</a:t>
          </a:r>
        </a:p>
      </cdr:txBody>
    </cdr:sp>
  </cdr:relSizeAnchor>
  <cdr:relSizeAnchor xmlns:cdr="http://schemas.openxmlformats.org/drawingml/2006/chartDrawing">
    <cdr:from>
      <cdr:x>0.15001</cdr:x>
      <cdr:y>0</cdr:y>
    </cdr:from>
    <cdr:to>
      <cdr:x>0.93538</cdr:x>
      <cdr:y>0.19861</cdr:y>
    </cdr:to>
    <cdr:sp macro="" textlink="">
      <cdr:nvSpPr>
        <cdr:cNvPr id="16" name="Поле 15"/>
        <cdr:cNvSpPr txBox="1"/>
      </cdr:nvSpPr>
      <cdr:spPr>
        <a:xfrm xmlns:a="http://schemas.openxmlformats.org/drawingml/2006/main">
          <a:off x="811033" y="-1184744"/>
          <a:ext cx="4245996" cy="6679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200" b="1">
              <a:effectLst/>
              <a:latin typeface="Times New Roman" panose="02020603050405020304" pitchFamily="18" charset="0"/>
              <a:ea typeface="+mn-ea"/>
              <a:cs typeface="Times New Roman" panose="02020603050405020304" pitchFamily="18" charset="0"/>
            </a:rPr>
            <a:t>Динамика смены вариантов кассового обслуживания</a:t>
          </a:r>
        </a:p>
        <a:p xmlns:a="http://schemas.openxmlformats.org/drawingml/2006/main">
          <a:pPr algn="ctr"/>
          <a:r>
            <a:rPr lang="ru-RU" sz="1200" b="1">
              <a:effectLst/>
              <a:latin typeface="Times New Roman" panose="02020603050405020304" pitchFamily="18" charset="0"/>
              <a:ea typeface="+mn-ea"/>
              <a:cs typeface="Times New Roman" panose="02020603050405020304" pitchFamily="18" charset="0"/>
            </a:rPr>
            <a:t> исполнения</a:t>
          </a:r>
          <a:r>
            <a:rPr lang="ru-RU" sz="1200" b="1" baseline="0">
              <a:effectLst/>
              <a:latin typeface="Times New Roman" panose="02020603050405020304" pitchFamily="18" charset="0"/>
              <a:ea typeface="+mn-ea"/>
              <a:cs typeface="Times New Roman" panose="02020603050405020304" pitchFamily="18" charset="0"/>
            </a:rPr>
            <a:t> </a:t>
          </a:r>
          <a:r>
            <a:rPr lang="ru-RU" sz="1200" b="1">
              <a:effectLst/>
              <a:latin typeface="Times New Roman" panose="02020603050405020304" pitchFamily="18" charset="0"/>
              <a:ea typeface="+mn-ea"/>
              <a:cs typeface="Times New Roman" panose="02020603050405020304" pitchFamily="18" charset="0"/>
            </a:rPr>
            <a:t>местных бюджетов</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0.01007</cdr:x>
      <cdr:y>0</cdr:y>
    </cdr:from>
    <cdr:to>
      <cdr:x>0.16436</cdr:x>
      <cdr:y>0.08696</cdr:y>
    </cdr:to>
    <cdr:sp macro="" textlink="">
      <cdr:nvSpPr>
        <cdr:cNvPr id="633857" name="Rectangle 1"/>
        <cdr:cNvSpPr>
          <a:spLocks xmlns:a="http://schemas.openxmlformats.org/drawingml/2006/main" noChangeArrowheads="1"/>
        </cdr:cNvSpPr>
      </cdr:nvSpPr>
      <cdr:spPr bwMode="auto">
        <a:xfrm xmlns:a="http://schemas.openxmlformats.org/drawingml/2006/main">
          <a:off x="57462" y="0"/>
          <a:ext cx="880791" cy="20673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1">
            <a:defRPr sz="1000"/>
          </a:pPr>
          <a:r>
            <a:rPr lang="ru-RU" sz="1000" b="0" i="0" strike="noStrike">
              <a:solidFill>
                <a:srgbClr val="000000"/>
              </a:solidFill>
              <a:latin typeface="Times New Roman"/>
              <a:cs typeface="Times New Roman"/>
            </a:rPr>
            <a:t>млрд</a:t>
          </a:r>
          <a:r>
            <a:rPr lang="ru-RU" sz="1000" b="0" i="0" strike="noStrike" baseline="0">
              <a:solidFill>
                <a:srgbClr val="000000"/>
              </a:solidFill>
              <a:latin typeface="Times New Roman"/>
              <a:cs typeface="Times New Roman"/>
            </a:rPr>
            <a:t> р</a:t>
          </a:r>
          <a:r>
            <a:rPr lang="ru-RU" sz="1000" b="0" i="0" strike="noStrike">
              <a:solidFill>
                <a:srgbClr val="000000"/>
              </a:solidFill>
              <a:latin typeface="Times New Roman"/>
              <a:cs typeface="Times New Roman"/>
            </a:rPr>
            <a:t>ублей</a:t>
          </a:r>
        </a:p>
        <a:p xmlns:a="http://schemas.openxmlformats.org/drawingml/2006/main">
          <a:pPr algn="l" rtl="1">
            <a:defRPr sz="1000"/>
          </a:pPr>
          <a:endParaRPr lang="ru-RU" sz="800" b="0" i="0" strike="noStrike">
            <a:solidFill>
              <a:srgbClr val="000000"/>
            </a:solidFill>
            <a:latin typeface="Times New Roman"/>
            <a:cs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0.37284</cdr:x>
      <cdr:y>0.29199</cdr:y>
    </cdr:from>
    <cdr:to>
      <cdr:x>0.47487</cdr:x>
      <cdr:y>0.44892</cdr:y>
    </cdr:to>
    <cdr:sp macro="" textlink="">
      <cdr:nvSpPr>
        <cdr:cNvPr id="2" name="TextBox 1"/>
        <cdr:cNvSpPr txBox="1"/>
      </cdr:nvSpPr>
      <cdr:spPr>
        <a:xfrm xmlns:a="http://schemas.openxmlformats.org/drawingml/2006/main">
          <a:off x="1713637" y="801651"/>
          <a:ext cx="468923" cy="43082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drawings/drawing6.xml><?xml version="1.0" encoding="utf-8"?>
<c:userShapes xmlns:c="http://schemas.openxmlformats.org/drawingml/2006/chart">
  <cdr:relSizeAnchor xmlns:cdr="http://schemas.openxmlformats.org/drawingml/2006/chartDrawing">
    <cdr:from>
      <cdr:x>0.37284</cdr:x>
      <cdr:y>0.29199</cdr:y>
    </cdr:from>
    <cdr:to>
      <cdr:x>0.47487</cdr:x>
      <cdr:y>0.44892</cdr:y>
    </cdr:to>
    <cdr:sp macro="" textlink="">
      <cdr:nvSpPr>
        <cdr:cNvPr id="2" name="TextBox 1"/>
        <cdr:cNvSpPr txBox="1"/>
      </cdr:nvSpPr>
      <cdr:spPr>
        <a:xfrm xmlns:a="http://schemas.openxmlformats.org/drawingml/2006/main">
          <a:off x="1713637" y="801651"/>
          <a:ext cx="468923" cy="43082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drawings/drawing7.xml><?xml version="1.0" encoding="utf-8"?>
<c:userShapes xmlns:c="http://schemas.openxmlformats.org/drawingml/2006/chart">
  <cdr:relSizeAnchor xmlns:cdr="http://schemas.openxmlformats.org/drawingml/2006/chartDrawing">
    <cdr:from>
      <cdr:x>0.26349</cdr:x>
      <cdr:y>0.03134</cdr:y>
    </cdr:from>
    <cdr:to>
      <cdr:x>0.34721</cdr:x>
      <cdr:y>0.14465</cdr:y>
    </cdr:to>
    <cdr:sp macro="" textlink="">
      <cdr:nvSpPr>
        <cdr:cNvPr id="2" name="Прямоугольник 1"/>
        <cdr:cNvSpPr/>
      </cdr:nvSpPr>
      <cdr:spPr>
        <a:xfrm xmlns:a="http://schemas.openxmlformats.org/drawingml/2006/main">
          <a:off x="1701580" y="103367"/>
          <a:ext cx="540688" cy="373712"/>
        </a:xfrm>
        <a:prstGeom xmlns:a="http://schemas.openxmlformats.org/drawingml/2006/main" prst="rect">
          <a:avLst/>
        </a:prstGeom>
        <a:solidFill xmlns:a="http://schemas.openxmlformats.org/drawingml/2006/main">
          <a:schemeClr val="accent1">
            <a:alpha val="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000">
              <a:solidFill>
                <a:sysClr val="windowText" lastClr="000000"/>
              </a:solidFill>
            </a:rPr>
            <a:t>728</a:t>
          </a:r>
          <a:endParaRPr lang="ru-RU">
            <a:solidFill>
              <a:sysClr val="windowText" lastClr="000000"/>
            </a:solidFill>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0.57279</cdr:x>
      <cdr:y>0.40747</cdr:y>
    </cdr:from>
    <cdr:to>
      <cdr:x>0.66399</cdr:x>
      <cdr:y>0.46653</cdr:y>
    </cdr:to>
    <cdr:sp macro="" textlink="">
      <cdr:nvSpPr>
        <cdr:cNvPr id="2" name="TextBox 1"/>
        <cdr:cNvSpPr txBox="1"/>
      </cdr:nvSpPr>
      <cdr:spPr>
        <a:xfrm xmlns:a="http://schemas.openxmlformats.org/drawingml/2006/main">
          <a:off x="5408996" y="2347263"/>
          <a:ext cx="861236" cy="34024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0.5818</cdr:x>
      <cdr:y>0.27088</cdr:y>
    </cdr:from>
    <cdr:to>
      <cdr:x>0.67863</cdr:x>
      <cdr:y>0.42961</cdr:y>
    </cdr:to>
    <cdr:sp macro="" textlink="">
      <cdr:nvSpPr>
        <cdr:cNvPr id="3" name="TextBox 2"/>
        <cdr:cNvSpPr txBox="1"/>
      </cdr:nvSpPr>
      <cdr:spPr>
        <a:xfrm xmlns:a="http://schemas.openxmlformats.org/drawingml/2006/main">
          <a:off x="5494056" y="156045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0.15663</cdr:x>
      <cdr:y>0.01587</cdr:y>
    </cdr:from>
    <cdr:to>
      <cdr:x>0.26402</cdr:x>
      <cdr:y>0.07837</cdr:y>
    </cdr:to>
    <cdr:sp macro="" textlink="">
      <cdr:nvSpPr>
        <cdr:cNvPr id="5" name="TextBox 4"/>
        <cdr:cNvSpPr txBox="1"/>
      </cdr:nvSpPr>
      <cdr:spPr>
        <a:xfrm xmlns:a="http://schemas.openxmlformats.org/drawingml/2006/main">
          <a:off x="936104" y="72008"/>
          <a:ext cx="641834" cy="28353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dirty="0" smtClean="0">
              <a:latin typeface="Times New Roman" panose="02020603050405020304" pitchFamily="18" charset="0"/>
              <a:cs typeface="Times New Roman" panose="02020603050405020304" pitchFamily="18" charset="0"/>
            </a:rPr>
            <a:t>7 360</a:t>
          </a:r>
          <a:endParaRPr lang="ru-RU" sz="1200" b="1"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0.42169</cdr:x>
      <cdr:y>0.44444</cdr:y>
    </cdr:from>
    <cdr:to>
      <cdr:x>0.52908</cdr:x>
      <cdr:y>0.50694</cdr:y>
    </cdr:to>
    <cdr:sp macro="" textlink="">
      <cdr:nvSpPr>
        <cdr:cNvPr id="6" name="TextBox 1"/>
        <cdr:cNvSpPr txBox="1"/>
      </cdr:nvSpPr>
      <cdr:spPr>
        <a:xfrm xmlns:a="http://schemas.openxmlformats.org/drawingml/2006/main">
          <a:off x="2520280" y="2016224"/>
          <a:ext cx="641834" cy="2835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dirty="0" smtClean="0">
              <a:latin typeface="Times New Roman" panose="02020603050405020304" pitchFamily="18" charset="0"/>
              <a:cs typeface="Times New Roman" panose="02020603050405020304" pitchFamily="18" charset="0"/>
            </a:rPr>
            <a:t>3 129</a:t>
          </a:r>
          <a:endParaRPr lang="ru-RU" sz="1200" b="1" dirty="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DC2E7-5BD4-49B8-BC4E-EDCFCFE13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2961</TotalTime>
  <Pages>416</Pages>
  <Words>114188</Words>
  <Characters>650877</Characters>
  <Application>Microsoft Office Word</Application>
  <DocSecurity>0</DocSecurity>
  <Lines>5423</Lines>
  <Paragraphs>1527</Paragraphs>
  <ScaleCrop>false</ScaleCrop>
  <HeadingPairs>
    <vt:vector size="2" baseType="variant">
      <vt:variant>
        <vt:lpstr>Название</vt:lpstr>
      </vt:variant>
      <vt:variant>
        <vt:i4>1</vt:i4>
      </vt:variant>
    </vt:vector>
  </HeadingPairs>
  <TitlesOfParts>
    <vt:vector size="1" baseType="lpstr">
      <vt:lpstr/>
    </vt:vector>
  </TitlesOfParts>
  <Company>S9500SCCM01</Company>
  <LinksUpToDate>false</LinksUpToDate>
  <CharactersWithSpaces>763538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Исакова Татьяна Васильевна</dc:creator>
  <cp:lastModifiedBy>Исакова Татьяна Васильевна</cp:lastModifiedBy>
  <cp:revision>515</cp:revision>
  <cp:lastPrinted>2017-03-09T12:48:00Z</cp:lastPrinted>
  <dcterms:created xsi:type="dcterms:W3CDTF">2017-02-28T10:37:00Z</dcterms:created>
  <dcterms:modified xsi:type="dcterms:W3CDTF">2017-04-03T16:09:00Z</dcterms:modified>
</cp:coreProperties>
</file>