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24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анкетирования на</w:t>
      </w:r>
      <w:r>
        <w:rPr>
          <w:rFonts w:ascii="Times New Roman" w:hAnsi="Times New Roman" w:cs="Times New Roman"/>
          <w:b/>
          <w:sz w:val="28"/>
          <w:szCs w:val="28"/>
        </w:rPr>
        <w:t xml:space="preserve"> расширенном заседании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Коллегии Федерального казначейства</w:t>
      </w:r>
    </w:p>
    <w:p>
      <w:pPr>
        <w:spacing w:before="24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анкетирования руководителей территориальных органов Федерального казначейства (далее – ТОФК), участвовавших </w:t>
      </w:r>
      <w:r>
        <w:rPr>
          <w:rFonts w:ascii="Times New Roman" w:hAnsi="Times New Roman" w:cs="Times New Roman"/>
          <w:sz w:val="28"/>
          <w:szCs w:val="28"/>
        </w:rPr>
        <w:br/>
        <w:t xml:space="preserve">в расширенном заседании Коллегии Федерального казначейства на тему «Итоги деятельности за 2016 год и основные направления развития Федерального казначейства на 2017 год и среднесрочную перспективу», состоявшемся 14 марта 2017 года, было получено 32 заполненные анкеты. 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обработке анкет каждому варианту ответа была присвоена балльная оценка. Ответы на вопросы анкеты № 1 и № 11 оценивались </w:t>
      </w:r>
      <w:r>
        <w:rPr>
          <w:rFonts w:ascii="Times New Roman" w:hAnsi="Times New Roman" w:cs="Times New Roman"/>
          <w:sz w:val="28"/>
          <w:szCs w:val="28"/>
        </w:rPr>
        <w:br/>
        <w:t>по 5-балльной шкале: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«улучшилась значительно» – 5 баллов;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«улучшилась незначительно» – 4 балла;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«осталась на прежнем уровне» – 3 балла;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«ухудшилась незначительно» – 2 балла;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«ухудшилась значительно» – 1 балл.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Ответы на вопросы №№ 2–10 и №№ 12–15 оценивались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 4-балльной шкале: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«полностью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 – 4 балла;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«скорее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 – 3 балла;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«скорее не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 – 2 балла;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 «не удовлетворе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а)» – 1 балл.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приказом Федерального казначейства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18 ноября 2011 г. № 548 «Об утверждении Порядка получения </w:t>
      </w:r>
      <w:r>
        <w:rPr>
          <w:rFonts w:ascii="Times New Roman" w:hAnsi="Times New Roman" w:cs="Times New Roman"/>
          <w:sz w:val="28"/>
          <w:szCs w:val="28"/>
        </w:rPr>
        <w:br/>
        <w:t>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казначейства» (далее – Приказ № 548)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асчет среднего значения оценки по каждому вопросу был произведен по формуле: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Среднее значение оценки = (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*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K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val="en-US" w:eastAsia="ru-RU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+…+2*К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+1*К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 / (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K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vertAlign w:val="subscript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>
      <w:pPr>
        <w:spacing w:after="0" w:line="36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 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val="en-US" w:eastAsia="ru-RU"/>
        </w:rPr>
        <w:t>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ответов с оценкой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2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2 балла;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>1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количество оценок 1 балла;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vertAlign w:val="subscript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количество вариантов без ответа;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количество ответов.</w:t>
      </w:r>
    </w:p>
    <w:p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Результаты обработки ответов на вопросы анкеты представлены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таблицах 1–6. Комментарии к ответам приведены в редакции респондентов.</w:t>
      </w:r>
    </w:p>
    <w:p>
      <w:pPr>
        <w:spacing w:before="240" w:after="24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 1</w:t>
      </w:r>
    </w:p>
    <w:p>
      <w:pPr>
        <w:spacing w:before="240" w:after="24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Ответы на вопрос №1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850"/>
        <w:gridCol w:w="851"/>
        <w:gridCol w:w="850"/>
        <w:gridCol w:w="851"/>
        <w:gridCol w:w="850"/>
      </w:tblGrid>
      <w:tr>
        <w:trPr>
          <w:cantSplit/>
          <w:trHeight w:val="1799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Насколько в целом изменилась работа центрального аппарата Федерального казначейства в 2016 году по сравнению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с 2015 годом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Улучшилась значительно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  <w:hideMark/>
          </w:tcPr>
          <w:p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Улучшилась незначительно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  <w:hideMark/>
          </w:tcPr>
          <w:p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Осталась на прежнем уровне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  <w:hideMark/>
          </w:tcPr>
          <w:p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Ухудшилась незначительно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  <w:hideMark/>
          </w:tcPr>
          <w:p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Ухудшилась значительно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hideMark/>
          </w:tcPr>
          <w:p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 ответа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</w:tcPr>
          <w:p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Среднее значение</w:t>
            </w:r>
          </w:p>
        </w:tc>
      </w:tr>
      <w:tr>
        <w:trPr>
          <w:cantSplit/>
          <w:trHeight w:val="211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>
        <w:trPr>
          <w:trHeight w:val="217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3,8</w:t>
            </w:r>
          </w:p>
        </w:tc>
      </w:tr>
    </w:tbl>
    <w:p>
      <w:pPr>
        <w:spacing w:before="240" w:after="240" w:line="36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31056" cy="1944806"/>
            <wp:effectExtent l="0" t="0" r="22225" b="1778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>
      <w:pPr>
        <w:spacing w:before="12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Рис. 1. Диаграмма ответов на вопрос о характере изменений </w:t>
      </w:r>
      <w:r>
        <w:rPr>
          <w:rFonts w:ascii="Times New Roman" w:hAnsi="Times New Roman" w:cs="Times New Roman"/>
          <w:sz w:val="24"/>
          <w:szCs w:val="24"/>
        </w:rPr>
        <w:br/>
        <w:t>работы ЦАФК в 2016 году по сравнению с 2015 годом</w:t>
      </w:r>
    </w:p>
    <w:p>
      <w:pPr>
        <w:spacing w:before="240"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2</w:t>
      </w:r>
    </w:p>
    <w:p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Ответы на вопросы №№ 2-3</w:t>
      </w: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709"/>
        <w:gridCol w:w="709"/>
        <w:gridCol w:w="709"/>
        <w:gridCol w:w="708"/>
        <w:gridCol w:w="709"/>
        <w:gridCol w:w="992"/>
      </w:tblGrid>
      <w:tr>
        <w:trPr>
          <w:cantSplit/>
          <w:trHeight w:val="1759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анкеты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Полностью удовлетворе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Скорее удовлетворе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Скорее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не удовлетворе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Нет ответа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00" w:lineRule="exact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Среднее значение оценки </w:t>
            </w:r>
          </w:p>
        </w:tc>
      </w:tr>
      <w:tr>
        <w:trPr>
          <w:trHeight w:hRule="exact" w:val="497"/>
          <w:tblHeader/>
        </w:trPr>
        <w:tc>
          <w:tcPr>
            <w:tcW w:w="709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EFEE8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rPr>
          <w:trHeight w:hRule="exact" w:val="741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20" w:lineRule="exact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Насколько Вы в целом удовлетворены взаимодействием ЦАФК с ТОФК?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36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3,4</w:t>
            </w:r>
          </w:p>
        </w:tc>
      </w:tr>
      <w:tr>
        <w:trPr>
          <w:trHeight w:hRule="exact" w:val="710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Насколько Вы удовлетворены взаимодействием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Вашего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ТОФК </w:t>
            </w:r>
            <w:r>
              <w:rPr>
                <w:rFonts w:ascii="Times New Roman" w:hAnsi="Times New Roman" w:cs="Times New Roman"/>
                <w:b/>
              </w:rPr>
              <w:br/>
              <w:t>с управлениями ЦАФК?</w:t>
            </w:r>
          </w:p>
        </w:tc>
        <w:tc>
          <w:tcPr>
            <w:tcW w:w="4536" w:type="dxa"/>
            <w:gridSpan w:val="6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>
        <w:trPr>
          <w:trHeight w:hRule="exact" w:val="564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Управление развития бюджетных платежей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17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3,5</w:t>
            </w:r>
          </w:p>
        </w:tc>
      </w:tr>
      <w:tr>
        <w:trPr>
          <w:trHeight w:hRule="exact" w:val="560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Управление бюджетного учета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br/>
              <w:t>и отчетности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>
        <w:trPr>
          <w:trHeight w:hRule="exact" w:val="579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Управление обеспечения исполнения федерального бюджета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3,7</w:t>
            </w:r>
          </w:p>
        </w:tc>
      </w:tr>
      <w:tr>
        <w:trPr>
          <w:trHeight w:hRule="exact" w:val="574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3.4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финансово-бюджетных операций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17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3,6</w:t>
            </w:r>
          </w:p>
        </w:tc>
      </w:tr>
      <w:tr>
        <w:trPr>
          <w:trHeight w:hRule="exact" w:val="563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совершенствования функциональной деятельности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3,4</w:t>
            </w:r>
          </w:p>
        </w:tc>
      </w:tr>
      <w:tr>
        <w:trPr>
          <w:trHeight w:hRule="exact" w:val="760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Управление внутреннего контроля (аудита) и оценки эффективности деятельности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3,6</w:t>
            </w:r>
          </w:p>
        </w:tc>
      </w:tr>
      <w:tr>
        <w:trPr>
          <w:trHeight w:hRule="exact" w:val="430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Административное управление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17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3,5</w:t>
            </w:r>
          </w:p>
        </w:tc>
      </w:tr>
      <w:tr>
        <w:trPr>
          <w:trHeight w:hRule="exact" w:val="422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Финансовое управление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3,6</w:t>
            </w:r>
          </w:p>
        </w:tc>
      </w:tr>
      <w:tr>
        <w:trPr>
          <w:trHeight w:hRule="exact" w:val="428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Юридическое управление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3,8</w:t>
            </w:r>
          </w:p>
        </w:tc>
      </w:tr>
      <w:tr>
        <w:trPr>
          <w:trHeight w:hRule="exact" w:val="419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Управление информационных систем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17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3,2</w:t>
            </w:r>
          </w:p>
        </w:tc>
      </w:tr>
      <w:tr>
        <w:trPr>
          <w:trHeight w:hRule="exact" w:val="556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Управление режима секретности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br/>
              <w:t>и безопасности информации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18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3,6</w:t>
            </w:r>
          </w:p>
        </w:tc>
      </w:tr>
      <w:tr>
        <w:trPr>
          <w:trHeight w:hRule="exact" w:val="426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Управление финансовых технологий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18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3,3</w:t>
            </w:r>
          </w:p>
        </w:tc>
      </w:tr>
      <w:tr>
        <w:trPr>
          <w:trHeight w:hRule="exact" w:val="700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3.13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Управление интегрированных информационных систем государственных финансов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18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3,2</w:t>
            </w:r>
          </w:p>
        </w:tc>
      </w:tr>
      <w:tr>
        <w:trPr>
          <w:trHeight w:hRule="exact" w:val="710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3.14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Управление систематизации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br/>
              <w:t xml:space="preserve">и классификации информации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br/>
              <w:t>в социально-экономической области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3,1</w:t>
            </w:r>
          </w:p>
        </w:tc>
      </w:tr>
      <w:tr>
        <w:trPr>
          <w:trHeight w:hRule="exact" w:val="436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Управление ведомственных проектов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3,5</w:t>
            </w:r>
          </w:p>
        </w:tc>
      </w:tr>
      <w:tr>
        <w:trPr>
          <w:trHeight w:hRule="exact" w:val="1135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3.16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Контрольно-ревизионное управление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br/>
              <w:t>в сфере национальной безопасности, правоохранительной деятельности, судебной системе и оборонном комплексе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17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3,5</w:t>
            </w:r>
          </w:p>
        </w:tc>
      </w:tr>
      <w:tr>
        <w:trPr>
          <w:trHeight w:hRule="exact" w:val="999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3.17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Контрольно-ревизионное управление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br/>
              <w:t xml:space="preserve">в социальной сфере, сфере межбюджетных отношений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br/>
              <w:t>и социального страхования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19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3,6</w:t>
            </w:r>
          </w:p>
        </w:tc>
      </w:tr>
      <w:tr>
        <w:trPr>
          <w:trHeight w:hRule="exact" w:val="555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3.18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Контрольно-ревизионное управление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br/>
              <w:t>в сфере развития экономики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18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3,6</w:t>
            </w:r>
          </w:p>
        </w:tc>
      </w:tr>
      <w:tr>
        <w:trPr>
          <w:trHeight w:hRule="exact" w:val="562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3.19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Управление по надзору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br/>
              <w:t>за аудиторской деятельностью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3,5</w:t>
            </w:r>
          </w:p>
        </w:tc>
      </w:tr>
      <w:tr>
        <w:trPr>
          <w:trHeight w:hRule="exact" w:val="556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3.20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Управление по контролю в сфере контрактных отношений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3,5</w:t>
            </w:r>
          </w:p>
        </w:tc>
      </w:tr>
      <w:tr>
        <w:trPr>
          <w:trHeight w:hRule="exact" w:val="705"/>
        </w:trPr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3.21</w:t>
            </w:r>
          </w:p>
        </w:tc>
        <w:tc>
          <w:tcPr>
            <w:tcW w:w="382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Управление планирования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br/>
              <w:t>и отчетности контрольно-надзорной деятельности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CFFDCF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3,5</w:t>
            </w:r>
          </w:p>
        </w:tc>
      </w:tr>
    </w:tbl>
    <w:p>
      <w:pPr>
        <w:spacing w:before="160" w:after="0" w:line="36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86651" cy="1610436"/>
            <wp:effectExtent l="0" t="0" r="24130" b="2794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>
      <w:pPr>
        <w:spacing w:before="120"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Рис. 2. Диаграмма оценок управлений ЦАФК за 2016 год</w:t>
      </w:r>
    </w:p>
    <w:p>
      <w:pPr>
        <w:spacing w:before="120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3</w:t>
      </w:r>
    </w:p>
    <w:p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Ответы на вопросы №№4–10</w:t>
      </w: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253"/>
        <w:gridCol w:w="709"/>
        <w:gridCol w:w="708"/>
        <w:gridCol w:w="709"/>
        <w:gridCol w:w="709"/>
        <w:gridCol w:w="709"/>
        <w:gridCol w:w="708"/>
      </w:tblGrid>
      <w:tr>
        <w:trPr>
          <w:cantSplit/>
          <w:trHeight w:val="1781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анкеты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Полностью удовлетворе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Скорее удовлетворе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Скорее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не удовлетворе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Нет ответа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  <w:hideMark/>
          </w:tcPr>
          <w:p>
            <w:pPr>
              <w:spacing w:after="0" w:line="200" w:lineRule="exact"/>
              <w:ind w:left="113" w:right="11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Среднее значение оценки </w:t>
            </w:r>
          </w:p>
        </w:tc>
      </w:tr>
      <w:tr>
        <w:trPr>
          <w:trHeight w:hRule="exact" w:val="317"/>
          <w:tblHeader/>
        </w:trPr>
        <w:tc>
          <w:tcPr>
            <w:tcW w:w="567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</w:tcPr>
          <w:p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rPr>
          <w:trHeight w:hRule="exact" w:val="1958"/>
        </w:trPr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Насколько Вы удовлетворены оперативностью принятия в центральном аппарате Федерального казначейства решений по поставленным Вами вопросам (оперативностью рассмотрения представленных документов, ответа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br/>
              <w:t xml:space="preserve">на электронные сообщения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br/>
              <w:t>и телефонные звонки)?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3,1</w:t>
            </w:r>
          </w:p>
        </w:tc>
      </w:tr>
      <w:tr>
        <w:trPr>
          <w:trHeight w:hRule="exact" w:val="1130"/>
        </w:trPr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Насколько Вы удовлетворены профессиональным уровнем сотрудников центрального аппарата Федерального казначейства, с которыми Вы взаимодействуете?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3,6</w:t>
            </w:r>
          </w:p>
        </w:tc>
      </w:tr>
      <w:tr>
        <w:trPr>
          <w:trHeight w:hRule="exact" w:val="1288"/>
        </w:trPr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Насколько Вы удовлетворены уровнем культуры общения сотрудников центрального аппарата Федерального казначейства, с которыми Вы взаимодействуете?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3,5</w:t>
            </w:r>
          </w:p>
        </w:tc>
      </w:tr>
      <w:tr>
        <w:trPr>
          <w:trHeight w:hRule="exact" w:val="1403"/>
        </w:trPr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</w:rPr>
              <w:t xml:space="preserve">Насколько Вы удовлетворены взаимодействием Межрегионального операционного управления Федерального казначейства с управлениями Федерального казначейства по субъектам </w:t>
            </w:r>
            <w:r>
              <w:rPr>
                <w:rFonts w:ascii="Times New Roman" w:hAnsi="Times New Roman" w:cs="Times New Roman"/>
              </w:rPr>
              <w:br/>
              <w:t>Российской Федерации?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3,8</w:t>
            </w:r>
          </w:p>
        </w:tc>
      </w:tr>
      <w:tr>
        <w:trPr>
          <w:trHeight w:hRule="exact" w:val="1138"/>
        </w:trPr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Насколько Вы удовлетворены профессиональным уровнем сотрудников Межрегионального операционного управления Федерального казначейства, </w:t>
            </w:r>
            <w:r>
              <w:rPr>
                <w:rFonts w:ascii="Times New Roman" w:hAnsi="Times New Roman" w:cs="Times New Roman"/>
                <w:bCs/>
              </w:rPr>
              <w:br/>
              <w:t>с которыми Вы взаимодействуете?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3,8</w:t>
            </w:r>
          </w:p>
        </w:tc>
      </w:tr>
      <w:tr>
        <w:trPr>
          <w:trHeight w:hRule="exact" w:val="1138"/>
        </w:trPr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Насколько Вы удовлетворены уровнем культуры общения сотрудников Межрегионального операционного управления Федерального казначейства, </w:t>
            </w:r>
            <w:r>
              <w:rPr>
                <w:rFonts w:ascii="Times New Roman" w:hAnsi="Times New Roman" w:cs="Times New Roman"/>
                <w:bCs/>
              </w:rPr>
              <w:br/>
              <w:t>с которыми Вы взаимодействуете?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3,8</w:t>
            </w:r>
          </w:p>
        </w:tc>
      </w:tr>
      <w:tr>
        <w:trPr>
          <w:trHeight w:val="829"/>
        </w:trPr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4253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Насколько Вы в целом удовлетворены взаимодействием с ФКУ «Центр по обеспечению деятельности Казначейства России» и его филиалами?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2,6</w:t>
            </w:r>
          </w:p>
        </w:tc>
      </w:tr>
    </w:tbl>
    <w:p>
      <w:pPr>
        <w:spacing w:before="240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4</w:t>
      </w:r>
    </w:p>
    <w:p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Ответы на вопрос № 11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850"/>
        <w:gridCol w:w="851"/>
        <w:gridCol w:w="850"/>
        <w:gridCol w:w="851"/>
        <w:gridCol w:w="850"/>
        <w:gridCol w:w="851"/>
        <w:gridCol w:w="850"/>
      </w:tblGrid>
      <w:tr>
        <w:trPr>
          <w:cantSplit/>
          <w:trHeight w:val="174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Как изменилась работа ФКУ «Центр по обеспечению деятельности Казначейства России» и его филиалов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  <w:t>за последнее время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Улучшилась значительно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  <w:hideMark/>
          </w:tcPr>
          <w:p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Улучшилась незначительно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  <w:hideMark/>
          </w:tcPr>
          <w:p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Осталась на прежнем уровне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  <w:hideMark/>
          </w:tcPr>
          <w:p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Ухудшилась незначительно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  <w:hideMark/>
          </w:tcPr>
          <w:p>
            <w:pPr>
              <w:spacing w:before="120" w:after="12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Ухудшилась значительно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hideMark/>
          </w:tcPr>
          <w:p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 ответа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</w:tcPr>
          <w:p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Среднее значение</w:t>
            </w:r>
          </w:p>
        </w:tc>
      </w:tr>
      <w:tr>
        <w:trPr>
          <w:cantSplit/>
          <w:trHeight w:val="547"/>
        </w:trPr>
        <w:tc>
          <w:tcPr>
            <w:tcW w:w="311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</w:tcPr>
          <w:p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>
        <w:trPr>
          <w:trHeight w:val="569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3,4</w:t>
            </w:r>
          </w:p>
        </w:tc>
      </w:tr>
    </w:tbl>
    <w:p>
      <w:pPr>
        <w:spacing w:before="120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 5</w:t>
      </w:r>
    </w:p>
    <w:p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Ответы на вопросы №№12–14</w:t>
      </w: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567"/>
        <w:gridCol w:w="567"/>
        <w:gridCol w:w="567"/>
        <w:gridCol w:w="567"/>
        <w:gridCol w:w="567"/>
        <w:gridCol w:w="850"/>
      </w:tblGrid>
      <w:tr>
        <w:trPr>
          <w:cantSplit/>
          <w:trHeight w:val="1729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анкеты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Полностью удовлетворе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Скорее удовлетворе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Скорее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не удовлетворе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Нет ответа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  <w:hideMark/>
          </w:tcPr>
          <w:p>
            <w:pPr>
              <w:spacing w:after="0" w:line="200" w:lineRule="exact"/>
              <w:ind w:left="113" w:right="11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Среднее значение оценки </w:t>
            </w:r>
          </w:p>
        </w:tc>
      </w:tr>
      <w:tr>
        <w:trPr>
          <w:trHeight w:hRule="exact" w:val="343"/>
          <w:tblHeader/>
        </w:trPr>
        <w:tc>
          <w:tcPr>
            <w:tcW w:w="567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20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rPr>
          <w:trHeight w:hRule="exact" w:val="1151"/>
          <w:tblHeader/>
        </w:trPr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 xml:space="preserve">Насколько Вы удовлетворены профессиональным уровнем сотрудников ФКУ «Центр </w:t>
            </w:r>
            <w:r>
              <w:rPr>
                <w:rFonts w:ascii="Times New Roman" w:hAnsi="Times New Roman" w:cs="Times New Roman"/>
                <w:color w:val="000000"/>
                <w:spacing w:val="-3"/>
              </w:rPr>
              <w:br/>
              <w:t>по обеспечению деятельности Казначейства России» и его филиалов, с которыми Вы взаимодействуете?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2,7</w:t>
            </w:r>
          </w:p>
        </w:tc>
      </w:tr>
      <w:tr>
        <w:trPr>
          <w:trHeight w:hRule="exact" w:val="1139"/>
          <w:tblHeader/>
        </w:trPr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Насколько Вы удовлетворены уровнем культуры общения сотрудников ФКУ «Центр </w:t>
            </w:r>
            <w:r>
              <w:rPr>
                <w:rFonts w:ascii="Times New Roman" w:hAnsi="Times New Roman" w:cs="Times New Roman"/>
              </w:rPr>
              <w:br/>
              <w:t>по обеспечению деятельности Казначейства России» и его филиалов, с которыми Вы взаимодействуете?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3,2</w:t>
            </w:r>
          </w:p>
        </w:tc>
      </w:tr>
      <w:tr>
        <w:trPr>
          <w:trHeight w:hRule="exact" w:val="1553"/>
          <w:tblHeader/>
        </w:trPr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8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Насколько Вы удовлетворены оперативностью принятия решений по поставленным Вами вопросам ФКУ «Центр по обеспечению деятельности Казначейства России» (оперативностью рассмотрения представленных документов, ответа на электронные сообщения </w:t>
            </w:r>
            <w:r>
              <w:rPr>
                <w:rFonts w:ascii="Times New Roman" w:hAnsi="Times New Roman" w:cs="Times New Roman"/>
              </w:rPr>
              <w:br/>
              <w:t>и телефонные звонки)?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2,4</w:t>
            </w:r>
          </w:p>
        </w:tc>
      </w:tr>
    </w:tbl>
    <w:p>
      <w:pPr>
        <w:spacing w:before="480"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 6</w:t>
      </w:r>
    </w:p>
    <w:p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Ответы на вопрос № 15</w:t>
      </w: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709"/>
        <w:gridCol w:w="708"/>
        <w:gridCol w:w="567"/>
        <w:gridCol w:w="567"/>
        <w:gridCol w:w="567"/>
        <w:gridCol w:w="567"/>
      </w:tblGrid>
      <w:tr>
        <w:trPr>
          <w:cantSplit/>
          <w:trHeight w:val="175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before="120" w:after="240" w:line="36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Вопросы анкеты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Полностью удовлетворе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Скорее удовлетворе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Скорее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не удовлетворе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Не удовлетворе</w:t>
            </w:r>
            <w:proofErr w:type="gram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Нет ответа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textDirection w:val="btLr"/>
            <w:vAlign w:val="center"/>
            <w:hideMark/>
          </w:tcPr>
          <w:p>
            <w:pPr>
              <w:spacing w:after="0" w:line="200" w:lineRule="exact"/>
              <w:ind w:left="113" w:right="113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Среднее значение оценки </w:t>
            </w:r>
          </w:p>
        </w:tc>
      </w:tr>
      <w:tr>
        <w:trPr>
          <w:trHeight w:hRule="exact" w:val="314"/>
        </w:trPr>
        <w:tc>
          <w:tcPr>
            <w:tcW w:w="426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  <w:hideMark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EE8"/>
            <w:vAlign w:val="center"/>
          </w:tcPr>
          <w:p>
            <w:pPr>
              <w:spacing w:after="0" w:line="220" w:lineRule="exac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>
        <w:trPr>
          <w:trHeight w:hRule="exact" w:val="682"/>
        </w:trPr>
        <w:tc>
          <w:tcPr>
            <w:tcW w:w="9072" w:type="dxa"/>
            <w:gridSpan w:val="8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3"/>
              </w:rPr>
              <w:t xml:space="preserve">Насколько Вы удовлетворены наполненностью </w:t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</w:rPr>
              <w:br/>
              <w:t>информационной составляющей информационной системы</w:t>
            </w:r>
            <w:r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?</w:t>
            </w:r>
          </w:p>
        </w:tc>
      </w:tr>
      <w:tr>
        <w:trPr>
          <w:trHeight w:hRule="exact" w:val="718"/>
        </w:trPr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Официальный интернет-сайт Федерального казначейства (</w:t>
            </w:r>
            <w:r>
              <w:rPr>
                <w:rFonts w:ascii="Times New Roman" w:hAnsi="Times New Roman" w:cs="Times New Roman"/>
                <w:lang w:val="en-US"/>
              </w:rPr>
              <w:t>www</w:t>
            </w:r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roskazna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3,7</w:t>
            </w:r>
          </w:p>
        </w:tc>
      </w:tr>
      <w:tr>
        <w:trPr>
          <w:trHeight w:hRule="exact" w:val="984"/>
        </w:trPr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Официальный сайт Российской Федерации </w:t>
            </w:r>
            <w:r>
              <w:rPr>
                <w:rFonts w:ascii="Times New Roman" w:hAnsi="Times New Roman" w:cs="Times New Roman"/>
              </w:rPr>
              <w:br/>
              <w:t>для размещения информации о государственных (муниципальных) учреждениях (</w:t>
            </w:r>
            <w:r>
              <w:rPr>
                <w:rFonts w:ascii="Times New Roman" w:hAnsi="Times New Roman" w:cs="Times New Roman"/>
                <w:lang w:val="en-US"/>
              </w:rPr>
              <w:t>www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bus</w:t>
            </w:r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gov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3,5</w:t>
            </w:r>
          </w:p>
        </w:tc>
      </w:tr>
      <w:tr>
        <w:trPr>
          <w:trHeight w:hRule="exact" w:val="558"/>
        </w:trPr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портал бюджетной системы Российской Федерации (budget.gov.ru)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3,4</w:t>
            </w:r>
          </w:p>
        </w:tc>
      </w:tr>
      <w:tr>
        <w:trPr>
          <w:trHeight w:hRule="exact" w:val="555"/>
        </w:trPr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Официальный сайт Единой информационной системы в сфере закупок (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zakupki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gov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3,4</w:t>
            </w:r>
          </w:p>
        </w:tc>
      </w:tr>
      <w:tr>
        <w:trPr>
          <w:trHeight w:hRule="exact" w:val="435"/>
        </w:trPr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Портал АСФК для ДУБП (</w:t>
            </w:r>
            <w:proofErr w:type="gramStart"/>
            <w:r>
              <w:rPr>
                <w:rFonts w:ascii="Times New Roman" w:hAnsi="Times New Roman" w:cs="Times New Roman"/>
              </w:rPr>
              <w:t>СУФД</w:t>
            </w:r>
            <w:proofErr w:type="gram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Online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3,7</w:t>
            </w:r>
          </w:p>
        </w:tc>
      </w:tr>
      <w:tr>
        <w:trPr>
          <w:trHeight w:hRule="exact" w:val="862"/>
        </w:trPr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Электронная форма для обращений физических </w:t>
            </w:r>
            <w:r>
              <w:rPr>
                <w:rFonts w:ascii="Times New Roman" w:hAnsi="Times New Roman" w:cs="Times New Roman"/>
              </w:rPr>
              <w:br/>
              <w:t>и юридических лиц сайта Федерального казначейства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3,7</w:t>
            </w:r>
          </w:p>
        </w:tc>
      </w:tr>
      <w:tr>
        <w:trPr>
          <w:trHeight w:hRule="exact" w:val="576"/>
        </w:trPr>
        <w:tc>
          <w:tcPr>
            <w:tcW w:w="9072" w:type="dxa"/>
            <w:gridSpan w:val="8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Насколько Вы удовлетворены качеством сопровождения </w:t>
            </w:r>
            <w:r>
              <w:rPr>
                <w:rFonts w:ascii="Times New Roman" w:hAnsi="Times New Roman" w:cs="Times New Roman"/>
                <w:b/>
                <w:bCs/>
              </w:rPr>
              <w:br/>
              <w:t>используемой информационной системы?</w:t>
            </w:r>
          </w:p>
        </w:tc>
      </w:tr>
      <w:tr>
        <w:trPr>
          <w:trHeight w:hRule="exact" w:val="698"/>
        </w:trPr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Официальный интернет-сайт Федерального казначейства (</w:t>
            </w:r>
            <w:r>
              <w:rPr>
                <w:rFonts w:ascii="Times New Roman" w:hAnsi="Times New Roman" w:cs="Times New Roman"/>
                <w:lang w:val="en-US"/>
              </w:rPr>
              <w:t>www</w:t>
            </w:r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roskazna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3,7</w:t>
            </w:r>
          </w:p>
        </w:tc>
      </w:tr>
      <w:tr>
        <w:trPr>
          <w:trHeight w:hRule="exact" w:val="850"/>
        </w:trPr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Официальный сайт Российской Федерации </w:t>
            </w:r>
            <w:r>
              <w:rPr>
                <w:rFonts w:ascii="Times New Roman" w:hAnsi="Times New Roman" w:cs="Times New Roman"/>
              </w:rPr>
              <w:br/>
              <w:t>для размещения информации о государственных (муниципальных) учреждениях (</w:t>
            </w:r>
            <w:r>
              <w:rPr>
                <w:rFonts w:ascii="Times New Roman" w:hAnsi="Times New Roman" w:cs="Times New Roman"/>
                <w:lang w:val="en-US"/>
              </w:rPr>
              <w:t>www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bus</w:t>
            </w:r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gov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3,3</w:t>
            </w:r>
          </w:p>
        </w:tc>
      </w:tr>
      <w:tr>
        <w:trPr>
          <w:trHeight w:hRule="exact" w:val="557"/>
        </w:trPr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Единый портал бюджетной системы Российской Федерации (budget.gov.ru)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3,3</w:t>
            </w:r>
          </w:p>
        </w:tc>
      </w:tr>
      <w:tr>
        <w:trPr>
          <w:trHeight w:hRule="exact" w:val="569"/>
        </w:trPr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Официальный сайт Единой информационной системы в сфере закупок (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zakupki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gov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3,0</w:t>
            </w:r>
          </w:p>
        </w:tc>
      </w:tr>
      <w:tr>
        <w:trPr>
          <w:trHeight w:hRule="exact" w:val="439"/>
        </w:trPr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Портал АСФК для ДУБП (</w:t>
            </w:r>
            <w:proofErr w:type="gramStart"/>
            <w:r>
              <w:rPr>
                <w:rFonts w:ascii="Times New Roman" w:hAnsi="Times New Roman" w:cs="Times New Roman"/>
              </w:rPr>
              <w:t>СУФД</w:t>
            </w:r>
            <w:proofErr w:type="gramEnd"/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Online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3,6</w:t>
            </w:r>
          </w:p>
        </w:tc>
      </w:tr>
      <w:tr>
        <w:trPr>
          <w:trHeight w:hRule="exact" w:val="854"/>
        </w:trPr>
        <w:tc>
          <w:tcPr>
            <w:tcW w:w="4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Электронная форма для обращений физических </w:t>
            </w:r>
            <w:r>
              <w:rPr>
                <w:rFonts w:ascii="Times New Roman" w:hAnsi="Times New Roman" w:cs="Times New Roman"/>
              </w:rPr>
              <w:br/>
              <w:t>и юридических лиц сайта Федерального казначейства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3,7</w:t>
            </w:r>
          </w:p>
        </w:tc>
      </w:tr>
    </w:tbl>
    <w:p>
      <w:pPr>
        <w:spacing w:before="240" w:after="120" w:line="0" w:lineRule="atLeast"/>
        <w:jc w:val="right"/>
      </w:pPr>
    </w:p>
    <w:sectPr>
      <w:headerReference w:type="default" r:id="rId11"/>
      <w:pgSz w:w="11906" w:h="16838"/>
      <w:pgMar w:top="1418" w:right="1134" w:bottom="136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145563"/>
      <w:docPartObj>
        <w:docPartGallery w:val="Page Numbers (Top of Page)"/>
        <w:docPartUnique/>
      </w:docPartObj>
    </w:sdtPr>
    <w:sdtContent>
      <w:p>
        <w:pPr>
          <w:pStyle w:val="a3"/>
          <w:jc w:val="center"/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D7C98"/>
    <w:multiLevelType w:val="hybridMultilevel"/>
    <w:tmpl w:val="32DA5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D073F3"/>
    <w:multiLevelType w:val="hybridMultilevel"/>
    <w:tmpl w:val="54244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B504DC"/>
    <w:multiLevelType w:val="hybridMultilevel"/>
    <w:tmpl w:val="3E6E5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164ECD"/>
    <w:multiLevelType w:val="hybridMultilevel"/>
    <w:tmpl w:val="5F166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table" w:customStyle="1" w:styleId="4">
    <w:name w:val="Сетка таблицы4"/>
    <w:basedOn w:val="a1"/>
    <w:next w:val="a9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pPr>
      <w:ind w:left="720"/>
      <w:contextualSpacing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">
    <w:name w:val="Сетка таблицы3"/>
    <w:basedOn w:val="a1"/>
    <w:next w:val="a9"/>
    <w:uiPriority w:val="5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Hyperlink"/>
    <w:basedOn w:val="a0"/>
    <w:uiPriority w:val="99"/>
    <w:unhideWhenUsed/>
    <w:rPr>
      <w:color w:val="0000FF" w:themeColor="hyperlink"/>
      <w:u w:val="single"/>
    </w:rPr>
  </w:style>
  <w:style w:type="table" w:customStyle="1" w:styleId="4">
    <w:name w:val="Сетка таблицы4"/>
    <w:basedOn w:val="a1"/>
    <w:next w:val="a9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List Paragraph"/>
    <w:basedOn w:val="a"/>
    <w:uiPriority w:val="34"/>
    <w:qFormat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7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dLbl>
              <c:idx val="4"/>
              <c:delete val="1"/>
            </c:dLbl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Улучшилась значительно  </c:v>
                </c:pt>
                <c:pt idx="1">
                  <c:v>Улучшилась незначительно  </c:v>
                </c:pt>
                <c:pt idx="2">
                  <c:v>Осталась на прежнем уровне  </c:v>
                </c:pt>
                <c:pt idx="3">
                  <c:v>Ухудшилась незначительно  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0.31</c:v>
                </c:pt>
                <c:pt idx="1">
                  <c:v>0.28999999999999998</c:v>
                </c:pt>
                <c:pt idx="2">
                  <c:v>0.34</c:v>
                </c:pt>
                <c:pt idx="3">
                  <c:v>0.06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800"/>
          </a:pPr>
          <a:endParaRPr lang="ru-RU"/>
        </a:p>
      </c:txPr>
    </c:legend>
    <c:plotVisOnly val="1"/>
    <c:dispBlanksAs val="gap"/>
    <c:showDLblsOverMax val="0"/>
  </c:chart>
  <c:spPr>
    <a:solidFill>
      <a:srgbClr val="FEFEE8"/>
    </a:solidFill>
    <a:ln>
      <a:solidFill>
        <a:schemeClr val="accent3">
          <a:lumMod val="75000"/>
        </a:schemeClr>
      </a:solidFill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17066115846659"/>
          <c:y val="9.5564274669979507E-2"/>
          <c:w val="0.88315504989086646"/>
          <c:h val="0.613079684045803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Среднее значение</c:v>
                </c:pt>
              </c:strCache>
            </c:strRef>
          </c:tx>
          <c:invertIfNegative val="0"/>
          <c:cat>
            <c:numRef>
              <c:f>Лист1!$A$2:$A$22</c:f>
              <c:numCache>
                <c:formatCode>General</c:formatCode>
                <c:ptCount val="21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  <c:pt idx="13">
                  <c:v>14</c:v>
                </c:pt>
                <c:pt idx="14">
                  <c:v>15</c:v>
                </c:pt>
                <c:pt idx="15">
                  <c:v>16</c:v>
                </c:pt>
                <c:pt idx="16">
                  <c:v>17</c:v>
                </c:pt>
                <c:pt idx="17">
                  <c:v>18</c:v>
                </c:pt>
                <c:pt idx="18">
                  <c:v>19</c:v>
                </c:pt>
                <c:pt idx="19">
                  <c:v>20</c:v>
                </c:pt>
                <c:pt idx="20">
                  <c:v>21</c:v>
                </c:pt>
              </c:numCache>
            </c:numRef>
          </c:cat>
          <c:val>
            <c:numRef>
              <c:f>Лист1!$B$2:$B$22</c:f>
              <c:numCache>
                <c:formatCode>General</c:formatCode>
                <c:ptCount val="21"/>
                <c:pt idx="0">
                  <c:v>3.5</c:v>
                </c:pt>
                <c:pt idx="1">
                  <c:v>3.7</c:v>
                </c:pt>
                <c:pt idx="2" formatCode="0.0">
                  <c:v>3.7</c:v>
                </c:pt>
                <c:pt idx="3" formatCode="0.0">
                  <c:v>3.6</c:v>
                </c:pt>
                <c:pt idx="4" formatCode="0.0">
                  <c:v>3.4</c:v>
                </c:pt>
                <c:pt idx="5" formatCode="0.0">
                  <c:v>3.6</c:v>
                </c:pt>
                <c:pt idx="6" formatCode="0.0">
                  <c:v>3.5</c:v>
                </c:pt>
                <c:pt idx="7" formatCode="0.0">
                  <c:v>3.6</c:v>
                </c:pt>
                <c:pt idx="8" formatCode="0.0">
                  <c:v>3.8</c:v>
                </c:pt>
                <c:pt idx="9" formatCode="0.0">
                  <c:v>3.2</c:v>
                </c:pt>
                <c:pt idx="10" formatCode="0.0">
                  <c:v>3.6</c:v>
                </c:pt>
                <c:pt idx="11" formatCode="0.0">
                  <c:v>3.3</c:v>
                </c:pt>
                <c:pt idx="12" formatCode="0.0">
                  <c:v>3.2</c:v>
                </c:pt>
                <c:pt idx="13" formatCode="0.0">
                  <c:v>3.1</c:v>
                </c:pt>
                <c:pt idx="14" formatCode="0.0">
                  <c:v>3.5</c:v>
                </c:pt>
                <c:pt idx="15" formatCode="0.0">
                  <c:v>3.5</c:v>
                </c:pt>
                <c:pt idx="16" formatCode="0.0">
                  <c:v>3.6</c:v>
                </c:pt>
                <c:pt idx="17" formatCode="0.0">
                  <c:v>3.6</c:v>
                </c:pt>
                <c:pt idx="18" formatCode="0.0">
                  <c:v>3.5</c:v>
                </c:pt>
                <c:pt idx="19" formatCode="0.0">
                  <c:v>3.5</c:v>
                </c:pt>
                <c:pt idx="20" formatCode="0.0">
                  <c:v>3.5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1428736"/>
        <c:axId val="111430656"/>
      </c:barChart>
      <c:catAx>
        <c:axId val="1114287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ru-RU" b="0" spc="100" baseline="0"/>
                  <a:t>Номер управления ЦАФК</a:t>
                </a:r>
              </a:p>
            </c:rich>
          </c:tx>
          <c:layout>
            <c:manualLayout>
              <c:xMode val="edge"/>
              <c:yMode val="edge"/>
              <c:x val="0.39427570541829637"/>
              <c:y val="0.9101993624438629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111430656"/>
        <c:crosses val="autoZero"/>
        <c:auto val="1"/>
        <c:lblAlgn val="ctr"/>
        <c:lblOffset val="100"/>
        <c:noMultiLvlLbl val="0"/>
      </c:catAx>
      <c:valAx>
        <c:axId val="111430656"/>
        <c:scaling>
          <c:orientation val="minMax"/>
          <c:min val="2"/>
        </c:scaling>
        <c:delete val="0"/>
        <c:axPos val="l"/>
        <c:majorGridlines/>
        <c:title>
          <c:tx>
            <c:rich>
              <a:bodyPr rot="0" vert="wordArtVert"/>
              <a:lstStyle/>
              <a:p>
                <a:pPr>
                  <a:defRPr/>
                </a:pPr>
                <a:r>
                  <a:rPr lang="ru-RU" sz="800"/>
                  <a:t>Среднее значение</a:t>
                </a:r>
              </a:p>
            </c:rich>
          </c:tx>
          <c:layout>
            <c:manualLayout>
              <c:xMode val="edge"/>
              <c:yMode val="edge"/>
              <c:x val="1.7096716223124453E-3"/>
              <c:y val="0.1086754584765787"/>
            </c:manualLayout>
          </c:layout>
          <c:overlay val="0"/>
        </c:title>
        <c:numFmt formatCode="General" sourceLinked="1"/>
        <c:majorTickMark val="none"/>
        <c:minorTickMark val="none"/>
        <c:tickLblPos val="nextTo"/>
        <c:crossAx val="111428736"/>
        <c:crosses val="autoZero"/>
        <c:crossBetween val="between"/>
      </c:valAx>
    </c:plotArea>
    <c:plotVisOnly val="1"/>
    <c:dispBlanksAs val="gap"/>
    <c:showDLblsOverMax val="0"/>
  </c:chart>
  <c:spPr>
    <a:solidFill>
      <a:schemeClr val="bg1">
        <a:lumMod val="95000"/>
      </a:schemeClr>
    </a:solidFill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42F96-E646-45AB-BE66-F40CAE153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8550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Узбеков Камиль Булатович</dc:creator>
  <cp:lastModifiedBy>Кожевникова Наталья Виталиевна</cp:lastModifiedBy>
  <cp:revision>5</cp:revision>
  <cp:lastPrinted>2017-03-29T12:05:00Z</cp:lastPrinted>
  <dcterms:created xsi:type="dcterms:W3CDTF">2017-03-31T12:31:00Z</dcterms:created>
  <dcterms:modified xsi:type="dcterms:W3CDTF">2017-03-31T12:39:00Z</dcterms:modified>
</cp:coreProperties>
</file>