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анкетирования, проведенного на межрегиональном совещании «Актуальные вопросы кассового обслуживания исполнения бюджетов субъектов Российской Федерации (муниципальных образований), включая вопросы исполнения полномочий получателя средств бюджета субъектов Российской Федерации по перечислению в местные бюджеты из бюдж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ета субъекта Российской Федерации субсидий, субвенций и иных межбюджетных трансфертов, имеющих целевое назначение»</w:t>
      </w:r>
    </w:p>
    <w:p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анкетирования, проведенного в ходе межрегионального совещания, состоявшегося 18–21 августа 2015 года на базе Управления Федерального казначейства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Забайкальскому краю</w:t>
      </w:r>
      <w:r>
        <w:rPr>
          <w:rFonts w:ascii="Times New Roman" w:hAnsi="Times New Roman" w:cs="Times New Roman"/>
          <w:sz w:val="28"/>
          <w:szCs w:val="28"/>
        </w:rPr>
        <w:t xml:space="preserve"> (г. Чита), </w:t>
      </w:r>
      <w:r>
        <w:rPr>
          <w:rFonts w:ascii="Times New Roman" w:hAnsi="Times New Roman" w:cs="Times New Roman"/>
          <w:sz w:val="28"/>
          <w:szCs w:val="28"/>
        </w:rPr>
        <w:br/>
        <w:t>было получено 20 заполненных анкет. Цель данного анкетирования – оценка взаимодействия Управления совершенствования функциональной деятельности с территориальными органами Федерального казначейства</w:t>
      </w:r>
      <w:r>
        <w:rPr>
          <w:rFonts w:ascii="Times New Roman" w:hAnsi="Times New Roman" w:cs="Times New Roman"/>
          <w:spacing w:val="-20"/>
          <w:sz w:val="28"/>
          <w:szCs w:val="28"/>
        </w:rPr>
        <w:t>.</w:t>
      </w:r>
    </w:p>
    <w:p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ответе на вопросы анкеты некоторые респонденты выбрали более одного варианта ответа, в результате чего количество ответов </w:t>
      </w:r>
      <w:r>
        <w:rPr>
          <w:rFonts w:ascii="Times New Roman" w:hAnsi="Times New Roman" w:cs="Times New Roman"/>
          <w:sz w:val="28"/>
          <w:szCs w:val="28"/>
        </w:rPr>
        <w:br/>
        <w:t>на вопросы не всегда совпадает с количеством сданных анкет.</w:t>
      </w:r>
    </w:p>
    <w:p>
      <w:pPr>
        <w:spacing w:before="240" w:after="6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Таблица 1</w:t>
      </w:r>
    </w:p>
    <w:p>
      <w:pPr>
        <w:spacing w:after="24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анализа ответов на вопросы №№ 1–6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11"/>
        <w:gridCol w:w="141"/>
        <w:gridCol w:w="1560"/>
        <w:gridCol w:w="1275"/>
      </w:tblGrid>
      <w:tr>
        <w:trPr>
          <w:trHeight w:val="379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 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«Какая форма взаимодействия ЦАФК и ТОФК в настоящее время является наиболее удобной для получения разъяснений и указаний по вопросам, возникающим в процессе исполнения нормативных правовых актов Министерства финансов Российской Федерации и Федерального казначейства?»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>
        <w:trPr>
          <w:trHeight w:val="289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консультации работников ЦАФК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265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Форум на официальном сайте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257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Аудио- и видеоконференции (далее – АВКС)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>
        <w:trPr>
          <w:trHeight w:val="27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Всероссийские и межрегиональные совещания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>
        <w:trPr>
          <w:trHeight w:val="27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Обзоры, формируемые по итогам проверок, осуществляемых Управлением внутреннего контроля (аудита) и оценки эффективности деятельности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>
        <w:trPr>
          <w:trHeight w:val="27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Разъясняющие адресные письма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>
        <w:trPr>
          <w:trHeight w:val="27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Разъясняющие системные письма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>
        <w:trPr>
          <w:trHeight w:val="139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417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trHeight w:val="268"/>
        </w:trPr>
        <w:tc>
          <w:tcPr>
            <w:tcW w:w="9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36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Наиболее удобными формами взаимодействия ЦАФК и ТОФК,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 мнению респондентов, являются Всероссийские и межрегиональные совещания, а также разъясняющие схемные письма и АВКС (рисунок 1).</w:t>
            </w:r>
          </w:p>
          <w:p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360" w:lineRule="atLeast"/>
              <w:ind w:firstLine="4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5316279" cy="2796363"/>
                  <wp:effectExtent l="0" t="0" r="17780" b="23495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>
            <w:pPr>
              <w:spacing w:before="120" w:after="240" w:line="36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 1. Диаграмма ответов на вопрос № 1</w:t>
            </w:r>
          </w:p>
        </w:tc>
      </w:tr>
      <w:tr>
        <w:trPr>
          <w:trHeight w:val="534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Вопрос № 2. «Как Вы поступаете, попав в ситуацию, четко не оговоренную нормативными правовыми актами?»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trHeight w:val="104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Принимаю решение самостоятельно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>
        <w:trPr>
          <w:trHeight w:val="53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Использую разъяснения, данные на форуме ЦАФК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>
        <w:trPr>
          <w:trHeight w:val="53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 решение, посоветовавшись с вышестоящим руководителем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>
        <w:trPr>
          <w:trHeight w:val="53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Отправляю запрос в ЦАФК и до получения ответа никакие действия не предпринимаю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275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 ответов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trHeight w:val="275"/>
        </w:trPr>
        <w:tc>
          <w:tcPr>
            <w:tcW w:w="9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5486400" cy="2402958"/>
                  <wp:effectExtent l="0" t="0" r="19050" b="16510"/>
                  <wp:docPr id="3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  <w:p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 2. Диаграмма ответов на вопрос № 2</w:t>
            </w:r>
          </w:p>
        </w:tc>
      </w:tr>
      <w:tr>
        <w:trPr>
          <w:trHeight w:val="627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 № 3. «Ваши предложения для улучшения качества координации ЦАФК деятельности территориальных органов Федерального казначейства»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 давать разъяснения схемными письмами,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том числе с размещением их на сайте Федерального казначейства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Проекты нормативных правовых актов согласовывать со всеми ТОФК, предложения направлять в пилотные регионы, обсуждать на АВКС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четко регламентировать функции отделов ТОФК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раздел по кассовому обслуживанию исполнения бюджетов на форуме Федерального казначейства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сбор актуальных вопросов от всех ТОФК с направлением обзоров по ним, включая обсуждение на АВКС проблемных вопросов в режиме «Вопрос-Ответ»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Курировать ЦАФК отделы КОИБ ТОФК по регионам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за темами на форуме Федерального казначейства ответственных сотрудников ЦАФК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Повышать знания специалистов управлений ЦАФК в части функциональной деятельности ТОФК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>
        <w:trPr>
          <w:trHeight w:val="201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trHeight w:val="908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Вопрос № 4. «Какие формы координации деятельности ТОФК, а также взаимодействия ЦАФК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и ТОФК необходимо развивать?»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Всероссийские и межрегиональные совещания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частые выезды сотрудников ЦАФК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АВКС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письма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форум в части «Вопрос ТОФК-ответ ЦАФК»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семинаров-тренингов, деловых игр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ЦАФК базового УФК в федеральных округах, через которое будет осуществляться связь по вопросам, возникающим в УФК каждого федерального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341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trHeight w:val="1762"/>
        </w:trPr>
        <w:tc>
          <w:tcPr>
            <w:tcW w:w="90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spacing w:before="240" w:after="24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мнению респондентов, следует развивать такие формы взаимодействия ЦАФК и ТОФК, как Всероссийские и межрегиональные совещания и Проведение семинаров-тренингов, деловых игр.</w:t>
            </w:r>
          </w:p>
        </w:tc>
      </w:tr>
      <w:tr>
        <w:trPr>
          <w:trHeight w:val="566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 № 5. «В какой форме Вы хотели бы принять участие в деятельности ЦАФК?»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Пилотирование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прикладного программного обеспечения (далее – ППО)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>
        <w:trPr>
          <w:trHeight w:val="5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201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trHeight w:val="4543"/>
        </w:trPr>
        <w:tc>
          <w:tcPr>
            <w:tcW w:w="90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486400" cy="2381693"/>
                  <wp:effectExtent l="0" t="0" r="19050" b="19050"/>
                  <wp:docPr id="4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 3. Диаграмма ответов на вопрос № 5</w:t>
            </w:r>
          </w:p>
        </w:tc>
      </w:tr>
      <w:tr>
        <w:trPr>
          <w:trHeight w:val="686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 № 6. «С чем, по Вашему мнению, связаны проблемы в работе ППО?»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trHeight w:val="427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Недостаточным уровнем тестирования пилотными ТОФК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>
        <w:trPr>
          <w:trHeight w:val="702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Частыми и непредсказуемыми изменениями нормативных правовых актов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>
        <w:trPr>
          <w:trHeight w:val="684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Трудностями в найме на работу в ТОФК высококвалифицированных специалистов в области информационных технологий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>
        <w:trPr>
          <w:trHeight w:val="684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Необходимостью повышения оперативности сопровождения ППО разработчиками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>
        <w:trPr>
          <w:trHeight w:val="424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Отсутствием подробных разъяснений ЦАФК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>
        <w:trPr>
          <w:trHeight w:val="700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Неудовлетворительным качеством технологических регламентов и обновлений ППО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>
        <w:trPr>
          <w:trHeight w:val="567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Отсутствием своевременного обучения сотрудников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внедрения новой версии ППО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>
        <w:trPr>
          <w:trHeight w:val="423"/>
        </w:trPr>
        <w:tc>
          <w:tcPr>
            <w:tcW w:w="6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557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около половины респондентов считают основной причиной проблем в работе ППО необходимость повышения оперативности сопровождения ППО разработчиками.</w:t>
      </w:r>
    </w:p>
    <w:p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обработке ответов на вопросы анкеты №№ 7–9 каждому варианту ответа была присвоена балльная оценка и произведен расчет среднего значения оценки.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  <w:r>
        <w:rPr>
          <w:rStyle w:val="a9"/>
          <w:rFonts w:ascii="Times New Roman" w:hAnsi="Times New Roman" w:cs="Times New Roman"/>
          <w:sz w:val="28"/>
          <w:szCs w:val="28"/>
        </w:rPr>
        <w:footnoteReference w:customMarkFollows="1" w:id="1"/>
        <w:sym w:font="Symbol" w:char="F02A"/>
      </w:r>
    </w:p>
    <w:p>
      <w:pPr>
        <w:spacing w:before="240" w:after="120" w:line="36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 2</w:t>
      </w:r>
    </w:p>
    <w:p>
      <w:pPr>
        <w:spacing w:after="24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анализа ответов на вопросы №№ 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–9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1559"/>
        <w:gridCol w:w="1134"/>
      </w:tblGrid>
      <w:tr>
        <w:trPr>
          <w:trHeight w:val="1304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 7. «Насколько оперативно, 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Вашему мнению, доводится информация о новых патчах ППО «Автоматизированная система Федерального казначейства»?»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trHeight w:val="313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 – 4 балла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</w:tr>
      <w:tr>
        <w:trPr>
          <w:trHeight w:val="261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оперативно – 3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</w:tr>
      <w:tr>
        <w:trPr>
          <w:trHeight w:val="26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не оперативно – 2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2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оперативно – 1 балл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117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trHeight w:val="365"/>
        </w:trPr>
        <w:tc>
          <w:tcPr>
            <w:tcW w:w="9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Средняя оценка – 3,5 балла</w:t>
            </w:r>
          </w:p>
        </w:tc>
      </w:tr>
      <w:tr>
        <w:trPr>
          <w:trHeight w:val="193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>
        <w:trPr>
          <w:trHeight w:val="966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 № 8. «Удовлетворены ли Вы своевременностью и качеством доведения информации о новых нормативных правовых актах?»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trHeight w:val="104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удовлетворен(а) – 4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>
        <w:trPr>
          <w:trHeight w:val="53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удовлетворен(а) – 3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>
        <w:trPr>
          <w:trHeight w:val="53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Скорее не удовлетворен(а) – 2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>
        <w:trPr>
          <w:trHeight w:val="53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удовлетворен(а) – 1 балл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27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trHeight w:val="379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Средняя оценка – 3,1 балла</w:t>
            </w:r>
          </w:p>
        </w:tc>
      </w:tr>
      <w:tr>
        <w:trPr>
          <w:trHeight w:val="122"/>
        </w:trPr>
        <w:tc>
          <w:tcPr>
            <w:tcW w:w="9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>
        <w:trPr>
          <w:trHeight w:val="1493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 № 9. «Оцените по 4-х бальной шкале качество и оперативность реагирования специалистами, поддерживающими работу ППО «АСФК», на Ваше обращение (где 4 – очень оперативно и качественно, 1 – медленно, либо не реагируют)»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trHeight w:val="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>
        <w:trPr>
          <w:trHeight w:val="5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>
        <w:trPr>
          <w:trHeight w:val="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>
        <w:trPr>
          <w:trHeight w:val="5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128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trHeight w:val="415"/>
        </w:trPr>
        <w:tc>
          <w:tcPr>
            <w:tcW w:w="9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Средняя оценка – 2,75 балла</w:t>
            </w:r>
          </w:p>
        </w:tc>
      </w:tr>
    </w:tbl>
    <w:p>
      <w:pPr>
        <w:spacing w:before="200"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на вопросы анкеты №№ 10–12 отражают качество проведенного Совещания и частоту посещения респондентами подобных мероприятий.</w:t>
      </w:r>
    </w:p>
    <w:p>
      <w:pPr>
        <w:spacing w:before="24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spacing w:before="24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spacing w:before="24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spacing w:before="24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 3</w:t>
      </w:r>
    </w:p>
    <w:p>
      <w:pPr>
        <w:spacing w:after="24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анализа ответов на вопросы №№ 10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–12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36"/>
        <w:gridCol w:w="1559"/>
        <w:gridCol w:w="992"/>
      </w:tblGrid>
      <w:tr>
        <w:trPr>
          <w:cantSplit/>
          <w:trHeight w:val="448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10. «Укажите, пожалуйста, как часто Вы принимаете участие в межрегиональных и Всероссийских совещаниях»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cantSplit/>
          <w:trHeight w:val="50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>
        <w:trPr>
          <w:cantSplit/>
          <w:trHeight w:val="272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Периодически (раз в 2 – 3 года)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>
        <w:trPr>
          <w:cantSplit/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 (ежегодно)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>
        <w:trPr>
          <w:cantSplit/>
          <w:trHeight w:val="271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cantSplit/>
          <w:trHeight w:val="261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>
        <w:trPr>
          <w:cantSplit/>
          <w:trHeight w:val="549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11.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Оцените актуальность тем, затронутых на проведенном Межрегиональном совещании:»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cantSplit/>
          <w:trHeight w:val="155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 – все выбранные темы актуальны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>
        <w:trPr>
          <w:cantSplit/>
          <w:trHeight w:val="272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– некоторые актуальные темы не обсуждались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>
        <w:trPr>
          <w:cantSplit/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 – были выбраны неактуальные темы (просьба указать какие)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>
        <w:trPr>
          <w:cantSplit/>
          <w:trHeight w:val="272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cantSplit/>
          <w:trHeight w:val="270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>
        <w:trPr>
          <w:cantSplit/>
          <w:trHeight w:val="698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12.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К недостаткам прошедшего межрегионального совещания следует отнести:»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>
        <w:trPr>
          <w:cantSplit/>
          <w:trHeight w:val="155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Неактуальность тем и содержания докладов (просьба указать какие)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cantSplit/>
          <w:trHeight w:val="272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Отрыв от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>
        <w:trPr>
          <w:cantSplit/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Недостаточное внимание ЦАФК к мнению ТОФК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>
        <w:trPr>
          <w:cantSplit/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Малое количество времени, отведенное для его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>
        <w:trPr>
          <w:cantSplit/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Неудовлетворительная подготовка материалов к рабочей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>
        <w:trPr>
          <w:cantSplit/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Неудовлетворительная организация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>
        <w:trPr>
          <w:cantSplit/>
          <w:trHeight w:val="237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>
        <w:trPr>
          <w:cantSplit/>
          <w:trHeight w:val="272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cantSplit/>
          <w:trHeight w:val="272"/>
        </w:trPr>
        <w:tc>
          <w:tcPr>
            <w:tcW w:w="9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5241851" cy="2105247"/>
                  <wp:effectExtent l="0" t="0" r="16510" b="9525"/>
                  <wp:docPr id="6" name="Диаграмма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Рис. 4. Диаграмма ответов на вопрос № 12</w:t>
            </w:r>
          </w:p>
        </w:tc>
      </w:tr>
    </w:tbl>
    <w:p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>
      <w:headerReference w:type="default" r:id="rId13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a7"/>
        <w:jc w:val="both"/>
      </w:pPr>
      <w:r>
        <w:rPr>
          <w:rStyle w:val="a9"/>
        </w:rPr>
        <w:sym w:font="Symbol" w:char="F02A"/>
      </w:r>
      <w:r>
        <w:rPr>
          <w:rFonts w:ascii="Times New Roman" w:hAnsi="Times New Roman" w:cs="Times New Roman"/>
        </w:rPr>
        <w:t xml:space="preserve"> В соответствии с приказом Федерального казначейства от 18 ноября 2011 г. № 548 «Об утверждении Порядка получения 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1691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>
        <w:pPr>
          <w:pStyle w:val="aa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>
    <w:pPr>
      <w:pStyle w:val="aa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02548"/>
    <w:multiLevelType w:val="hybridMultilevel"/>
    <w:tmpl w:val="4C724754"/>
    <w:lvl w:ilvl="0" w:tplc="68529F6A">
      <w:numFmt w:val="bullet"/>
      <w:lvlText w:val="–"/>
      <w:lvlJc w:val="left"/>
      <w:pPr>
        <w:ind w:left="111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Pr>
      <w:vertAlign w:val="superscript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Pr>
      <w:vertAlign w:val="superscript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ответов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Форум на официальном сайте Федерального казначейства</c:v>
                </c:pt>
                <c:pt idx="1">
                  <c:v>Устные консультации работников ЦАФК</c:v>
                </c:pt>
                <c:pt idx="2">
                  <c:v>Разъясняющие адресные письма</c:v>
                </c:pt>
                <c:pt idx="3">
                  <c:v>Обзоры, формируемые по итогам проверок, осуществляемых Управлением внутреннего контроля (аудита) и оценки эффективности деятельности</c:v>
                </c:pt>
                <c:pt idx="4">
                  <c:v>АВКС</c:v>
                </c:pt>
                <c:pt idx="5">
                  <c:v>Разъясняющие системные письма</c:v>
                </c:pt>
                <c:pt idx="6">
                  <c:v>Всероссийские и межрегиональные совещания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4</c:v>
                </c:pt>
                <c:pt idx="3">
                  <c:v>9</c:v>
                </c:pt>
                <c:pt idx="4">
                  <c:v>11</c:v>
                </c:pt>
                <c:pt idx="5">
                  <c:v>11</c:v>
                </c:pt>
                <c:pt idx="6">
                  <c:v>19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3670144"/>
        <c:axId val="103672832"/>
      </c:barChart>
      <c:catAx>
        <c:axId val="103670144"/>
        <c:scaling>
          <c:orientation val="minMax"/>
        </c:scaling>
        <c:delete val="0"/>
        <c:axPos val="l"/>
        <c:majorTickMark val="out"/>
        <c:minorTickMark val="none"/>
        <c:tickLblPos val="nextTo"/>
        <c:crossAx val="103672832"/>
        <c:crosses val="autoZero"/>
        <c:auto val="1"/>
        <c:lblAlgn val="l"/>
        <c:lblOffset val="100"/>
        <c:noMultiLvlLbl val="0"/>
      </c:catAx>
      <c:valAx>
        <c:axId val="10367283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036701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3"/>
              <c:spPr/>
              <c:txPr>
                <a:bodyPr/>
                <a:lstStyle/>
                <a:p>
                  <a:pPr>
                    <a:defRPr sz="1600">
                      <a:solidFill>
                        <a:srgbClr val="002060"/>
                      </a:solidFill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600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Принимаю решение самостоятельно </c:v>
                </c:pt>
                <c:pt idx="1">
                  <c:v>Использую разъяснения, данные на форуме ЦАФК</c:v>
                </c:pt>
                <c:pt idx="2">
                  <c:v>Принимаю решение, посоветовавшись с вышестоящим руководителем</c:v>
                </c:pt>
                <c:pt idx="3">
                  <c:v>Отправляю запрос в ЦАФК и до получения ответа никакие действия не предпринимаю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15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2"/>
              <c:spPr/>
              <c:txPr>
                <a:bodyPr/>
                <a:lstStyle/>
                <a:p>
                  <a:pPr>
                    <a:defRPr sz="1600">
                      <a:solidFill>
                        <a:srgbClr val="002060"/>
                      </a:solidFill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600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Пилотирование</c:v>
                </c:pt>
                <c:pt idx="1">
                  <c:v>Тестирование ППО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17</c:v>
                </c:pt>
                <c:pt idx="1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796637139107612"/>
          <c:y val="6.636500754147813E-2"/>
          <c:w val="0.34643144187043851"/>
          <c:h val="0.78251673081590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ответов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Неактуальность тем и содержания докладов (просьба указать какие)</c:v>
                </c:pt>
                <c:pt idx="1">
                  <c:v>Неудовлетворительная организация</c:v>
                </c:pt>
                <c:pt idx="2">
                  <c:v>Другое</c:v>
                </c:pt>
                <c:pt idx="3">
                  <c:v>Неудовлетворительная подготовка материалов к рабочей части</c:v>
                </c:pt>
                <c:pt idx="4">
                  <c:v>Отрыв от работы</c:v>
                </c:pt>
                <c:pt idx="5">
                  <c:v>Недостаточное внимание ЦАФК к мнению ТОФК</c:v>
                </c:pt>
                <c:pt idx="6">
                  <c:v>Малое количество времени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2</c:v>
                </c:pt>
                <c:pt idx="5">
                  <c:v>3</c:v>
                </c:pt>
                <c:pt idx="6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839488"/>
        <c:axId val="107841024"/>
      </c:barChart>
      <c:catAx>
        <c:axId val="107839488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07841024"/>
        <c:crosses val="autoZero"/>
        <c:auto val="1"/>
        <c:lblAlgn val="ctr"/>
        <c:lblOffset val="100"/>
        <c:noMultiLvlLbl val="0"/>
      </c:catAx>
      <c:valAx>
        <c:axId val="10784102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078394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58C8C-D088-490B-98A9-5A6534910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6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Узбеков Камиль Булатович</dc:creator>
  <cp:lastModifiedBy>Зеленов Александр Владимирович</cp:lastModifiedBy>
  <cp:revision>156</cp:revision>
  <cp:lastPrinted>2015-08-31T07:39:00Z</cp:lastPrinted>
  <dcterms:created xsi:type="dcterms:W3CDTF">2015-06-25T13:57:00Z</dcterms:created>
  <dcterms:modified xsi:type="dcterms:W3CDTF">2015-09-11T07:07:00Z</dcterms:modified>
</cp:coreProperties>
</file>