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40" w:line="240" w:lineRule="auto"/>
        <w:ind w:firstLine="709"/>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Аналитическая записка по результатам анкетирования участников Всероссийского совещания, состоявшегося в период</w:t>
      </w:r>
      <w:r>
        <w:rPr>
          <w:rFonts w:ascii="Times New Roman" w:hAnsi="Times New Roman" w:cs="Times New Roman"/>
          <w:b/>
          <w:sz w:val="28"/>
          <w:szCs w:val="28"/>
        </w:rPr>
        <w:br/>
        <w:t xml:space="preserve">с 26 по 27 мая 2015 года </w:t>
      </w:r>
    </w:p>
    <w:p>
      <w:pPr>
        <w:spacing w:after="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 xml:space="preserve">В результате анкетирования представителей территориальных органов Федерального казначейства (далее – ТОФК), участвовавших </w:t>
      </w:r>
      <w:r>
        <w:rPr>
          <w:rFonts w:ascii="Times New Roman" w:hAnsi="Times New Roman" w:cs="Times New Roman"/>
          <w:sz w:val="28"/>
          <w:szCs w:val="28"/>
        </w:rPr>
        <w:br/>
        <w:t xml:space="preserve">во Всероссийском совещании «Повышение эффективности бюджетных расходов, актуальные вопросы организации управленческого учета, итоги сдачи бюджетной отчетности за 2014 год по главе 100 “Федеральное казначейство”», было получено 83 заполненные анкеты. Целью данного анкетирования было получение </w:t>
      </w:r>
      <w:proofErr w:type="gramStart"/>
      <w:r>
        <w:rPr>
          <w:rFonts w:ascii="Times New Roman" w:hAnsi="Times New Roman" w:cs="Times New Roman"/>
          <w:sz w:val="28"/>
          <w:szCs w:val="28"/>
        </w:rPr>
        <w:t>оценки взаимодействия Финансового управления центрального аппарата Федерального казначейства</w:t>
      </w:r>
      <w:proofErr w:type="gramEnd"/>
      <w:r>
        <w:rPr>
          <w:rFonts w:ascii="Times New Roman" w:hAnsi="Times New Roman" w:cs="Times New Roman"/>
          <w:sz w:val="28"/>
          <w:szCs w:val="28"/>
        </w:rPr>
        <w:t xml:space="preserve"> с ТОФК.</w:t>
      </w:r>
    </w:p>
    <w:p>
      <w:pPr>
        <w:spacing w:after="0" w:line="360" w:lineRule="atLeast"/>
        <w:ind w:firstLine="709"/>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При обработке анкет, ответам на вопросы №№ 2-8 была присвоена балльная оценка:</w:t>
      </w:r>
    </w:p>
    <w:p>
      <w:pPr>
        <w:spacing w:after="0" w:line="36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«полностью удовлетворе</w:t>
      </w:r>
      <w:proofErr w:type="gramStart"/>
      <w:r>
        <w:rPr>
          <w:rFonts w:ascii="Times New Roman" w:eastAsia="Times New Roman" w:hAnsi="Times New Roman" w:cs="Times New Roman"/>
          <w:color w:val="000000"/>
          <w:sz w:val="28"/>
          <w:szCs w:val="28"/>
          <w:lang w:eastAsia="ru-RU"/>
        </w:rPr>
        <w:t>н(</w:t>
      </w:r>
      <w:proofErr w:type="gramEnd"/>
      <w:r>
        <w:rPr>
          <w:rFonts w:ascii="Times New Roman" w:eastAsia="Times New Roman" w:hAnsi="Times New Roman" w:cs="Times New Roman"/>
          <w:color w:val="000000"/>
          <w:sz w:val="28"/>
          <w:szCs w:val="28"/>
          <w:lang w:eastAsia="ru-RU"/>
        </w:rPr>
        <w:t>а)», «Считаю полезным», «Полностью отвечает» – 4 балла;</w:t>
      </w:r>
    </w:p>
    <w:p>
      <w:pPr>
        <w:spacing w:after="0" w:line="36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«скорее удовлетворе</w:t>
      </w:r>
      <w:proofErr w:type="gramStart"/>
      <w:r>
        <w:rPr>
          <w:rFonts w:ascii="Times New Roman" w:eastAsia="Times New Roman" w:hAnsi="Times New Roman" w:cs="Times New Roman"/>
          <w:color w:val="000000"/>
          <w:sz w:val="28"/>
          <w:szCs w:val="28"/>
          <w:lang w:eastAsia="ru-RU"/>
        </w:rPr>
        <w:t>н(</w:t>
      </w:r>
      <w:proofErr w:type="gramEnd"/>
      <w:r>
        <w:rPr>
          <w:rFonts w:ascii="Times New Roman" w:eastAsia="Times New Roman" w:hAnsi="Times New Roman" w:cs="Times New Roman"/>
          <w:color w:val="000000"/>
          <w:sz w:val="28"/>
          <w:szCs w:val="28"/>
          <w:lang w:eastAsia="ru-RU"/>
        </w:rPr>
        <w:t>а)», «Считаю скорее полезным», «Скорее отвечает» – 3 балла;</w:t>
      </w:r>
    </w:p>
    <w:p>
      <w:pPr>
        <w:spacing w:after="0" w:line="36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«скорее не удовлетворе</w:t>
      </w:r>
      <w:proofErr w:type="gramStart"/>
      <w:r>
        <w:rPr>
          <w:rFonts w:ascii="Times New Roman" w:eastAsia="Times New Roman" w:hAnsi="Times New Roman" w:cs="Times New Roman"/>
          <w:color w:val="000000"/>
          <w:sz w:val="28"/>
          <w:szCs w:val="28"/>
          <w:lang w:eastAsia="ru-RU"/>
        </w:rPr>
        <w:t>н(</w:t>
      </w:r>
      <w:proofErr w:type="gramEnd"/>
      <w:r>
        <w:rPr>
          <w:rFonts w:ascii="Times New Roman" w:eastAsia="Times New Roman" w:hAnsi="Times New Roman" w:cs="Times New Roman"/>
          <w:color w:val="000000"/>
          <w:sz w:val="28"/>
          <w:szCs w:val="28"/>
          <w:lang w:eastAsia="ru-RU"/>
        </w:rPr>
        <w:t>а)», «Считаю скорее бесполезным», «Скорее не отвечает» – 2 балла;</w:t>
      </w:r>
    </w:p>
    <w:p>
      <w:pPr>
        <w:spacing w:after="0" w:line="36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«не удовлетворе</w:t>
      </w:r>
      <w:proofErr w:type="gramStart"/>
      <w:r>
        <w:rPr>
          <w:rFonts w:ascii="Times New Roman" w:eastAsia="Times New Roman" w:hAnsi="Times New Roman" w:cs="Times New Roman"/>
          <w:color w:val="000000"/>
          <w:sz w:val="28"/>
          <w:szCs w:val="28"/>
          <w:lang w:eastAsia="ru-RU"/>
        </w:rPr>
        <w:t>н(</w:t>
      </w:r>
      <w:proofErr w:type="gramEnd"/>
      <w:r>
        <w:rPr>
          <w:rFonts w:ascii="Times New Roman" w:eastAsia="Times New Roman" w:hAnsi="Times New Roman" w:cs="Times New Roman"/>
          <w:color w:val="000000"/>
          <w:sz w:val="28"/>
          <w:szCs w:val="28"/>
          <w:lang w:eastAsia="ru-RU"/>
        </w:rPr>
        <w:t>а)», «Считаю бесполезным», «Не отвечает» –</w:t>
      </w:r>
      <w:r>
        <w:rPr>
          <w:rFonts w:ascii="Times New Roman" w:eastAsia="Times New Roman" w:hAnsi="Times New Roman" w:cs="Times New Roman"/>
          <w:color w:val="000000"/>
          <w:sz w:val="28"/>
          <w:szCs w:val="28"/>
          <w:lang w:eastAsia="ru-RU"/>
        </w:rPr>
        <w:br/>
        <w:t> 1 балл;</w:t>
      </w:r>
    </w:p>
    <w:p>
      <w:pPr>
        <w:spacing w:after="0" w:line="36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без ответа – 0 баллов.</w:t>
      </w:r>
    </w:p>
    <w:p>
      <w:pPr>
        <w:spacing w:after="0" w:line="36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 xml:space="preserve">В соответствии с приказом Федерального казначейства </w:t>
      </w:r>
      <w:r>
        <w:rPr>
          <w:rFonts w:ascii="Times New Roman" w:eastAsia="Times New Roman" w:hAnsi="Times New Roman" w:cs="Times New Roman"/>
          <w:color w:val="000000"/>
          <w:sz w:val="28"/>
          <w:szCs w:val="28"/>
          <w:lang w:eastAsia="ru-RU"/>
        </w:rPr>
        <w:br/>
      </w:r>
      <w:r>
        <w:rPr>
          <w:rFonts w:ascii="Times New Roman" w:hAnsi="Times New Roman" w:cs="Times New Roman"/>
          <w:sz w:val="28"/>
          <w:szCs w:val="28"/>
        </w:rPr>
        <w:t xml:space="preserve">от 18 ноября 2011 г. № 548 «Об утверждении Порядка получения </w:t>
      </w:r>
      <w:r>
        <w:rPr>
          <w:rFonts w:ascii="Times New Roman" w:hAnsi="Times New Roman" w:cs="Times New Roman"/>
          <w:sz w:val="28"/>
          <w:szCs w:val="28"/>
        </w:rPr>
        <w:br/>
        <w:t>и обработки информации о внешней оценке деятельности центрального аппарата Федерального казначейства и территориальных органов Федерального казначейства» (далее – Приказ № 548) р</w:t>
      </w:r>
      <w:r>
        <w:rPr>
          <w:rFonts w:ascii="Times New Roman" w:eastAsia="Times New Roman" w:hAnsi="Times New Roman" w:cs="Times New Roman"/>
          <w:color w:val="000000"/>
          <w:sz w:val="28"/>
          <w:szCs w:val="28"/>
          <w:lang w:eastAsia="ru-RU"/>
        </w:rPr>
        <w:t>асчет среднего значения оценки по каждому вопросу был произведен по формуле:</w:t>
      </w:r>
    </w:p>
    <w:p>
      <w:pPr>
        <w:spacing w:after="0" w:line="360" w:lineRule="atLeast"/>
        <w:ind w:firstLine="709"/>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7"/>
          <w:szCs w:val="27"/>
          <w:lang w:eastAsia="ru-RU"/>
        </w:rPr>
        <w:t>Среднее значение оценки = (4*К</w:t>
      </w:r>
      <w:proofErr w:type="gramStart"/>
      <w:r>
        <w:rPr>
          <w:rFonts w:ascii="Times New Roman" w:eastAsia="Times New Roman" w:hAnsi="Times New Roman" w:cs="Times New Roman"/>
          <w:color w:val="000000"/>
          <w:sz w:val="27"/>
          <w:szCs w:val="27"/>
          <w:vertAlign w:val="subscript"/>
          <w:lang w:eastAsia="ru-RU"/>
        </w:rPr>
        <w:t>4</w:t>
      </w:r>
      <w:proofErr w:type="gramEnd"/>
      <w:r>
        <w:rPr>
          <w:rFonts w:ascii="Times New Roman" w:eastAsia="Times New Roman" w:hAnsi="Times New Roman" w:cs="Times New Roman"/>
          <w:color w:val="000000"/>
          <w:sz w:val="27"/>
          <w:szCs w:val="27"/>
          <w:lang w:eastAsia="ru-RU"/>
        </w:rPr>
        <w:t>+3*К</w:t>
      </w:r>
      <w:r>
        <w:rPr>
          <w:rFonts w:ascii="Times New Roman" w:eastAsia="Times New Roman" w:hAnsi="Times New Roman" w:cs="Times New Roman"/>
          <w:color w:val="000000"/>
          <w:sz w:val="27"/>
          <w:szCs w:val="27"/>
          <w:vertAlign w:val="subscript"/>
          <w:lang w:eastAsia="ru-RU"/>
        </w:rPr>
        <w:t>3</w:t>
      </w:r>
      <w:r>
        <w:rPr>
          <w:rFonts w:ascii="Times New Roman" w:eastAsia="Times New Roman" w:hAnsi="Times New Roman" w:cs="Times New Roman"/>
          <w:color w:val="000000"/>
          <w:sz w:val="27"/>
          <w:szCs w:val="27"/>
          <w:lang w:eastAsia="ru-RU"/>
        </w:rPr>
        <w:t>+2*К</w:t>
      </w:r>
      <w:r>
        <w:rPr>
          <w:rFonts w:ascii="Times New Roman" w:eastAsia="Times New Roman" w:hAnsi="Times New Roman" w:cs="Times New Roman"/>
          <w:color w:val="000000"/>
          <w:sz w:val="27"/>
          <w:szCs w:val="27"/>
          <w:vertAlign w:val="subscript"/>
          <w:lang w:eastAsia="ru-RU"/>
        </w:rPr>
        <w:t>2</w:t>
      </w:r>
      <w:r>
        <w:rPr>
          <w:rFonts w:ascii="Times New Roman" w:eastAsia="Times New Roman" w:hAnsi="Times New Roman" w:cs="Times New Roman"/>
          <w:color w:val="000000"/>
          <w:sz w:val="27"/>
          <w:szCs w:val="27"/>
          <w:lang w:eastAsia="ru-RU"/>
        </w:rPr>
        <w:t>+1*К</w:t>
      </w:r>
      <w:r>
        <w:rPr>
          <w:rFonts w:ascii="Times New Roman" w:eastAsia="Times New Roman" w:hAnsi="Times New Roman" w:cs="Times New Roman"/>
          <w:color w:val="000000"/>
          <w:sz w:val="27"/>
          <w:szCs w:val="27"/>
          <w:vertAlign w:val="subscript"/>
          <w:lang w:eastAsia="ru-RU"/>
        </w:rPr>
        <w:t>1</w:t>
      </w:r>
      <w:r>
        <w:rPr>
          <w:rFonts w:ascii="Times New Roman" w:eastAsia="Times New Roman" w:hAnsi="Times New Roman" w:cs="Times New Roman"/>
          <w:color w:val="000000"/>
          <w:sz w:val="27"/>
          <w:szCs w:val="27"/>
          <w:lang w:eastAsia="ru-RU"/>
        </w:rPr>
        <w:t>) / (</w:t>
      </w:r>
      <w:r>
        <w:rPr>
          <w:rFonts w:ascii="Times New Roman" w:eastAsia="Times New Roman" w:hAnsi="Times New Roman" w:cs="Times New Roman"/>
          <w:color w:val="000000"/>
          <w:sz w:val="27"/>
          <w:szCs w:val="27"/>
          <w:lang w:val="en-US" w:eastAsia="ru-RU"/>
        </w:rPr>
        <w:t>N</w:t>
      </w:r>
      <w:r>
        <w:rPr>
          <w:rFonts w:ascii="Times New Roman" w:eastAsia="Times New Roman" w:hAnsi="Times New Roman" w:cs="Times New Roman"/>
          <w:color w:val="000000"/>
          <w:sz w:val="27"/>
          <w:szCs w:val="27"/>
          <w:lang w:eastAsia="ru-RU"/>
        </w:rPr>
        <w:t>-</w:t>
      </w:r>
      <w:r>
        <w:rPr>
          <w:rFonts w:ascii="Times New Roman" w:eastAsia="Times New Roman" w:hAnsi="Times New Roman" w:cs="Times New Roman"/>
          <w:color w:val="000000"/>
          <w:sz w:val="27"/>
          <w:szCs w:val="27"/>
          <w:lang w:val="en-US" w:eastAsia="ru-RU"/>
        </w:rPr>
        <w:t>K</w:t>
      </w:r>
      <w:r>
        <w:rPr>
          <w:rFonts w:ascii="Times New Roman" w:eastAsia="Times New Roman" w:hAnsi="Times New Roman" w:cs="Times New Roman"/>
          <w:color w:val="000000"/>
          <w:sz w:val="27"/>
          <w:szCs w:val="27"/>
          <w:vertAlign w:val="subscript"/>
          <w:lang w:eastAsia="ru-RU"/>
        </w:rPr>
        <w:t>0</w:t>
      </w:r>
      <w:r>
        <w:rPr>
          <w:rFonts w:ascii="Times New Roman" w:eastAsia="Times New Roman" w:hAnsi="Times New Roman" w:cs="Times New Roman"/>
          <w:color w:val="000000"/>
          <w:sz w:val="27"/>
          <w:szCs w:val="27"/>
          <w:lang w:eastAsia="ru-RU"/>
        </w:rPr>
        <w:t>)</w:t>
      </w:r>
      <w:r>
        <w:rPr>
          <w:rFonts w:ascii="Times New Roman" w:eastAsia="Times New Roman" w:hAnsi="Times New Roman" w:cs="Times New Roman"/>
          <w:color w:val="000000"/>
          <w:sz w:val="24"/>
          <w:szCs w:val="24"/>
          <w:lang w:eastAsia="ru-RU"/>
        </w:rPr>
        <w:t>,</w:t>
      </w:r>
    </w:p>
    <w:p>
      <w:pPr>
        <w:spacing w:after="0" w:line="360" w:lineRule="atLeast"/>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где</w:t>
      </w:r>
    </w:p>
    <w:p>
      <w:pPr>
        <w:spacing w:after="0" w:line="36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w:t>
      </w:r>
      <w:proofErr w:type="gramStart"/>
      <w:r>
        <w:rPr>
          <w:rFonts w:ascii="Times New Roman" w:eastAsia="Times New Roman" w:hAnsi="Times New Roman" w:cs="Times New Roman"/>
          <w:color w:val="000000"/>
          <w:sz w:val="28"/>
          <w:szCs w:val="28"/>
          <w:vertAlign w:val="subscript"/>
          <w:lang w:eastAsia="ru-RU"/>
        </w:rPr>
        <w:t>4</w:t>
      </w:r>
      <w:proofErr w:type="gramEnd"/>
      <w:r>
        <w:rPr>
          <w:rFonts w:ascii="Times New Roman" w:eastAsia="Times New Roman" w:hAnsi="Times New Roman" w:cs="Times New Roman"/>
          <w:color w:val="000000"/>
          <w:sz w:val="28"/>
          <w:szCs w:val="28"/>
          <w:lang w:eastAsia="ru-RU"/>
        </w:rPr>
        <w:t xml:space="preserve"> – количество оценок 4 балла;</w:t>
      </w:r>
    </w:p>
    <w:p>
      <w:pPr>
        <w:spacing w:after="0" w:line="36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w:t>
      </w:r>
      <w:r>
        <w:rPr>
          <w:rFonts w:ascii="Times New Roman" w:eastAsia="Times New Roman" w:hAnsi="Times New Roman" w:cs="Times New Roman"/>
          <w:color w:val="000000"/>
          <w:sz w:val="28"/>
          <w:szCs w:val="28"/>
          <w:vertAlign w:val="subscript"/>
          <w:lang w:eastAsia="ru-RU"/>
        </w:rPr>
        <w:t>3</w:t>
      </w:r>
      <w:r>
        <w:rPr>
          <w:rFonts w:ascii="Times New Roman" w:eastAsia="Times New Roman" w:hAnsi="Times New Roman" w:cs="Times New Roman"/>
          <w:color w:val="000000"/>
          <w:sz w:val="28"/>
          <w:szCs w:val="28"/>
          <w:lang w:eastAsia="ru-RU"/>
        </w:rPr>
        <w:t xml:space="preserve"> – количество оценок 3 балла;</w:t>
      </w:r>
    </w:p>
    <w:p>
      <w:pPr>
        <w:spacing w:after="0" w:line="36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К</w:t>
      </w:r>
      <w:proofErr w:type="gramStart"/>
      <w:r>
        <w:rPr>
          <w:rFonts w:ascii="Times New Roman" w:eastAsia="Times New Roman" w:hAnsi="Times New Roman" w:cs="Times New Roman"/>
          <w:color w:val="000000"/>
          <w:sz w:val="28"/>
          <w:szCs w:val="28"/>
          <w:vertAlign w:val="subscript"/>
          <w:lang w:eastAsia="ru-RU"/>
        </w:rPr>
        <w:t>2</w:t>
      </w:r>
      <w:proofErr w:type="gramEnd"/>
      <w:r>
        <w:rPr>
          <w:rFonts w:ascii="Times New Roman" w:eastAsia="Times New Roman" w:hAnsi="Times New Roman" w:cs="Times New Roman"/>
          <w:color w:val="000000"/>
          <w:sz w:val="28"/>
          <w:szCs w:val="28"/>
          <w:lang w:eastAsia="ru-RU"/>
        </w:rPr>
        <w:t xml:space="preserve"> – количество оценок 2 балла;</w:t>
      </w:r>
    </w:p>
    <w:p>
      <w:pPr>
        <w:spacing w:after="0" w:line="360" w:lineRule="atLeast"/>
        <w:ind w:firstLine="709"/>
        <w:jc w:val="both"/>
        <w:rPr>
          <w:rFonts w:ascii="Times New Roman" w:eastAsia="Times New Roman" w:hAnsi="Times New Roman" w:cs="Times New Roman"/>
          <w:b/>
          <w:color w:val="000000"/>
          <w:sz w:val="28"/>
          <w:szCs w:val="28"/>
          <w:lang w:eastAsia="ru-RU"/>
        </w:rPr>
      </w:pPr>
      <w:r>
        <w:rPr>
          <w:rFonts w:ascii="Times New Roman" w:eastAsia="Times New Roman" w:hAnsi="Times New Roman" w:cs="Times New Roman"/>
          <w:color w:val="000000"/>
          <w:sz w:val="28"/>
          <w:szCs w:val="28"/>
          <w:lang w:eastAsia="ru-RU"/>
        </w:rPr>
        <w:t>К</w:t>
      </w:r>
      <w:proofErr w:type="gramStart"/>
      <w:r>
        <w:rPr>
          <w:rFonts w:ascii="Times New Roman" w:eastAsia="Times New Roman" w:hAnsi="Times New Roman" w:cs="Times New Roman"/>
          <w:color w:val="000000"/>
          <w:sz w:val="28"/>
          <w:szCs w:val="28"/>
          <w:vertAlign w:val="subscript"/>
          <w:lang w:eastAsia="ru-RU"/>
        </w:rPr>
        <w:t>1</w:t>
      </w:r>
      <w:proofErr w:type="gramEnd"/>
      <w:r>
        <w:rPr>
          <w:rFonts w:ascii="Times New Roman" w:eastAsia="Times New Roman" w:hAnsi="Times New Roman" w:cs="Times New Roman"/>
          <w:color w:val="000000"/>
          <w:sz w:val="28"/>
          <w:szCs w:val="28"/>
          <w:lang w:eastAsia="ru-RU"/>
        </w:rPr>
        <w:t xml:space="preserve"> – количество оценок 1 балла;</w:t>
      </w:r>
    </w:p>
    <w:p>
      <w:pPr>
        <w:spacing w:after="0" w:line="36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K</w:t>
      </w:r>
      <w:r>
        <w:rPr>
          <w:rFonts w:ascii="Times New Roman" w:eastAsia="Times New Roman" w:hAnsi="Times New Roman" w:cs="Times New Roman"/>
          <w:color w:val="000000"/>
          <w:sz w:val="28"/>
          <w:szCs w:val="28"/>
          <w:vertAlign w:val="subscript"/>
          <w:lang w:eastAsia="ru-RU"/>
        </w:rPr>
        <w:t xml:space="preserve">0 </w:t>
      </w:r>
      <w:r>
        <w:rPr>
          <w:rFonts w:ascii="Times New Roman" w:eastAsia="Times New Roman" w:hAnsi="Times New Roman" w:cs="Times New Roman"/>
          <w:color w:val="000000"/>
          <w:sz w:val="28"/>
          <w:szCs w:val="28"/>
          <w:lang w:eastAsia="ru-RU"/>
        </w:rPr>
        <w:t>– количество оценок 0 баллов (без ответа);</w:t>
      </w:r>
    </w:p>
    <w:p>
      <w:pPr>
        <w:spacing w:after="0" w:line="36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val="en-US" w:eastAsia="ru-RU"/>
        </w:rPr>
        <w:t>N</w:t>
      </w:r>
      <w:r>
        <w:rPr>
          <w:rFonts w:ascii="Times New Roman" w:eastAsia="Times New Roman" w:hAnsi="Times New Roman" w:cs="Times New Roman"/>
          <w:color w:val="000000"/>
          <w:sz w:val="28"/>
          <w:szCs w:val="28"/>
          <w:lang w:eastAsia="ru-RU"/>
        </w:rPr>
        <w:t xml:space="preserve"> – </w:t>
      </w:r>
      <w:proofErr w:type="gramStart"/>
      <w:r>
        <w:rPr>
          <w:rFonts w:ascii="Times New Roman" w:eastAsia="Times New Roman" w:hAnsi="Times New Roman" w:cs="Times New Roman"/>
          <w:color w:val="000000"/>
          <w:sz w:val="28"/>
          <w:szCs w:val="28"/>
          <w:lang w:eastAsia="ru-RU"/>
        </w:rPr>
        <w:t>общее</w:t>
      </w:r>
      <w:proofErr w:type="gramEnd"/>
      <w:r>
        <w:rPr>
          <w:rFonts w:ascii="Times New Roman" w:eastAsia="Times New Roman" w:hAnsi="Times New Roman" w:cs="Times New Roman"/>
          <w:color w:val="000000"/>
          <w:sz w:val="28"/>
          <w:szCs w:val="28"/>
          <w:lang w:eastAsia="ru-RU"/>
        </w:rPr>
        <w:t xml:space="preserve"> количество ответов.</w:t>
      </w:r>
    </w:p>
    <w:p>
      <w:pPr>
        <w:spacing w:after="0" w:line="360" w:lineRule="atLeast"/>
        <w:ind w:firstLine="709"/>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lastRenderedPageBreak/>
        <w:t xml:space="preserve">Результаты обработки ответов на вопрос № 1 представлены </w:t>
      </w:r>
      <w:r>
        <w:rPr>
          <w:rFonts w:ascii="Times New Roman" w:eastAsia="Times New Roman" w:hAnsi="Times New Roman" w:cs="Times New Roman"/>
          <w:color w:val="000000"/>
          <w:sz w:val="28"/>
          <w:szCs w:val="28"/>
          <w:lang w:eastAsia="ru-RU"/>
        </w:rPr>
        <w:br/>
        <w:t>в таблице 1. В ряде случаев респонденты давали более одного варианта ответа.</w:t>
      </w:r>
    </w:p>
    <w:p>
      <w:pPr>
        <w:spacing w:before="240" w:after="120" w:line="0" w:lineRule="atLeast"/>
        <w:jc w:val="right"/>
        <w:rPr>
          <w:rFonts w:ascii="Times New Roman" w:hAnsi="Times New Roman" w:cs="Times New Roman"/>
          <w:sz w:val="24"/>
          <w:szCs w:val="24"/>
        </w:rPr>
      </w:pPr>
      <w:r>
        <w:rPr>
          <w:rFonts w:ascii="Times New Roman" w:hAnsi="Times New Roman" w:cs="Times New Roman"/>
          <w:sz w:val="24"/>
          <w:szCs w:val="24"/>
        </w:rPr>
        <w:t>Таблица 1</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1"/>
        <w:gridCol w:w="4635"/>
        <w:gridCol w:w="1176"/>
      </w:tblGrid>
      <w:tr>
        <w:trPr>
          <w:cantSplit/>
          <w:trHeight w:val="405"/>
        </w:trPr>
        <w:tc>
          <w:tcPr>
            <w:tcW w:w="3261" w:type="dxa"/>
            <w:tcBorders>
              <w:bottom w:val="single" w:sz="4" w:space="0" w:color="auto"/>
            </w:tcBorders>
            <w:shd w:val="clear" w:color="auto" w:fill="FBFBFB"/>
            <w:vAlign w:val="center"/>
            <w:hideMark/>
          </w:tcPr>
          <w:p>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Вопрос</w:t>
            </w:r>
          </w:p>
        </w:tc>
        <w:tc>
          <w:tcPr>
            <w:tcW w:w="4635" w:type="dxa"/>
            <w:tcBorders>
              <w:bottom w:val="single" w:sz="4" w:space="0" w:color="auto"/>
            </w:tcBorders>
            <w:shd w:val="clear" w:color="auto" w:fill="FBFBFB"/>
            <w:vAlign w:val="center"/>
            <w:hideMark/>
          </w:tcPr>
          <w:p>
            <w:pPr>
              <w:spacing w:before="120" w:after="12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Варианты ответов</w:t>
            </w:r>
          </w:p>
        </w:tc>
        <w:tc>
          <w:tcPr>
            <w:tcW w:w="1176" w:type="dxa"/>
            <w:tcBorders>
              <w:bottom w:val="single" w:sz="4" w:space="0" w:color="auto"/>
            </w:tcBorders>
            <w:shd w:val="clear" w:color="auto" w:fill="FBFBFB"/>
            <w:vAlign w:val="center"/>
          </w:tcPr>
          <w:p>
            <w:pPr>
              <w:spacing w:before="120" w:after="12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Кол-во ответов</w:t>
            </w:r>
          </w:p>
        </w:tc>
      </w:tr>
      <w:tr>
        <w:trPr>
          <w:cantSplit/>
          <w:trHeight w:val="123"/>
        </w:trPr>
        <w:tc>
          <w:tcPr>
            <w:tcW w:w="3261" w:type="dxa"/>
            <w:vMerge w:val="restart"/>
            <w:shd w:val="clear" w:color="auto" w:fill="FFFFFF" w:themeFill="background1"/>
            <w:vAlign w:val="center"/>
          </w:tcPr>
          <w:p>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Какая, по вашему мнению, форма взаимодействия ЦАФК и ТОФК в настоящее время является наиболее удобной?</w:t>
            </w:r>
          </w:p>
        </w:tc>
        <w:tc>
          <w:tcPr>
            <w:tcW w:w="4635" w:type="dxa"/>
            <w:shd w:val="clear" w:color="auto" w:fill="FFFFFF" w:themeFill="background1"/>
            <w:vAlign w:val="center"/>
          </w:tcPr>
          <w:p>
            <w:pPr>
              <w:spacing w:before="120" w:after="12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Устные консультации работников ЦАФК</w:t>
            </w:r>
          </w:p>
        </w:tc>
        <w:tc>
          <w:tcPr>
            <w:tcW w:w="1176" w:type="dxa"/>
            <w:shd w:val="clear" w:color="auto" w:fill="FFFFFF" w:themeFill="background1"/>
            <w:vAlign w:val="center"/>
          </w:tcPr>
          <w:p>
            <w:pPr>
              <w:spacing w:before="120" w:after="12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10</w:t>
            </w:r>
          </w:p>
        </w:tc>
      </w:tr>
      <w:tr>
        <w:trPr>
          <w:cantSplit/>
          <w:trHeight w:val="435"/>
        </w:trPr>
        <w:tc>
          <w:tcPr>
            <w:tcW w:w="3261" w:type="dxa"/>
            <w:vMerge/>
            <w:shd w:val="clear" w:color="auto" w:fill="FFFFFF" w:themeFill="background1"/>
            <w:vAlign w:val="center"/>
          </w:tcPr>
          <w:p>
            <w:pPr>
              <w:spacing w:after="0" w:line="240" w:lineRule="auto"/>
              <w:jc w:val="center"/>
              <w:rPr>
                <w:rFonts w:ascii="Times New Roman" w:eastAsia="Times New Roman" w:hAnsi="Times New Roman" w:cs="Times New Roman"/>
                <w:sz w:val="24"/>
                <w:szCs w:val="24"/>
                <w:lang w:eastAsia="ru-RU"/>
              </w:rPr>
            </w:pPr>
          </w:p>
        </w:tc>
        <w:tc>
          <w:tcPr>
            <w:tcW w:w="4635" w:type="dxa"/>
            <w:shd w:val="clear" w:color="auto" w:fill="FFFFFF" w:themeFill="background1"/>
            <w:vAlign w:val="center"/>
          </w:tcPr>
          <w:p>
            <w:pPr>
              <w:spacing w:before="120" w:after="12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Форум на официальном сайте Федерального казначейства</w:t>
            </w:r>
          </w:p>
        </w:tc>
        <w:tc>
          <w:tcPr>
            <w:tcW w:w="1176" w:type="dxa"/>
            <w:shd w:val="clear" w:color="auto" w:fill="FFFFFF" w:themeFill="background1"/>
            <w:vAlign w:val="center"/>
          </w:tcPr>
          <w:p>
            <w:pPr>
              <w:spacing w:before="120" w:after="12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14</w:t>
            </w:r>
          </w:p>
        </w:tc>
      </w:tr>
      <w:tr>
        <w:trPr>
          <w:cantSplit/>
          <w:trHeight w:val="255"/>
        </w:trPr>
        <w:tc>
          <w:tcPr>
            <w:tcW w:w="3261" w:type="dxa"/>
            <w:vMerge/>
            <w:shd w:val="clear" w:color="auto" w:fill="FFFFFF" w:themeFill="background1"/>
            <w:vAlign w:val="center"/>
          </w:tcPr>
          <w:p>
            <w:pPr>
              <w:spacing w:after="0" w:line="240" w:lineRule="auto"/>
              <w:jc w:val="center"/>
              <w:rPr>
                <w:rFonts w:ascii="Times New Roman" w:eastAsia="Times New Roman" w:hAnsi="Times New Roman" w:cs="Times New Roman"/>
                <w:sz w:val="24"/>
                <w:szCs w:val="24"/>
                <w:lang w:eastAsia="ru-RU"/>
              </w:rPr>
            </w:pPr>
          </w:p>
        </w:tc>
        <w:tc>
          <w:tcPr>
            <w:tcW w:w="4635" w:type="dxa"/>
            <w:shd w:val="clear" w:color="auto" w:fill="FFFFFF" w:themeFill="background1"/>
            <w:vAlign w:val="center"/>
          </w:tcPr>
          <w:p>
            <w:pPr>
              <w:spacing w:before="120" w:after="12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Аудио-видеоконференции</w:t>
            </w:r>
          </w:p>
        </w:tc>
        <w:tc>
          <w:tcPr>
            <w:tcW w:w="1176" w:type="dxa"/>
            <w:shd w:val="clear" w:color="auto" w:fill="FFFFFF" w:themeFill="background1"/>
            <w:vAlign w:val="center"/>
          </w:tcPr>
          <w:p>
            <w:pPr>
              <w:spacing w:before="120" w:after="12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31</w:t>
            </w:r>
          </w:p>
        </w:tc>
      </w:tr>
      <w:tr>
        <w:trPr>
          <w:cantSplit/>
          <w:trHeight w:val="300"/>
        </w:trPr>
        <w:tc>
          <w:tcPr>
            <w:tcW w:w="3261" w:type="dxa"/>
            <w:vMerge/>
            <w:shd w:val="clear" w:color="auto" w:fill="FFFFFF" w:themeFill="background1"/>
            <w:vAlign w:val="center"/>
          </w:tcPr>
          <w:p>
            <w:pPr>
              <w:spacing w:after="0" w:line="240" w:lineRule="auto"/>
              <w:jc w:val="center"/>
              <w:rPr>
                <w:rFonts w:ascii="Times New Roman" w:eastAsia="Times New Roman" w:hAnsi="Times New Roman" w:cs="Times New Roman"/>
                <w:sz w:val="24"/>
                <w:szCs w:val="24"/>
                <w:lang w:eastAsia="ru-RU"/>
              </w:rPr>
            </w:pPr>
          </w:p>
        </w:tc>
        <w:tc>
          <w:tcPr>
            <w:tcW w:w="4635" w:type="dxa"/>
            <w:shd w:val="clear" w:color="auto" w:fill="FFFFFF" w:themeFill="background1"/>
            <w:vAlign w:val="center"/>
          </w:tcPr>
          <w:p>
            <w:pPr>
              <w:spacing w:before="120" w:after="12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Всероссийские и межрегиональные совещания</w:t>
            </w:r>
          </w:p>
        </w:tc>
        <w:tc>
          <w:tcPr>
            <w:tcW w:w="1176" w:type="dxa"/>
            <w:shd w:val="clear" w:color="auto" w:fill="FFFFFF" w:themeFill="background1"/>
            <w:vAlign w:val="center"/>
          </w:tcPr>
          <w:p>
            <w:pPr>
              <w:spacing w:before="120" w:after="12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71</w:t>
            </w:r>
          </w:p>
        </w:tc>
      </w:tr>
      <w:tr>
        <w:trPr>
          <w:cantSplit/>
          <w:trHeight w:val="201"/>
        </w:trPr>
        <w:tc>
          <w:tcPr>
            <w:tcW w:w="3261" w:type="dxa"/>
            <w:vMerge/>
            <w:shd w:val="clear" w:color="auto" w:fill="FFFFFF" w:themeFill="background1"/>
            <w:vAlign w:val="center"/>
          </w:tcPr>
          <w:p>
            <w:pPr>
              <w:spacing w:after="0" w:line="240" w:lineRule="auto"/>
              <w:jc w:val="center"/>
              <w:rPr>
                <w:rFonts w:ascii="Times New Roman" w:eastAsia="Times New Roman" w:hAnsi="Times New Roman" w:cs="Times New Roman"/>
                <w:sz w:val="24"/>
                <w:szCs w:val="24"/>
                <w:lang w:eastAsia="ru-RU"/>
              </w:rPr>
            </w:pPr>
          </w:p>
        </w:tc>
        <w:tc>
          <w:tcPr>
            <w:tcW w:w="4635" w:type="dxa"/>
            <w:shd w:val="clear" w:color="auto" w:fill="FFFFFF" w:themeFill="background1"/>
            <w:vAlign w:val="center"/>
          </w:tcPr>
          <w:p>
            <w:pPr>
              <w:spacing w:before="120" w:after="12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Разъясняющие письма</w:t>
            </w:r>
          </w:p>
        </w:tc>
        <w:tc>
          <w:tcPr>
            <w:tcW w:w="1176" w:type="dxa"/>
            <w:shd w:val="clear" w:color="auto" w:fill="FFFFFF" w:themeFill="background1"/>
            <w:vAlign w:val="center"/>
          </w:tcPr>
          <w:p>
            <w:pPr>
              <w:spacing w:before="120" w:after="12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58</w:t>
            </w:r>
          </w:p>
        </w:tc>
      </w:tr>
      <w:tr>
        <w:trPr>
          <w:cantSplit/>
          <w:trHeight w:val="315"/>
        </w:trPr>
        <w:tc>
          <w:tcPr>
            <w:tcW w:w="3261" w:type="dxa"/>
            <w:vMerge/>
            <w:shd w:val="clear" w:color="auto" w:fill="FFFFFF" w:themeFill="background1"/>
            <w:vAlign w:val="center"/>
          </w:tcPr>
          <w:p>
            <w:pPr>
              <w:spacing w:after="0" w:line="240" w:lineRule="auto"/>
              <w:jc w:val="center"/>
              <w:rPr>
                <w:rFonts w:ascii="Times New Roman" w:eastAsia="Times New Roman" w:hAnsi="Times New Roman" w:cs="Times New Roman"/>
                <w:sz w:val="24"/>
                <w:szCs w:val="24"/>
                <w:lang w:eastAsia="ru-RU"/>
              </w:rPr>
            </w:pPr>
          </w:p>
        </w:tc>
        <w:tc>
          <w:tcPr>
            <w:tcW w:w="4635" w:type="dxa"/>
            <w:shd w:val="clear" w:color="auto" w:fill="FFFFFF" w:themeFill="background1"/>
            <w:vAlign w:val="center"/>
          </w:tcPr>
          <w:p>
            <w:pPr>
              <w:spacing w:before="120" w:after="12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Другое</w:t>
            </w:r>
          </w:p>
        </w:tc>
        <w:tc>
          <w:tcPr>
            <w:tcW w:w="1176" w:type="dxa"/>
            <w:shd w:val="clear" w:color="auto" w:fill="FFFFFF" w:themeFill="background1"/>
            <w:vAlign w:val="center"/>
          </w:tcPr>
          <w:p>
            <w:pPr>
              <w:spacing w:before="120" w:after="12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w:t>
            </w:r>
          </w:p>
        </w:tc>
      </w:tr>
    </w:tbl>
    <w:p>
      <w:pPr>
        <w:spacing w:before="240" w:after="240" w:line="360" w:lineRule="atLeast"/>
        <w:jc w:val="both"/>
        <w:rPr>
          <w:rFonts w:ascii="Times New Roman" w:hAnsi="Times New Roman" w:cs="Times New Roman"/>
          <w:sz w:val="28"/>
          <w:szCs w:val="28"/>
        </w:rPr>
      </w:pPr>
      <w:r>
        <w:rPr>
          <w:noProof/>
          <w:lang w:eastAsia="ru-RU"/>
        </w:rPr>
        <w:drawing>
          <wp:inline distT="0" distB="0" distL="0" distR="0">
            <wp:extent cx="5753100" cy="2733675"/>
            <wp:effectExtent l="0" t="0" r="19050" b="9525"/>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before="240" w:after="240" w:line="240" w:lineRule="auto"/>
        <w:jc w:val="center"/>
        <w:rPr>
          <w:rFonts w:ascii="Times New Roman" w:hAnsi="Times New Roman" w:cs="Times New Roman"/>
          <w:sz w:val="24"/>
          <w:szCs w:val="24"/>
        </w:rPr>
      </w:pPr>
      <w:r>
        <w:rPr>
          <w:rFonts w:ascii="Times New Roman" w:hAnsi="Times New Roman" w:cs="Times New Roman"/>
          <w:sz w:val="24"/>
          <w:szCs w:val="24"/>
        </w:rPr>
        <w:t>Рис. 1. Диаграмма ответа на вопрос «</w:t>
      </w:r>
      <w:r>
        <w:rPr>
          <w:rFonts w:ascii="Times New Roman" w:eastAsia="Times New Roman" w:hAnsi="Times New Roman" w:cs="Times New Roman"/>
          <w:sz w:val="24"/>
          <w:szCs w:val="24"/>
          <w:lang w:eastAsia="ru-RU"/>
        </w:rPr>
        <w:t>Какая, по вашему мнению, форма взаимодействия ЦАФК и ТОФК в настоящее время является наиболее удобной?</w:t>
      </w:r>
      <w:r>
        <w:rPr>
          <w:rFonts w:ascii="Times New Roman" w:hAnsi="Times New Roman" w:cs="Times New Roman"/>
          <w:sz w:val="24"/>
          <w:szCs w:val="24"/>
        </w:rPr>
        <w:t>»</w:t>
      </w:r>
    </w:p>
    <w:p>
      <w:pPr>
        <w:spacing w:before="240" w:after="240" w:line="360" w:lineRule="atLeast"/>
        <w:ind w:firstLine="709"/>
        <w:jc w:val="both"/>
        <w:rPr>
          <w:rFonts w:ascii="Times New Roman" w:hAnsi="Times New Roman" w:cs="Times New Roman"/>
          <w:sz w:val="28"/>
          <w:szCs w:val="28"/>
        </w:rPr>
      </w:pPr>
      <w:r>
        <w:rPr>
          <w:rFonts w:ascii="Times New Roman" w:hAnsi="Times New Roman" w:cs="Times New Roman"/>
          <w:sz w:val="28"/>
          <w:szCs w:val="28"/>
        </w:rPr>
        <w:t>Ответы на вопросы анкеты №№ 2-8 отражают степень удовлетворенности респондентов взаимодействием с Финансовым управлением. Результаты обработки ответов на данные вопросы представлены в таблице 2.</w:t>
      </w:r>
    </w:p>
    <w:p>
      <w:pPr>
        <w:spacing w:before="240" w:after="120" w:line="240" w:lineRule="auto"/>
        <w:jc w:val="right"/>
        <w:rPr>
          <w:rFonts w:ascii="Times New Roman" w:hAnsi="Times New Roman" w:cs="Times New Roman"/>
          <w:sz w:val="24"/>
          <w:szCs w:val="24"/>
        </w:rPr>
      </w:pPr>
      <w:r>
        <w:rPr>
          <w:rFonts w:ascii="Times New Roman" w:hAnsi="Times New Roman" w:cs="Times New Roman"/>
          <w:sz w:val="24"/>
          <w:szCs w:val="24"/>
        </w:rPr>
        <w:t>Таблица 2</w:t>
      </w:r>
    </w:p>
    <w:tbl>
      <w:tblPr>
        <w:tblW w:w="9072" w:type="dxa"/>
        <w:tblInd w:w="108"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Look w:val="04A0" w:firstRow="1" w:lastRow="0" w:firstColumn="1" w:lastColumn="0" w:noHBand="0" w:noVBand="1"/>
      </w:tblPr>
      <w:tblGrid>
        <w:gridCol w:w="846"/>
        <w:gridCol w:w="3585"/>
        <w:gridCol w:w="675"/>
        <w:gridCol w:w="675"/>
        <w:gridCol w:w="675"/>
        <w:gridCol w:w="675"/>
        <w:gridCol w:w="675"/>
        <w:gridCol w:w="1266"/>
      </w:tblGrid>
      <w:tr>
        <w:trPr>
          <w:trHeight w:val="1284"/>
        </w:trPr>
        <w:tc>
          <w:tcPr>
            <w:tcW w:w="846" w:type="dxa"/>
            <w:tcBorders>
              <w:top w:val="single" w:sz="4" w:space="0" w:color="auto"/>
              <w:left w:val="single" w:sz="4" w:space="0" w:color="auto"/>
              <w:bottom w:val="single" w:sz="4" w:space="0" w:color="auto"/>
              <w:right w:val="single" w:sz="4" w:space="0" w:color="auto"/>
            </w:tcBorders>
            <w:shd w:val="clear" w:color="auto" w:fill="FBFBFB"/>
            <w:vAlign w:val="center"/>
            <w:hideMark/>
          </w:tcPr>
          <w:p>
            <w:pPr>
              <w:spacing w:before="120" w:after="240" w:line="360" w:lineRule="atLeast"/>
              <w:jc w:val="center"/>
              <w:rPr>
                <w:rFonts w:ascii="Times New Roman" w:hAnsi="Times New Roman" w:cs="Times New Roman"/>
                <w:b/>
                <w:sz w:val="24"/>
                <w:szCs w:val="24"/>
              </w:rPr>
            </w:pPr>
            <w:r>
              <w:rPr>
                <w:rFonts w:ascii="Times New Roman" w:hAnsi="Times New Roman" w:cs="Times New Roman"/>
                <w:b/>
                <w:sz w:val="24"/>
                <w:szCs w:val="24"/>
              </w:rPr>
              <w:lastRenderedPageBreak/>
              <w:t>№</w:t>
            </w:r>
          </w:p>
        </w:tc>
        <w:tc>
          <w:tcPr>
            <w:tcW w:w="3585" w:type="dxa"/>
            <w:tcBorders>
              <w:top w:val="single" w:sz="4" w:space="0" w:color="auto"/>
              <w:left w:val="single" w:sz="4" w:space="0" w:color="auto"/>
              <w:bottom w:val="single" w:sz="4" w:space="0" w:color="auto"/>
              <w:right w:val="single" w:sz="4" w:space="0" w:color="auto"/>
            </w:tcBorders>
            <w:shd w:val="clear" w:color="auto" w:fill="FBFBFB"/>
            <w:vAlign w:val="center"/>
            <w:hideMark/>
          </w:tcPr>
          <w:p>
            <w:pPr>
              <w:spacing w:before="120" w:after="240" w:line="360" w:lineRule="atLeast"/>
              <w:jc w:val="center"/>
              <w:rPr>
                <w:rFonts w:ascii="Times New Roman" w:hAnsi="Times New Roman" w:cs="Times New Roman"/>
                <w:b/>
                <w:sz w:val="24"/>
                <w:szCs w:val="24"/>
              </w:rPr>
            </w:pPr>
            <w:r>
              <w:rPr>
                <w:rFonts w:ascii="Times New Roman" w:hAnsi="Times New Roman" w:cs="Times New Roman"/>
                <w:b/>
                <w:bCs/>
                <w:sz w:val="24"/>
                <w:szCs w:val="24"/>
              </w:rPr>
              <w:t>Вопросы анкеты</w:t>
            </w:r>
          </w:p>
        </w:tc>
        <w:tc>
          <w:tcPr>
            <w:tcW w:w="3375" w:type="dxa"/>
            <w:gridSpan w:val="5"/>
            <w:tcBorders>
              <w:top w:val="single" w:sz="4" w:space="0" w:color="auto"/>
              <w:left w:val="single" w:sz="4" w:space="0" w:color="auto"/>
              <w:bottom w:val="single" w:sz="4" w:space="0" w:color="auto"/>
              <w:right w:val="single" w:sz="4" w:space="0" w:color="auto"/>
            </w:tcBorders>
            <w:shd w:val="clear" w:color="auto" w:fill="FBFBFB"/>
            <w:vAlign w:val="center"/>
            <w:hideMark/>
          </w:tcPr>
          <w:p>
            <w:pPr>
              <w:spacing w:before="120" w:after="240" w:line="360" w:lineRule="atLeast"/>
              <w:jc w:val="center"/>
              <w:rPr>
                <w:rFonts w:ascii="Times New Roman" w:hAnsi="Times New Roman" w:cs="Times New Roman"/>
                <w:b/>
                <w:bCs/>
                <w:sz w:val="24"/>
                <w:szCs w:val="24"/>
              </w:rPr>
            </w:pPr>
            <w:r>
              <w:rPr>
                <w:rFonts w:ascii="Times New Roman" w:hAnsi="Times New Roman" w:cs="Times New Roman"/>
                <w:b/>
                <w:bCs/>
                <w:sz w:val="24"/>
                <w:szCs w:val="24"/>
              </w:rPr>
              <w:t>Оценка</w:t>
            </w:r>
          </w:p>
        </w:tc>
        <w:tc>
          <w:tcPr>
            <w:tcW w:w="1266" w:type="dxa"/>
            <w:tcBorders>
              <w:top w:val="single" w:sz="4" w:space="0" w:color="auto"/>
              <w:left w:val="single" w:sz="4" w:space="0" w:color="auto"/>
              <w:bottom w:val="single" w:sz="4" w:space="0" w:color="auto"/>
              <w:right w:val="single" w:sz="4" w:space="0" w:color="auto"/>
            </w:tcBorders>
            <w:shd w:val="clear" w:color="auto" w:fill="FBFBFB"/>
            <w:vAlign w:val="center"/>
            <w:hideMark/>
          </w:tcPr>
          <w:p>
            <w:pPr>
              <w:spacing w:after="0" w:line="200" w:lineRule="exact"/>
              <w:jc w:val="center"/>
              <w:rPr>
                <w:rFonts w:ascii="Times New Roman" w:hAnsi="Times New Roman" w:cs="Times New Roman"/>
                <w:b/>
                <w:bCs/>
              </w:rPr>
            </w:pPr>
            <w:r>
              <w:rPr>
                <w:rFonts w:ascii="Times New Roman" w:hAnsi="Times New Roman" w:cs="Times New Roman"/>
                <w:b/>
                <w:bCs/>
              </w:rPr>
              <w:t xml:space="preserve">Среднее значение оценки </w:t>
            </w:r>
          </w:p>
        </w:tc>
      </w:tr>
      <w:tr>
        <w:trPr>
          <w:trHeight w:hRule="exact" w:val="425"/>
        </w:trPr>
        <w:tc>
          <w:tcPr>
            <w:tcW w:w="846" w:type="dxa"/>
            <w:tcBorders>
              <w:top w:val="single" w:sz="4" w:space="0" w:color="auto"/>
              <w:left w:val="single" w:sz="4" w:space="0" w:color="auto"/>
              <w:bottom w:val="single" w:sz="2" w:space="0" w:color="auto"/>
              <w:right w:val="single" w:sz="4" w:space="0" w:color="auto"/>
            </w:tcBorders>
            <w:shd w:val="clear" w:color="auto" w:fill="FBFBFB"/>
            <w:vAlign w:val="center"/>
          </w:tcPr>
          <w:p>
            <w:pPr>
              <w:spacing w:after="240" w:line="360" w:lineRule="atLeast"/>
              <w:jc w:val="center"/>
              <w:rPr>
                <w:rFonts w:ascii="Times New Roman" w:hAnsi="Times New Roman" w:cs="Times New Roman"/>
                <w:b/>
                <w:sz w:val="24"/>
                <w:szCs w:val="24"/>
              </w:rPr>
            </w:pPr>
          </w:p>
        </w:tc>
        <w:tc>
          <w:tcPr>
            <w:tcW w:w="3585" w:type="dxa"/>
            <w:tcBorders>
              <w:top w:val="single" w:sz="4" w:space="0" w:color="auto"/>
              <w:left w:val="single" w:sz="4" w:space="0" w:color="auto"/>
              <w:bottom w:val="single" w:sz="2" w:space="0" w:color="auto"/>
              <w:right w:val="single" w:sz="4" w:space="0" w:color="auto"/>
            </w:tcBorders>
            <w:shd w:val="clear" w:color="auto" w:fill="FBFBFB"/>
            <w:vAlign w:val="center"/>
          </w:tcPr>
          <w:p>
            <w:pPr>
              <w:spacing w:after="240" w:line="360" w:lineRule="atLeast"/>
              <w:jc w:val="center"/>
              <w:rPr>
                <w:rFonts w:ascii="Times New Roman" w:hAnsi="Times New Roman" w:cs="Times New Roman"/>
                <w:b/>
                <w:bCs/>
                <w:sz w:val="24"/>
                <w:szCs w:val="24"/>
              </w:rPr>
            </w:pPr>
          </w:p>
        </w:tc>
        <w:tc>
          <w:tcPr>
            <w:tcW w:w="675" w:type="dxa"/>
            <w:tcBorders>
              <w:top w:val="single" w:sz="2" w:space="0" w:color="auto"/>
              <w:left w:val="single" w:sz="4" w:space="0" w:color="auto"/>
              <w:bottom w:val="single" w:sz="2" w:space="0" w:color="auto"/>
              <w:right w:val="single" w:sz="4" w:space="0" w:color="auto"/>
            </w:tcBorders>
            <w:shd w:val="clear" w:color="auto" w:fill="FBFBFB"/>
            <w:vAlign w:val="center"/>
            <w:hideMark/>
          </w:tcPr>
          <w:p>
            <w:pPr>
              <w:spacing w:after="240" w:line="360" w:lineRule="atLeast"/>
              <w:jc w:val="center"/>
              <w:rPr>
                <w:rFonts w:ascii="Times New Roman" w:hAnsi="Times New Roman" w:cs="Times New Roman"/>
                <w:b/>
                <w:bCs/>
                <w:sz w:val="24"/>
                <w:szCs w:val="24"/>
              </w:rPr>
            </w:pPr>
            <w:r>
              <w:rPr>
                <w:rFonts w:ascii="Times New Roman" w:hAnsi="Times New Roman" w:cs="Times New Roman"/>
                <w:b/>
                <w:bCs/>
                <w:sz w:val="24"/>
                <w:szCs w:val="24"/>
              </w:rPr>
              <w:t>4</w:t>
            </w:r>
          </w:p>
        </w:tc>
        <w:tc>
          <w:tcPr>
            <w:tcW w:w="675" w:type="dxa"/>
            <w:tcBorders>
              <w:top w:val="single" w:sz="2" w:space="0" w:color="auto"/>
              <w:left w:val="single" w:sz="4" w:space="0" w:color="auto"/>
              <w:bottom w:val="single" w:sz="2" w:space="0" w:color="auto"/>
              <w:right w:val="single" w:sz="4" w:space="0" w:color="auto"/>
            </w:tcBorders>
            <w:shd w:val="clear" w:color="auto" w:fill="FBFBFB"/>
            <w:vAlign w:val="center"/>
            <w:hideMark/>
          </w:tcPr>
          <w:p>
            <w:pPr>
              <w:spacing w:after="240" w:line="360" w:lineRule="atLeast"/>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675" w:type="dxa"/>
            <w:tcBorders>
              <w:top w:val="single" w:sz="2" w:space="0" w:color="auto"/>
              <w:left w:val="single" w:sz="4" w:space="0" w:color="auto"/>
              <w:bottom w:val="single" w:sz="2" w:space="0" w:color="auto"/>
              <w:right w:val="single" w:sz="4" w:space="0" w:color="auto"/>
            </w:tcBorders>
            <w:shd w:val="clear" w:color="auto" w:fill="FBFBFB"/>
            <w:vAlign w:val="center"/>
            <w:hideMark/>
          </w:tcPr>
          <w:p>
            <w:pPr>
              <w:spacing w:after="240" w:line="360" w:lineRule="atLeast"/>
              <w:jc w:val="center"/>
              <w:rPr>
                <w:rFonts w:ascii="Times New Roman" w:hAnsi="Times New Roman" w:cs="Times New Roman"/>
                <w:b/>
                <w:bCs/>
                <w:sz w:val="24"/>
                <w:szCs w:val="24"/>
              </w:rPr>
            </w:pPr>
            <w:r>
              <w:rPr>
                <w:rFonts w:ascii="Times New Roman" w:hAnsi="Times New Roman" w:cs="Times New Roman"/>
                <w:b/>
                <w:bCs/>
                <w:sz w:val="24"/>
                <w:szCs w:val="24"/>
              </w:rPr>
              <w:t>2</w:t>
            </w:r>
          </w:p>
        </w:tc>
        <w:tc>
          <w:tcPr>
            <w:tcW w:w="675" w:type="dxa"/>
            <w:tcBorders>
              <w:top w:val="single" w:sz="2" w:space="0" w:color="auto"/>
              <w:left w:val="single" w:sz="4" w:space="0" w:color="auto"/>
              <w:bottom w:val="single" w:sz="2" w:space="0" w:color="auto"/>
              <w:right w:val="single" w:sz="4" w:space="0" w:color="auto"/>
            </w:tcBorders>
            <w:shd w:val="clear" w:color="auto" w:fill="FBFBFB"/>
            <w:vAlign w:val="center"/>
            <w:hideMark/>
          </w:tcPr>
          <w:p>
            <w:pPr>
              <w:spacing w:after="240" w:line="360" w:lineRule="atLeast"/>
              <w:jc w:val="center"/>
              <w:rPr>
                <w:rFonts w:ascii="Times New Roman" w:hAnsi="Times New Roman" w:cs="Times New Roman"/>
                <w:b/>
                <w:bCs/>
                <w:sz w:val="24"/>
                <w:szCs w:val="24"/>
              </w:rPr>
            </w:pPr>
            <w:r>
              <w:rPr>
                <w:rFonts w:ascii="Times New Roman" w:hAnsi="Times New Roman" w:cs="Times New Roman"/>
                <w:b/>
                <w:bCs/>
                <w:sz w:val="24"/>
                <w:szCs w:val="24"/>
              </w:rPr>
              <w:t>1</w:t>
            </w:r>
          </w:p>
        </w:tc>
        <w:tc>
          <w:tcPr>
            <w:tcW w:w="675" w:type="dxa"/>
            <w:tcBorders>
              <w:top w:val="single" w:sz="2" w:space="0" w:color="auto"/>
              <w:left w:val="single" w:sz="4" w:space="0" w:color="auto"/>
              <w:bottom w:val="single" w:sz="2" w:space="0" w:color="auto"/>
              <w:right w:val="single" w:sz="4" w:space="0" w:color="auto"/>
            </w:tcBorders>
            <w:shd w:val="clear" w:color="auto" w:fill="FBFBFB"/>
            <w:vAlign w:val="center"/>
            <w:hideMark/>
          </w:tcPr>
          <w:p>
            <w:pPr>
              <w:spacing w:after="240" w:line="360" w:lineRule="atLeast"/>
              <w:jc w:val="center"/>
              <w:rPr>
                <w:rFonts w:ascii="Times New Roman" w:hAnsi="Times New Roman" w:cs="Times New Roman"/>
                <w:b/>
                <w:bCs/>
                <w:sz w:val="24"/>
                <w:szCs w:val="24"/>
              </w:rPr>
            </w:pPr>
            <w:r>
              <w:rPr>
                <w:rFonts w:ascii="Times New Roman" w:hAnsi="Times New Roman" w:cs="Times New Roman"/>
                <w:b/>
                <w:bCs/>
                <w:sz w:val="24"/>
                <w:szCs w:val="24"/>
              </w:rPr>
              <w:t>0</w:t>
            </w:r>
          </w:p>
        </w:tc>
        <w:tc>
          <w:tcPr>
            <w:tcW w:w="1266" w:type="dxa"/>
            <w:tcBorders>
              <w:top w:val="single" w:sz="4" w:space="0" w:color="auto"/>
              <w:left w:val="single" w:sz="4" w:space="0" w:color="auto"/>
              <w:bottom w:val="single" w:sz="2" w:space="0" w:color="auto"/>
              <w:right w:val="single" w:sz="4" w:space="0" w:color="auto"/>
            </w:tcBorders>
            <w:shd w:val="clear" w:color="auto" w:fill="FBFBFB"/>
            <w:vAlign w:val="center"/>
          </w:tcPr>
          <w:p>
            <w:pPr>
              <w:spacing w:after="0" w:line="240" w:lineRule="auto"/>
              <w:jc w:val="center"/>
              <w:rPr>
                <w:rFonts w:ascii="Times New Roman" w:hAnsi="Times New Roman" w:cs="Times New Roman"/>
                <w:b/>
                <w:bCs/>
                <w:sz w:val="24"/>
                <w:szCs w:val="24"/>
              </w:rPr>
            </w:pPr>
          </w:p>
        </w:tc>
      </w:tr>
      <w:tr>
        <w:trPr>
          <w:trHeight w:hRule="exact" w:val="987"/>
        </w:trPr>
        <w:tc>
          <w:tcPr>
            <w:tcW w:w="846" w:type="dxa"/>
            <w:tcBorders>
              <w:top w:val="single" w:sz="2" w:space="0" w:color="auto"/>
              <w:left w:val="single" w:sz="4" w:space="0" w:color="auto"/>
              <w:bottom w:val="single" w:sz="4" w:space="0" w:color="auto"/>
              <w:right w:val="single" w:sz="4" w:space="0" w:color="auto"/>
            </w:tcBorders>
            <w:vAlign w:val="center"/>
            <w:hideMark/>
          </w:tcPr>
          <w:p>
            <w:pPr>
              <w:spacing w:after="240" w:line="360" w:lineRule="atLeast"/>
              <w:jc w:val="center"/>
              <w:rPr>
                <w:rFonts w:ascii="Times New Roman" w:hAnsi="Times New Roman" w:cs="Times New Roman"/>
                <w:sz w:val="24"/>
                <w:szCs w:val="24"/>
              </w:rPr>
            </w:pPr>
            <w:r>
              <w:rPr>
                <w:rFonts w:ascii="Times New Roman" w:hAnsi="Times New Roman" w:cs="Times New Roman"/>
                <w:sz w:val="24"/>
                <w:szCs w:val="24"/>
              </w:rPr>
              <w:t>2</w:t>
            </w:r>
          </w:p>
        </w:tc>
        <w:tc>
          <w:tcPr>
            <w:tcW w:w="3585" w:type="dxa"/>
            <w:tcBorders>
              <w:top w:val="single" w:sz="2" w:space="0" w:color="auto"/>
              <w:left w:val="single" w:sz="4" w:space="0" w:color="auto"/>
              <w:bottom w:val="single" w:sz="4" w:space="0" w:color="auto"/>
              <w:right w:val="single" w:sz="4" w:space="0" w:color="auto"/>
            </w:tcBorders>
            <w:vAlign w:val="center"/>
          </w:tcPr>
          <w:p>
            <w:pPr>
              <w:spacing w:after="0" w:line="0" w:lineRule="atLeast"/>
              <w:contextualSpacing/>
              <w:jc w:val="center"/>
              <w:rPr>
                <w:rFonts w:ascii="Times New Roman" w:hAnsi="Times New Roman" w:cs="Times New Roman"/>
                <w:sz w:val="23"/>
                <w:szCs w:val="23"/>
              </w:rPr>
            </w:pPr>
            <w:r>
              <w:rPr>
                <w:rFonts w:ascii="Times New Roman" w:hAnsi="Times New Roman" w:cs="Times New Roman"/>
                <w:sz w:val="23"/>
                <w:szCs w:val="23"/>
              </w:rPr>
              <w:t>Насколько вы удовлетворены качеством взаимодействия</w:t>
            </w:r>
            <w:r>
              <w:rPr>
                <w:rFonts w:ascii="Times New Roman" w:hAnsi="Times New Roman" w:cs="Times New Roman"/>
                <w:sz w:val="23"/>
                <w:szCs w:val="23"/>
              </w:rPr>
              <w:br/>
              <w:t>с Финансовым управлением?</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34</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b/>
                <w:sz w:val="24"/>
                <w:szCs w:val="24"/>
              </w:rPr>
            </w:pPr>
            <w:r>
              <w:rPr>
                <w:rFonts w:ascii="Times New Roman" w:hAnsi="Times New Roman" w:cs="Times New Roman"/>
                <w:b/>
                <w:sz w:val="24"/>
                <w:szCs w:val="24"/>
              </w:rPr>
              <w:t>41</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7</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0</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266"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3,33</w:t>
            </w:r>
          </w:p>
        </w:tc>
      </w:tr>
      <w:tr>
        <w:trPr>
          <w:trHeight w:hRule="exact" w:val="1276"/>
        </w:trPr>
        <w:tc>
          <w:tcPr>
            <w:tcW w:w="846" w:type="dxa"/>
            <w:tcBorders>
              <w:top w:val="single" w:sz="2" w:space="0" w:color="auto"/>
              <w:left w:val="single" w:sz="4" w:space="0" w:color="auto"/>
              <w:bottom w:val="single" w:sz="4" w:space="0" w:color="auto"/>
              <w:right w:val="single" w:sz="4" w:space="0" w:color="auto"/>
            </w:tcBorders>
            <w:vAlign w:val="center"/>
            <w:hideMark/>
          </w:tcPr>
          <w:p>
            <w:pPr>
              <w:spacing w:after="240" w:line="360" w:lineRule="atLeast"/>
              <w:jc w:val="center"/>
              <w:rPr>
                <w:rFonts w:ascii="Times New Roman" w:hAnsi="Times New Roman" w:cs="Times New Roman"/>
                <w:sz w:val="24"/>
                <w:szCs w:val="24"/>
              </w:rPr>
            </w:pPr>
            <w:r>
              <w:rPr>
                <w:rFonts w:ascii="Times New Roman" w:hAnsi="Times New Roman" w:cs="Times New Roman"/>
                <w:sz w:val="24"/>
                <w:szCs w:val="24"/>
              </w:rPr>
              <w:t>3</w:t>
            </w:r>
          </w:p>
        </w:tc>
        <w:tc>
          <w:tcPr>
            <w:tcW w:w="3585" w:type="dxa"/>
            <w:tcBorders>
              <w:top w:val="single" w:sz="2" w:space="0" w:color="auto"/>
              <w:left w:val="single" w:sz="4" w:space="0" w:color="auto"/>
              <w:bottom w:val="single" w:sz="4" w:space="0" w:color="auto"/>
              <w:right w:val="single" w:sz="4" w:space="0" w:color="auto"/>
            </w:tcBorders>
            <w:vAlign w:val="center"/>
          </w:tcPr>
          <w:p>
            <w:pPr>
              <w:spacing w:after="0" w:line="0" w:lineRule="atLeast"/>
              <w:contextualSpacing/>
              <w:jc w:val="center"/>
              <w:rPr>
                <w:rFonts w:ascii="Times New Roman" w:hAnsi="Times New Roman" w:cs="Times New Roman"/>
                <w:sz w:val="24"/>
                <w:szCs w:val="24"/>
              </w:rPr>
            </w:pPr>
            <w:r>
              <w:rPr>
                <w:rFonts w:ascii="Times New Roman" w:hAnsi="Times New Roman" w:cs="Times New Roman"/>
                <w:sz w:val="24"/>
                <w:szCs w:val="24"/>
              </w:rPr>
              <w:t>Насколько Вы удовлетворены оперативностью рассмотрения Финансовым управлением писем и запросов?</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38</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b/>
                <w:sz w:val="24"/>
                <w:szCs w:val="24"/>
              </w:rPr>
            </w:pPr>
            <w:r>
              <w:rPr>
                <w:rFonts w:ascii="Times New Roman" w:hAnsi="Times New Roman" w:cs="Times New Roman"/>
                <w:b/>
                <w:sz w:val="24"/>
                <w:szCs w:val="24"/>
              </w:rPr>
              <w:t>39</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5</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0</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266"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3,40</w:t>
            </w:r>
          </w:p>
        </w:tc>
      </w:tr>
      <w:tr>
        <w:trPr>
          <w:trHeight w:hRule="exact" w:val="1563"/>
        </w:trPr>
        <w:tc>
          <w:tcPr>
            <w:tcW w:w="846" w:type="dxa"/>
            <w:tcBorders>
              <w:top w:val="single" w:sz="2" w:space="0" w:color="auto"/>
              <w:left w:val="single" w:sz="4" w:space="0" w:color="auto"/>
              <w:bottom w:val="single" w:sz="4" w:space="0" w:color="auto"/>
              <w:right w:val="single" w:sz="4" w:space="0" w:color="auto"/>
            </w:tcBorders>
            <w:vAlign w:val="center"/>
            <w:hideMark/>
          </w:tcPr>
          <w:p>
            <w:pPr>
              <w:spacing w:after="240" w:line="360" w:lineRule="atLeast"/>
              <w:jc w:val="center"/>
              <w:rPr>
                <w:rFonts w:ascii="Times New Roman" w:hAnsi="Times New Roman" w:cs="Times New Roman"/>
                <w:sz w:val="24"/>
                <w:szCs w:val="24"/>
              </w:rPr>
            </w:pPr>
            <w:r>
              <w:rPr>
                <w:rFonts w:ascii="Times New Roman" w:hAnsi="Times New Roman" w:cs="Times New Roman"/>
                <w:sz w:val="24"/>
                <w:szCs w:val="24"/>
              </w:rPr>
              <w:t>4</w:t>
            </w:r>
          </w:p>
        </w:tc>
        <w:tc>
          <w:tcPr>
            <w:tcW w:w="3585" w:type="dxa"/>
            <w:tcBorders>
              <w:top w:val="single" w:sz="2" w:space="0" w:color="auto"/>
              <w:left w:val="single" w:sz="4" w:space="0" w:color="auto"/>
              <w:bottom w:val="single" w:sz="4" w:space="0" w:color="auto"/>
              <w:right w:val="single" w:sz="4" w:space="0" w:color="auto"/>
            </w:tcBorders>
            <w:vAlign w:val="center"/>
          </w:tcPr>
          <w:p>
            <w:pPr>
              <w:spacing w:after="0" w:line="0" w:lineRule="atLeast"/>
              <w:contextualSpacing/>
              <w:jc w:val="center"/>
              <w:rPr>
                <w:rFonts w:ascii="Times New Roman" w:hAnsi="Times New Roman" w:cs="Times New Roman"/>
                <w:sz w:val="24"/>
                <w:szCs w:val="24"/>
              </w:rPr>
            </w:pPr>
            <w:r>
              <w:rPr>
                <w:rFonts w:ascii="Times New Roman" w:hAnsi="Times New Roman" w:cs="Times New Roman"/>
                <w:sz w:val="24"/>
                <w:szCs w:val="24"/>
              </w:rPr>
              <w:t>Насколько Вы удовлетворены профессиональным уровнем сотрудников Финансового управления, с которыми Вы взаимодействуете?</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b/>
                <w:sz w:val="24"/>
                <w:szCs w:val="24"/>
              </w:rPr>
            </w:pPr>
            <w:r>
              <w:rPr>
                <w:rFonts w:ascii="Times New Roman" w:hAnsi="Times New Roman" w:cs="Times New Roman"/>
                <w:b/>
                <w:sz w:val="24"/>
                <w:szCs w:val="24"/>
              </w:rPr>
              <w:t>60</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20</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0</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0</w:t>
            </w:r>
          </w:p>
        </w:tc>
        <w:tc>
          <w:tcPr>
            <w:tcW w:w="1266"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3,69</w:t>
            </w:r>
          </w:p>
        </w:tc>
      </w:tr>
      <w:tr>
        <w:trPr>
          <w:trHeight w:hRule="exact" w:val="1273"/>
        </w:trPr>
        <w:tc>
          <w:tcPr>
            <w:tcW w:w="846" w:type="dxa"/>
            <w:tcBorders>
              <w:top w:val="single" w:sz="2" w:space="0" w:color="auto"/>
              <w:left w:val="single" w:sz="4" w:space="0" w:color="auto"/>
              <w:bottom w:val="single" w:sz="4" w:space="0" w:color="auto"/>
              <w:right w:val="single" w:sz="4" w:space="0" w:color="auto"/>
            </w:tcBorders>
            <w:vAlign w:val="center"/>
            <w:hideMark/>
          </w:tcPr>
          <w:p>
            <w:pPr>
              <w:spacing w:after="240" w:line="360" w:lineRule="atLeast"/>
              <w:jc w:val="center"/>
              <w:rPr>
                <w:rFonts w:ascii="Times New Roman" w:hAnsi="Times New Roman" w:cs="Times New Roman"/>
                <w:sz w:val="24"/>
                <w:szCs w:val="24"/>
              </w:rPr>
            </w:pPr>
            <w:r>
              <w:rPr>
                <w:rFonts w:ascii="Times New Roman" w:hAnsi="Times New Roman" w:cs="Times New Roman"/>
                <w:sz w:val="24"/>
                <w:szCs w:val="24"/>
              </w:rPr>
              <w:t>5</w:t>
            </w:r>
          </w:p>
        </w:tc>
        <w:tc>
          <w:tcPr>
            <w:tcW w:w="3585" w:type="dxa"/>
            <w:tcBorders>
              <w:top w:val="single" w:sz="2" w:space="0" w:color="auto"/>
              <w:left w:val="single" w:sz="4" w:space="0" w:color="auto"/>
              <w:bottom w:val="single" w:sz="4" w:space="0" w:color="auto"/>
              <w:right w:val="single" w:sz="4" w:space="0" w:color="auto"/>
            </w:tcBorders>
            <w:vAlign w:val="center"/>
          </w:tcPr>
          <w:p>
            <w:pPr>
              <w:spacing w:after="0" w:line="0" w:lineRule="atLeast"/>
              <w:contextualSpacing/>
              <w:jc w:val="center"/>
              <w:rPr>
                <w:rFonts w:ascii="Times New Roman" w:hAnsi="Times New Roman" w:cs="Times New Roman"/>
                <w:sz w:val="24"/>
                <w:szCs w:val="24"/>
              </w:rPr>
            </w:pPr>
            <w:r>
              <w:rPr>
                <w:rFonts w:ascii="Times New Roman" w:hAnsi="Times New Roman" w:cs="Times New Roman"/>
                <w:sz w:val="24"/>
                <w:szCs w:val="24"/>
              </w:rPr>
              <w:t>Насколько Вы удовлетворены качеством направляемых в Ваш адрес писем и разъяснений Финансового управления?</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29</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b/>
                <w:sz w:val="24"/>
                <w:szCs w:val="24"/>
              </w:rPr>
            </w:pPr>
            <w:r>
              <w:rPr>
                <w:rFonts w:ascii="Times New Roman" w:hAnsi="Times New Roman" w:cs="Times New Roman"/>
                <w:b/>
                <w:sz w:val="24"/>
                <w:szCs w:val="24"/>
              </w:rPr>
              <w:t>52</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2</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0</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0</w:t>
            </w:r>
          </w:p>
        </w:tc>
        <w:tc>
          <w:tcPr>
            <w:tcW w:w="1266"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3,33</w:t>
            </w:r>
          </w:p>
        </w:tc>
      </w:tr>
      <w:tr>
        <w:trPr>
          <w:trHeight w:hRule="exact" w:val="2418"/>
        </w:trPr>
        <w:tc>
          <w:tcPr>
            <w:tcW w:w="846" w:type="dxa"/>
            <w:tcBorders>
              <w:top w:val="single" w:sz="2" w:space="0" w:color="auto"/>
              <w:left w:val="single" w:sz="4" w:space="0" w:color="auto"/>
              <w:bottom w:val="single" w:sz="4" w:space="0" w:color="auto"/>
              <w:right w:val="single" w:sz="4" w:space="0" w:color="auto"/>
            </w:tcBorders>
            <w:vAlign w:val="center"/>
            <w:hideMark/>
          </w:tcPr>
          <w:p>
            <w:pPr>
              <w:spacing w:after="240" w:line="360" w:lineRule="atLeast"/>
              <w:jc w:val="center"/>
              <w:rPr>
                <w:rFonts w:ascii="Times New Roman" w:hAnsi="Times New Roman" w:cs="Times New Roman"/>
                <w:sz w:val="24"/>
                <w:szCs w:val="24"/>
              </w:rPr>
            </w:pPr>
            <w:r>
              <w:rPr>
                <w:rFonts w:ascii="Times New Roman" w:hAnsi="Times New Roman" w:cs="Times New Roman"/>
                <w:sz w:val="24"/>
                <w:szCs w:val="24"/>
              </w:rPr>
              <w:t>6</w:t>
            </w:r>
          </w:p>
        </w:tc>
        <w:tc>
          <w:tcPr>
            <w:tcW w:w="3585" w:type="dxa"/>
            <w:tcBorders>
              <w:top w:val="single" w:sz="2" w:space="0" w:color="auto"/>
              <w:left w:val="single" w:sz="4" w:space="0" w:color="auto"/>
              <w:bottom w:val="single" w:sz="4" w:space="0" w:color="auto"/>
              <w:right w:val="single" w:sz="4" w:space="0" w:color="auto"/>
            </w:tcBorders>
            <w:vAlign w:val="center"/>
          </w:tcPr>
          <w:p>
            <w:pPr>
              <w:spacing w:after="0" w:line="0" w:lineRule="atLeast"/>
              <w:contextualSpacing/>
              <w:jc w:val="center"/>
              <w:rPr>
                <w:rFonts w:ascii="Times New Roman" w:hAnsi="Times New Roman" w:cs="Times New Roman"/>
                <w:sz w:val="24"/>
                <w:szCs w:val="24"/>
              </w:rPr>
            </w:pPr>
            <w:r>
              <w:rPr>
                <w:rFonts w:ascii="Times New Roman" w:hAnsi="Times New Roman" w:cs="Times New Roman"/>
                <w:sz w:val="24"/>
                <w:szCs w:val="24"/>
              </w:rPr>
              <w:t>Насколько Вы удовлетворены наполненностью раздела «Финансовое обеспечение учет и отчетности по главе 100 «Федеральное казначейство» Методического кабинета интернет-сайта Федерального казначейства?</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16</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b/>
                <w:sz w:val="24"/>
                <w:szCs w:val="24"/>
              </w:rPr>
            </w:pPr>
            <w:r>
              <w:rPr>
                <w:rFonts w:ascii="Times New Roman" w:hAnsi="Times New Roman" w:cs="Times New Roman"/>
                <w:b/>
                <w:sz w:val="24"/>
                <w:szCs w:val="24"/>
              </w:rPr>
              <w:t>48</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14</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1</w:t>
            </w:r>
          </w:p>
        </w:tc>
        <w:tc>
          <w:tcPr>
            <w:tcW w:w="1266"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2,93</w:t>
            </w:r>
          </w:p>
        </w:tc>
      </w:tr>
      <w:tr>
        <w:trPr>
          <w:trHeight w:hRule="exact" w:val="978"/>
        </w:trPr>
        <w:tc>
          <w:tcPr>
            <w:tcW w:w="846" w:type="dxa"/>
            <w:tcBorders>
              <w:top w:val="single" w:sz="2" w:space="0" w:color="auto"/>
              <w:left w:val="single" w:sz="4" w:space="0" w:color="auto"/>
              <w:bottom w:val="single" w:sz="4" w:space="0" w:color="auto"/>
              <w:right w:val="single" w:sz="4" w:space="0" w:color="auto"/>
            </w:tcBorders>
            <w:vAlign w:val="center"/>
            <w:hideMark/>
          </w:tcPr>
          <w:p>
            <w:pPr>
              <w:spacing w:after="240" w:line="360" w:lineRule="atLeast"/>
              <w:jc w:val="center"/>
              <w:rPr>
                <w:rFonts w:ascii="Times New Roman" w:hAnsi="Times New Roman" w:cs="Times New Roman"/>
                <w:sz w:val="24"/>
                <w:szCs w:val="24"/>
              </w:rPr>
            </w:pPr>
            <w:r>
              <w:rPr>
                <w:rFonts w:ascii="Times New Roman" w:hAnsi="Times New Roman" w:cs="Times New Roman"/>
                <w:sz w:val="24"/>
                <w:szCs w:val="24"/>
              </w:rPr>
              <w:t>7</w:t>
            </w:r>
          </w:p>
        </w:tc>
        <w:tc>
          <w:tcPr>
            <w:tcW w:w="3585" w:type="dxa"/>
            <w:tcBorders>
              <w:top w:val="single" w:sz="2" w:space="0" w:color="auto"/>
              <w:left w:val="single" w:sz="4" w:space="0" w:color="auto"/>
              <w:bottom w:val="single" w:sz="4" w:space="0" w:color="auto"/>
              <w:right w:val="single" w:sz="4" w:space="0" w:color="auto"/>
            </w:tcBorders>
            <w:vAlign w:val="center"/>
          </w:tcPr>
          <w:p>
            <w:pPr>
              <w:spacing w:after="0" w:line="0" w:lineRule="atLeast"/>
              <w:contextualSpacing/>
              <w:jc w:val="center"/>
              <w:rPr>
                <w:rFonts w:ascii="Times New Roman" w:hAnsi="Times New Roman" w:cs="Times New Roman"/>
                <w:sz w:val="24"/>
                <w:szCs w:val="24"/>
              </w:rPr>
            </w:pPr>
            <w:r>
              <w:rPr>
                <w:rFonts w:ascii="Times New Roman" w:hAnsi="Times New Roman" w:cs="Times New Roman"/>
                <w:sz w:val="24"/>
                <w:szCs w:val="24"/>
              </w:rPr>
              <w:t>Считаете ли Вы участие</w:t>
            </w:r>
            <w:r>
              <w:rPr>
                <w:rFonts w:ascii="Times New Roman" w:hAnsi="Times New Roman" w:cs="Times New Roman"/>
                <w:sz w:val="24"/>
                <w:szCs w:val="24"/>
              </w:rPr>
              <w:br/>
              <w:t>в данном совещании полезным для Вашей дальнейшей работы?</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b/>
                <w:sz w:val="24"/>
                <w:szCs w:val="24"/>
              </w:rPr>
            </w:pPr>
            <w:r>
              <w:rPr>
                <w:rFonts w:ascii="Times New Roman" w:hAnsi="Times New Roman" w:cs="Times New Roman"/>
                <w:b/>
                <w:sz w:val="24"/>
                <w:szCs w:val="24"/>
              </w:rPr>
              <w:t>80</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3</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0</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0</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0</w:t>
            </w:r>
          </w:p>
        </w:tc>
        <w:tc>
          <w:tcPr>
            <w:tcW w:w="1266"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3,96</w:t>
            </w:r>
          </w:p>
        </w:tc>
      </w:tr>
      <w:tr>
        <w:trPr>
          <w:trHeight w:hRule="exact" w:val="1275"/>
        </w:trPr>
        <w:tc>
          <w:tcPr>
            <w:tcW w:w="846" w:type="dxa"/>
            <w:tcBorders>
              <w:top w:val="single" w:sz="2" w:space="0" w:color="auto"/>
              <w:left w:val="single" w:sz="4" w:space="0" w:color="auto"/>
              <w:bottom w:val="single" w:sz="4" w:space="0" w:color="auto"/>
              <w:right w:val="single" w:sz="4" w:space="0" w:color="auto"/>
            </w:tcBorders>
            <w:vAlign w:val="center"/>
            <w:hideMark/>
          </w:tcPr>
          <w:p>
            <w:pPr>
              <w:spacing w:after="240" w:line="360" w:lineRule="atLeast"/>
              <w:jc w:val="center"/>
              <w:rPr>
                <w:rFonts w:ascii="Times New Roman" w:hAnsi="Times New Roman" w:cs="Times New Roman"/>
                <w:sz w:val="24"/>
                <w:szCs w:val="24"/>
              </w:rPr>
            </w:pPr>
            <w:r>
              <w:rPr>
                <w:rFonts w:ascii="Times New Roman" w:hAnsi="Times New Roman" w:cs="Times New Roman"/>
                <w:sz w:val="24"/>
                <w:szCs w:val="24"/>
              </w:rPr>
              <w:t>8</w:t>
            </w:r>
          </w:p>
        </w:tc>
        <w:tc>
          <w:tcPr>
            <w:tcW w:w="3585" w:type="dxa"/>
            <w:tcBorders>
              <w:top w:val="single" w:sz="2" w:space="0" w:color="auto"/>
              <w:left w:val="single" w:sz="4" w:space="0" w:color="auto"/>
              <w:bottom w:val="single" w:sz="4" w:space="0" w:color="auto"/>
              <w:right w:val="single" w:sz="4" w:space="0" w:color="auto"/>
            </w:tcBorders>
            <w:vAlign w:val="center"/>
          </w:tcPr>
          <w:p>
            <w:pPr>
              <w:spacing w:after="0" w:line="0" w:lineRule="atLeast"/>
              <w:contextualSpacing/>
              <w:jc w:val="center"/>
              <w:rPr>
                <w:rFonts w:ascii="Times New Roman" w:hAnsi="Times New Roman" w:cs="Times New Roman"/>
                <w:sz w:val="24"/>
                <w:szCs w:val="24"/>
              </w:rPr>
            </w:pPr>
            <w:r>
              <w:rPr>
                <w:rFonts w:ascii="Times New Roman" w:hAnsi="Times New Roman" w:cs="Times New Roman"/>
                <w:sz w:val="24"/>
                <w:szCs w:val="24"/>
              </w:rPr>
              <w:t>Отвечает ли представленная на данном совещании информация на большинство актуальных и важных вопросов?</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b/>
                <w:sz w:val="24"/>
                <w:szCs w:val="24"/>
              </w:rPr>
            </w:pPr>
            <w:r>
              <w:rPr>
                <w:rFonts w:ascii="Times New Roman" w:hAnsi="Times New Roman" w:cs="Times New Roman"/>
                <w:b/>
                <w:sz w:val="24"/>
                <w:szCs w:val="24"/>
              </w:rPr>
              <w:t>43</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36</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0</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0</w:t>
            </w:r>
          </w:p>
        </w:tc>
        <w:tc>
          <w:tcPr>
            <w:tcW w:w="675"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sz w:val="24"/>
                <w:szCs w:val="24"/>
              </w:rPr>
            </w:pPr>
            <w:r>
              <w:rPr>
                <w:rFonts w:ascii="Times New Roman" w:hAnsi="Times New Roman" w:cs="Times New Roman"/>
                <w:sz w:val="24"/>
                <w:szCs w:val="24"/>
              </w:rPr>
              <w:t>4</w:t>
            </w:r>
          </w:p>
        </w:tc>
        <w:tc>
          <w:tcPr>
            <w:tcW w:w="1266" w:type="dxa"/>
            <w:tcBorders>
              <w:top w:val="single" w:sz="2" w:space="0" w:color="auto"/>
              <w:left w:val="single" w:sz="4" w:space="0" w:color="auto"/>
              <w:bottom w:val="single" w:sz="4" w:space="0" w:color="auto"/>
              <w:right w:val="single" w:sz="4" w:space="0" w:color="auto"/>
            </w:tcBorders>
            <w:vAlign w:val="center"/>
          </w:tcPr>
          <w:p>
            <w:pPr>
              <w:spacing w:after="0" w:line="360" w:lineRule="atLeast"/>
              <w:contextualSpacing/>
              <w:jc w:val="center"/>
              <w:rPr>
                <w:rFonts w:ascii="Times New Roman" w:hAnsi="Times New Roman" w:cs="Times New Roman"/>
                <w:b/>
                <w:bCs/>
                <w:sz w:val="24"/>
                <w:szCs w:val="24"/>
              </w:rPr>
            </w:pPr>
            <w:r>
              <w:rPr>
                <w:rFonts w:ascii="Times New Roman" w:hAnsi="Times New Roman" w:cs="Times New Roman"/>
                <w:b/>
                <w:bCs/>
                <w:sz w:val="24"/>
                <w:szCs w:val="24"/>
              </w:rPr>
              <w:t>3,54</w:t>
            </w:r>
          </w:p>
        </w:tc>
      </w:tr>
    </w:tbl>
    <w:p>
      <w:pPr>
        <w:spacing w:before="240" w:after="0" w:line="360" w:lineRule="atLeast"/>
        <w:ind w:firstLine="709"/>
        <w:jc w:val="both"/>
        <w:rPr>
          <w:rFonts w:ascii="Times New Roman" w:hAnsi="Times New Roman" w:cs="Times New Roman"/>
          <w:sz w:val="28"/>
          <w:szCs w:val="28"/>
        </w:rPr>
      </w:pPr>
    </w:p>
    <w:sectPr>
      <w:headerReference w:type="default" r:id="rId10"/>
      <w:pgSz w:w="11906" w:h="16838"/>
      <w:pgMar w:top="1418" w:right="1134" w:bottom="1361"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2145563"/>
      <w:docPartObj>
        <w:docPartGallery w:val="Page Numbers (Top of Page)"/>
        <w:docPartUnique/>
      </w:docPartObj>
    </w:sdtPr>
    <w:sdtContent>
      <w:p>
        <w:pPr>
          <w:pStyle w:val="a3"/>
          <w:jc w:val="center"/>
        </w:pPr>
        <w:r>
          <w:rPr>
            <w:rFonts w:ascii="Times New Roman" w:hAnsi="Times New Roman" w:cs="Times New Roman"/>
          </w:rPr>
          <w:fldChar w:fldCharType="begin"/>
        </w:r>
        <w:r>
          <w:rPr>
            <w:rFonts w:ascii="Times New Roman" w:hAnsi="Times New Roman" w:cs="Times New Roman"/>
          </w:rPr>
          <w:instrText>PAGE   \* MERGEFORMAT</w:instrText>
        </w:r>
        <w:r>
          <w:rPr>
            <w:rFonts w:ascii="Times New Roman" w:hAnsi="Times New Roman" w:cs="Times New Roman"/>
          </w:rPr>
          <w:fldChar w:fldCharType="separate"/>
        </w:r>
        <w:r>
          <w:rPr>
            <w:rFonts w:ascii="Times New Roman" w:hAnsi="Times New Roman" w:cs="Times New Roman"/>
            <w:noProof/>
          </w:rPr>
          <w:t>2</w:t>
        </w:r>
        <w:r>
          <w:rPr>
            <w:rFonts w:ascii="Times New Roman" w:hAnsi="Times New Roman" w:cs="Times New Roman"/>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D073F3"/>
    <w:multiLevelType w:val="hybridMultilevel"/>
    <w:tmpl w:val="54244A3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53B504DC"/>
    <w:multiLevelType w:val="hybridMultilevel"/>
    <w:tmpl w:val="3E6E59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65164ECD"/>
    <w:multiLevelType w:val="hybridMultilevel"/>
    <w:tmpl w:val="5F1664C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paragraph" w:styleId="a7">
    <w:name w:val="Balloon Text"/>
    <w:basedOn w:val="a"/>
    <w:link w:val="a8"/>
    <w:uiPriority w:val="99"/>
    <w:semiHidden/>
    <w:unhideWhenUse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Pr>
      <w:rFonts w:ascii="Tahoma" w:hAnsi="Tahoma" w:cs="Tahoma"/>
      <w:sz w:val="16"/>
      <w:szCs w:val="16"/>
    </w:rPr>
  </w:style>
  <w:style w:type="table" w:customStyle="1" w:styleId="1">
    <w:name w:val="Сетка таблицы1"/>
    <w:basedOn w:val="a1"/>
    <w:next w:val="a9"/>
    <w:uiPriority w:val="5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9">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9"/>
    <w:uiPriority w:val="5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677"/>
        <w:tab w:val="right" w:pos="9355"/>
      </w:tabs>
      <w:spacing w:after="0" w:line="240" w:lineRule="auto"/>
    </w:pPr>
  </w:style>
  <w:style w:type="character" w:customStyle="1" w:styleId="a4">
    <w:name w:val="Верхний колонтитул Знак"/>
    <w:basedOn w:val="a0"/>
    <w:link w:val="a3"/>
    <w:uiPriority w:val="99"/>
  </w:style>
  <w:style w:type="paragraph" w:styleId="a5">
    <w:name w:val="footer"/>
    <w:basedOn w:val="a"/>
    <w:link w:val="a6"/>
    <w:uiPriority w:val="99"/>
    <w:unhideWhenUsed/>
    <w:pPr>
      <w:tabs>
        <w:tab w:val="center" w:pos="4677"/>
        <w:tab w:val="right" w:pos="9355"/>
      </w:tabs>
      <w:spacing w:after="0" w:line="240" w:lineRule="auto"/>
    </w:pPr>
  </w:style>
  <w:style w:type="character" w:customStyle="1" w:styleId="a6">
    <w:name w:val="Нижний колонтитул Знак"/>
    <w:basedOn w:val="a0"/>
    <w:link w:val="a5"/>
    <w:uiPriority w:val="99"/>
  </w:style>
  <w:style w:type="paragraph" w:styleId="a7">
    <w:name w:val="Balloon Text"/>
    <w:basedOn w:val="a"/>
    <w:link w:val="a8"/>
    <w:uiPriority w:val="99"/>
    <w:semiHidden/>
    <w:unhideWhenUsed/>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Pr>
      <w:rFonts w:ascii="Tahoma" w:hAnsi="Tahoma" w:cs="Tahoma"/>
      <w:sz w:val="16"/>
      <w:szCs w:val="16"/>
    </w:rPr>
  </w:style>
  <w:style w:type="table" w:customStyle="1" w:styleId="1">
    <w:name w:val="Сетка таблицы1"/>
    <w:basedOn w:val="a1"/>
    <w:next w:val="a9"/>
    <w:uiPriority w:val="5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9">
    <w:name w:val="Table Grid"/>
    <w:basedOn w:val="a1"/>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Сетка таблицы2"/>
    <w:basedOn w:val="a1"/>
    <w:next w:val="a9"/>
    <w:uiPriority w:val="59"/>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371485">
      <w:bodyDiv w:val="1"/>
      <w:marLeft w:val="0"/>
      <w:marRight w:val="0"/>
      <w:marTop w:val="0"/>
      <w:marBottom w:val="0"/>
      <w:divBdr>
        <w:top w:val="none" w:sz="0" w:space="0" w:color="auto"/>
        <w:left w:val="none" w:sz="0" w:space="0" w:color="auto"/>
        <w:bottom w:val="none" w:sz="0" w:space="0" w:color="auto"/>
        <w:right w:val="none" w:sz="0" w:space="0" w:color="auto"/>
      </w:divBdr>
    </w:div>
    <w:div w:id="46417996">
      <w:bodyDiv w:val="1"/>
      <w:marLeft w:val="0"/>
      <w:marRight w:val="0"/>
      <w:marTop w:val="0"/>
      <w:marBottom w:val="0"/>
      <w:divBdr>
        <w:top w:val="none" w:sz="0" w:space="0" w:color="auto"/>
        <w:left w:val="none" w:sz="0" w:space="0" w:color="auto"/>
        <w:bottom w:val="none" w:sz="0" w:space="0" w:color="auto"/>
        <w:right w:val="none" w:sz="0" w:space="0" w:color="auto"/>
      </w:divBdr>
    </w:div>
    <w:div w:id="374239523">
      <w:bodyDiv w:val="1"/>
      <w:marLeft w:val="0"/>
      <w:marRight w:val="0"/>
      <w:marTop w:val="0"/>
      <w:marBottom w:val="0"/>
      <w:divBdr>
        <w:top w:val="none" w:sz="0" w:space="0" w:color="auto"/>
        <w:left w:val="none" w:sz="0" w:space="0" w:color="auto"/>
        <w:bottom w:val="none" w:sz="0" w:space="0" w:color="auto"/>
        <w:right w:val="none" w:sz="0" w:space="0" w:color="auto"/>
      </w:divBdr>
    </w:div>
    <w:div w:id="496727098">
      <w:bodyDiv w:val="1"/>
      <w:marLeft w:val="0"/>
      <w:marRight w:val="0"/>
      <w:marTop w:val="0"/>
      <w:marBottom w:val="0"/>
      <w:divBdr>
        <w:top w:val="none" w:sz="0" w:space="0" w:color="auto"/>
        <w:left w:val="none" w:sz="0" w:space="0" w:color="auto"/>
        <w:bottom w:val="none" w:sz="0" w:space="0" w:color="auto"/>
        <w:right w:val="none" w:sz="0" w:space="0" w:color="auto"/>
      </w:divBdr>
    </w:div>
    <w:div w:id="548684925">
      <w:bodyDiv w:val="1"/>
      <w:marLeft w:val="0"/>
      <w:marRight w:val="0"/>
      <w:marTop w:val="0"/>
      <w:marBottom w:val="0"/>
      <w:divBdr>
        <w:top w:val="none" w:sz="0" w:space="0" w:color="auto"/>
        <w:left w:val="none" w:sz="0" w:space="0" w:color="auto"/>
        <w:bottom w:val="none" w:sz="0" w:space="0" w:color="auto"/>
        <w:right w:val="none" w:sz="0" w:space="0" w:color="auto"/>
      </w:divBdr>
    </w:div>
    <w:div w:id="743144682">
      <w:bodyDiv w:val="1"/>
      <w:marLeft w:val="0"/>
      <w:marRight w:val="0"/>
      <w:marTop w:val="0"/>
      <w:marBottom w:val="0"/>
      <w:divBdr>
        <w:top w:val="none" w:sz="0" w:space="0" w:color="auto"/>
        <w:left w:val="none" w:sz="0" w:space="0" w:color="auto"/>
        <w:bottom w:val="none" w:sz="0" w:space="0" w:color="auto"/>
        <w:right w:val="none" w:sz="0" w:space="0" w:color="auto"/>
      </w:divBdr>
    </w:div>
    <w:div w:id="752816559">
      <w:bodyDiv w:val="1"/>
      <w:marLeft w:val="0"/>
      <w:marRight w:val="0"/>
      <w:marTop w:val="0"/>
      <w:marBottom w:val="0"/>
      <w:divBdr>
        <w:top w:val="none" w:sz="0" w:space="0" w:color="auto"/>
        <w:left w:val="none" w:sz="0" w:space="0" w:color="auto"/>
        <w:bottom w:val="none" w:sz="0" w:space="0" w:color="auto"/>
        <w:right w:val="none" w:sz="0" w:space="0" w:color="auto"/>
      </w:divBdr>
    </w:div>
    <w:div w:id="757674499">
      <w:bodyDiv w:val="1"/>
      <w:marLeft w:val="0"/>
      <w:marRight w:val="0"/>
      <w:marTop w:val="0"/>
      <w:marBottom w:val="0"/>
      <w:divBdr>
        <w:top w:val="none" w:sz="0" w:space="0" w:color="auto"/>
        <w:left w:val="none" w:sz="0" w:space="0" w:color="auto"/>
        <w:bottom w:val="none" w:sz="0" w:space="0" w:color="auto"/>
        <w:right w:val="none" w:sz="0" w:space="0" w:color="auto"/>
      </w:divBdr>
    </w:div>
    <w:div w:id="1188980850">
      <w:bodyDiv w:val="1"/>
      <w:marLeft w:val="0"/>
      <w:marRight w:val="0"/>
      <w:marTop w:val="0"/>
      <w:marBottom w:val="0"/>
      <w:divBdr>
        <w:top w:val="none" w:sz="0" w:space="0" w:color="auto"/>
        <w:left w:val="none" w:sz="0" w:space="0" w:color="auto"/>
        <w:bottom w:val="none" w:sz="0" w:space="0" w:color="auto"/>
        <w:right w:val="none" w:sz="0" w:space="0" w:color="auto"/>
      </w:divBdr>
    </w:div>
    <w:div w:id="1238318329">
      <w:bodyDiv w:val="1"/>
      <w:marLeft w:val="0"/>
      <w:marRight w:val="0"/>
      <w:marTop w:val="0"/>
      <w:marBottom w:val="0"/>
      <w:divBdr>
        <w:top w:val="none" w:sz="0" w:space="0" w:color="auto"/>
        <w:left w:val="none" w:sz="0" w:space="0" w:color="auto"/>
        <w:bottom w:val="none" w:sz="0" w:space="0" w:color="auto"/>
        <w:right w:val="none" w:sz="0" w:space="0" w:color="auto"/>
      </w:divBdr>
    </w:div>
    <w:div w:id="1796102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chart" Target="charts/chart1.xml"/></Relationships>
</file>

<file path=word/charts/_rels/chart1.xml.rels><?xml version="1.0" encoding="UTF-8" standalone="yes"?>
<Relationships xmlns="http://schemas.openxmlformats.org/package/2006/relationships"><Relationship Id="rId1" Type="http://schemas.openxmlformats.org/officeDocument/2006/relationships/oleObject" Target="&#1050;&#1085;&#1080;&#1075;&#1072;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rAngAx val="0"/>
      <c:perspective val="30"/>
    </c:view3D>
    <c:floor>
      <c:thickness val="0"/>
    </c:floor>
    <c:sideWall>
      <c:thickness val="0"/>
    </c:sideWall>
    <c:backWall>
      <c:thickness val="0"/>
    </c:backWall>
    <c:plotArea>
      <c:layout/>
      <c:pie3DChart>
        <c:varyColors val="1"/>
        <c:ser>
          <c:idx val="0"/>
          <c:order val="0"/>
          <c:explosion val="25"/>
          <c:dLbls>
            <c:showLegendKey val="0"/>
            <c:showVal val="0"/>
            <c:showCatName val="0"/>
            <c:showSerName val="0"/>
            <c:showPercent val="1"/>
            <c:showBubbleSize val="0"/>
            <c:showLeaderLines val="1"/>
          </c:dLbls>
          <c:cat>
            <c:strRef>
              <c:f>Лист2!$D$20:$D$25</c:f>
              <c:strCache>
                <c:ptCount val="6"/>
                <c:pt idx="0">
                  <c:v>Устные консультации работников ЦАФК</c:v>
                </c:pt>
                <c:pt idx="1">
                  <c:v>Форум на официальном сайте Федерального казначейства</c:v>
                </c:pt>
                <c:pt idx="2">
                  <c:v>Аудио-видеоконференции</c:v>
                </c:pt>
                <c:pt idx="3">
                  <c:v>Всероссийские и межрегиональные совещания</c:v>
                </c:pt>
                <c:pt idx="4">
                  <c:v>Разъясняющие письма</c:v>
                </c:pt>
                <c:pt idx="5">
                  <c:v>Другое</c:v>
                </c:pt>
              </c:strCache>
            </c:strRef>
          </c:cat>
          <c:val>
            <c:numRef>
              <c:f>Лист2!$E$20:$E$25</c:f>
              <c:numCache>
                <c:formatCode>General</c:formatCode>
                <c:ptCount val="6"/>
                <c:pt idx="0">
                  <c:v>10</c:v>
                </c:pt>
                <c:pt idx="1">
                  <c:v>14</c:v>
                </c:pt>
                <c:pt idx="2">
                  <c:v>31</c:v>
                </c:pt>
                <c:pt idx="3">
                  <c:v>71</c:v>
                </c:pt>
                <c:pt idx="4">
                  <c:v>58</c:v>
                </c:pt>
              </c:numCache>
            </c:numRef>
          </c:val>
        </c:ser>
        <c:dLbls>
          <c:showLegendKey val="0"/>
          <c:showVal val="0"/>
          <c:showCatName val="0"/>
          <c:showSerName val="0"/>
          <c:showPercent val="1"/>
          <c:showBubbleSize val="0"/>
          <c:showLeaderLines val="1"/>
        </c:dLbls>
      </c:pie3DChart>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20283-28D4-45F4-9626-D20D824BC0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529</Words>
  <Characters>3021</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3543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Узбеков Камиль Булатович</dc:creator>
  <cp:lastModifiedBy>Захаров Дмитрий Владимирович</cp:lastModifiedBy>
  <cp:revision>2</cp:revision>
  <cp:lastPrinted>2015-07-28T09:45:00Z</cp:lastPrinted>
  <dcterms:created xsi:type="dcterms:W3CDTF">2015-07-28T09:51:00Z</dcterms:created>
  <dcterms:modified xsi:type="dcterms:W3CDTF">2015-07-28T09:51:00Z</dcterms:modified>
</cp:coreProperties>
</file>