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6EE" w:rsidRDefault="00BF35AE" w:rsidP="007776EE">
      <w:pPr>
        <w:spacing w:after="0" w:line="240" w:lineRule="auto"/>
        <w:jc w:val="center"/>
        <w:rPr>
          <w:b/>
          <w:sz w:val="28"/>
          <w:szCs w:val="28"/>
        </w:rPr>
      </w:pPr>
      <w:r w:rsidRPr="007776EE">
        <w:rPr>
          <w:rFonts w:ascii="Times New Roman" w:hAnsi="Times New Roman" w:cs="Times New Roman"/>
          <w:b/>
          <w:sz w:val="28"/>
          <w:szCs w:val="28"/>
        </w:rPr>
        <w:t>ПОДСИСТЕМА УПРАВЛЕНИЯ ЗАКУПКАМИ</w:t>
      </w:r>
      <w:r w:rsidR="007776EE" w:rsidRPr="007776EE">
        <w:rPr>
          <w:b/>
          <w:sz w:val="28"/>
          <w:szCs w:val="28"/>
        </w:rPr>
        <w:t xml:space="preserve"> </w:t>
      </w:r>
    </w:p>
    <w:p w:rsidR="00BF35AE" w:rsidRPr="007776EE" w:rsidRDefault="007776EE" w:rsidP="00777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6EE">
        <w:rPr>
          <w:rFonts w:ascii="Times New Roman" w:hAnsi="Times New Roman" w:cs="Times New Roman"/>
          <w:b/>
          <w:sz w:val="28"/>
          <w:szCs w:val="28"/>
        </w:rPr>
        <w:t xml:space="preserve">ГОСУДАРСТВЕННОЙ ИНТЕГРИРОВАННОЙ ИНФОРМАЦИОННОЙ СИСТЕМЫ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776EE">
        <w:rPr>
          <w:rFonts w:ascii="Times New Roman" w:hAnsi="Times New Roman" w:cs="Times New Roman"/>
          <w:b/>
          <w:sz w:val="28"/>
          <w:szCs w:val="28"/>
        </w:rPr>
        <w:t>УПРАВЛЕНИЯ ОБЩЕСТВЕННЫМИ ФИНАНСАМИ «ЭЛЕКТРОННЫЙ БЮДЖЕТ»</w:t>
      </w:r>
    </w:p>
    <w:p w:rsidR="007776EE" w:rsidRDefault="007776EE" w:rsidP="00777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5AE" w:rsidRPr="007776EE" w:rsidRDefault="007776EE" w:rsidP="00777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6EE">
        <w:rPr>
          <w:rFonts w:ascii="Times New Roman" w:hAnsi="Times New Roman" w:cs="Times New Roman"/>
          <w:b/>
          <w:sz w:val="28"/>
          <w:szCs w:val="28"/>
        </w:rPr>
        <w:t>МОДУЛЬ ФОРМИРОВАНИЯ И ВЕДЕНИЯ ДОКУМЕНТАЦИИ ПО ПЛАНИРОВАНИЮ ЗАКУПОК</w:t>
      </w:r>
    </w:p>
    <w:p w:rsidR="007776EE" w:rsidRPr="007776EE" w:rsidRDefault="007776EE" w:rsidP="00777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5AE" w:rsidRPr="007776EE" w:rsidRDefault="00BF35AE" w:rsidP="00777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6EE">
        <w:rPr>
          <w:rFonts w:ascii="Times New Roman" w:hAnsi="Times New Roman" w:cs="Times New Roman"/>
          <w:b/>
          <w:sz w:val="28"/>
          <w:szCs w:val="28"/>
        </w:rPr>
        <w:t>ЧАСТО ЗАДАВАЕМЫЕ ВОПРОСЫ</w:t>
      </w:r>
    </w:p>
    <w:p w:rsidR="007776EE" w:rsidRPr="007776EE" w:rsidRDefault="007776EE" w:rsidP="007776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6833"/>
        <w:gridCol w:w="7796"/>
      </w:tblGrid>
      <w:tr w:rsidR="00103192" w:rsidRPr="009A5C42" w:rsidTr="00B66B15">
        <w:tc>
          <w:tcPr>
            <w:tcW w:w="680" w:type="dxa"/>
          </w:tcPr>
          <w:p w:rsidR="00103192" w:rsidRPr="009A5C42" w:rsidRDefault="00103192" w:rsidP="00546E79">
            <w:pPr>
              <w:widowControl w:val="0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A5C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A5C4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33" w:type="dxa"/>
          </w:tcPr>
          <w:p w:rsidR="00103192" w:rsidRPr="009A5C42" w:rsidRDefault="00103192" w:rsidP="00E27254">
            <w:pPr>
              <w:widowControl w:val="0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42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7796" w:type="dxa"/>
          </w:tcPr>
          <w:p w:rsidR="00103192" w:rsidRPr="009A5C42" w:rsidRDefault="00BF35AE" w:rsidP="00133783">
            <w:pPr>
              <w:widowControl w:val="0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C42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2C65EC" w:rsidRPr="009A5C42" w:rsidTr="000654D0">
        <w:tc>
          <w:tcPr>
            <w:tcW w:w="15309" w:type="dxa"/>
            <w:gridSpan w:val="3"/>
          </w:tcPr>
          <w:p w:rsidR="002C65EC" w:rsidRPr="009A5C42" w:rsidRDefault="002C65EC" w:rsidP="002C65EC">
            <w:pPr>
              <w:widowControl w:val="0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b/>
                <w:sz w:val="20"/>
                <w:szCs w:val="20"/>
              </w:rPr>
              <w:t>Укрупненные закупки</w:t>
            </w:r>
          </w:p>
        </w:tc>
      </w:tr>
      <w:tr w:rsidR="002C65EC" w:rsidRPr="009A5C42" w:rsidTr="000654D0">
        <w:tc>
          <w:tcPr>
            <w:tcW w:w="680" w:type="dxa"/>
          </w:tcPr>
          <w:p w:rsidR="002C65EC" w:rsidRPr="009A5C42" w:rsidRDefault="002C65EC" w:rsidP="000654D0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2C65EC" w:rsidRPr="009A5C42" w:rsidRDefault="002C65EC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Сформированы предложения по закупкам в соответствии с 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выделенными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ГРБС ОБАС и направлены на согласование. В настоящий момент предложения по закупкам находятся в статусе «Согласовано».</w:t>
            </w:r>
          </w:p>
          <w:p w:rsidR="002C65EC" w:rsidRPr="009A5C42" w:rsidRDefault="002C65EC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ГРБС прислал руководящие указания о внесении изменений в КУЗ по 242 ВР, не откатывая предложения по закупкам для редактирования, оставив измененные КУЗ в статусе «Черновик».</w:t>
            </w:r>
          </w:p>
          <w:p w:rsidR="002C65EC" w:rsidRPr="009A5C42" w:rsidRDefault="002C65EC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Есть ли техническая возможность внести изменения 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согласованные ГРБС КУЗ?</w:t>
            </w:r>
          </w:p>
        </w:tc>
        <w:tc>
          <w:tcPr>
            <w:tcW w:w="7796" w:type="dxa"/>
          </w:tcPr>
          <w:p w:rsidR="002C65EC" w:rsidRPr="009A5C42" w:rsidRDefault="002C65EC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В подсистеме управления закупками (далее – ПУЗ) 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реализована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версионность документов.</w:t>
            </w:r>
          </w:p>
          <w:p w:rsidR="002C65EC" w:rsidRPr="009A5C42" w:rsidRDefault="002C65EC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Для всех формуляров (карточки укрупненных закупок, предложение по закупкам, позиция плана закупок, план закупок, позиция плана графика, план график) находящихся в статусе "Утверждено" существует кнопка "Внести изменения в утвержденную версию". При нажатии на кнопку создается новая версия документа в статусе "Черновик", по правилу "номер последней утвержденной версии +1", при этом утвержденная версия, в которую вносятся изменения, становится недействительной. Новая версия документа отображается в соответствующей фильтр - папке "Черновики…".</w:t>
            </w:r>
          </w:p>
          <w:p w:rsidR="002C65EC" w:rsidRPr="009A5C42" w:rsidRDefault="002C65EC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5EC" w:rsidRPr="009A5C42" w:rsidTr="000654D0">
        <w:tc>
          <w:tcPr>
            <w:tcW w:w="15309" w:type="dxa"/>
            <w:gridSpan w:val="3"/>
          </w:tcPr>
          <w:p w:rsidR="002C65EC" w:rsidRPr="009A5C42" w:rsidRDefault="002C65EC" w:rsidP="000654D0">
            <w:pPr>
              <w:widowControl w:val="0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b/>
                <w:sz w:val="20"/>
                <w:szCs w:val="20"/>
              </w:rPr>
              <w:t>Планы закупок, планы-графики закупок</w:t>
            </w:r>
          </w:p>
        </w:tc>
      </w:tr>
      <w:tr w:rsidR="005276D9" w:rsidRPr="009A5C42" w:rsidTr="00B66B15">
        <w:tc>
          <w:tcPr>
            <w:tcW w:w="680" w:type="dxa"/>
          </w:tcPr>
          <w:p w:rsidR="005276D9" w:rsidRPr="009A5C42" w:rsidRDefault="005276D9" w:rsidP="00B66B15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5276D9" w:rsidRPr="009A5C42" w:rsidRDefault="005276D9" w:rsidP="00E27254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Просьба разъяснить порядок работы 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ПУЗ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ЭБ в части формирования плана закупок на 2017 год и плановый период 2018 и 2019 годы.</w:t>
            </w:r>
          </w:p>
        </w:tc>
        <w:tc>
          <w:tcPr>
            <w:tcW w:w="7796" w:type="dxa"/>
          </w:tcPr>
          <w:p w:rsidR="00796A60" w:rsidRPr="009A5C42" w:rsidRDefault="005276D9" w:rsidP="005276D9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«Руководство пользователя - Планирование закупок»</w:t>
            </w:r>
            <w:r w:rsidR="00796A60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, слайды, обучающие ролики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размещен</w:t>
            </w:r>
            <w:r w:rsidR="00796A60" w:rsidRPr="009A5C4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на официальном сайте Федерального казначейства в разделе </w:t>
            </w:r>
            <w:r w:rsidR="00796A60" w:rsidRPr="009A5C4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«ГИС / Электронный бюджет / Управление закупками»</w:t>
            </w:r>
          </w:p>
          <w:p w:rsidR="005276D9" w:rsidRPr="009A5C42" w:rsidRDefault="005276D9" w:rsidP="005276D9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Pr="009A5C42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http://www.roskazna.ru/gis/ehlektronnyj-byudzhet/upravlenie-zakupkami/</w:t>
              </w:r>
            </w:hyperlink>
          </w:p>
          <w:p w:rsidR="005276D9" w:rsidRPr="009A5C42" w:rsidRDefault="005276D9" w:rsidP="00A12011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4B" w:rsidRPr="009A5C42" w:rsidTr="00B66B15">
        <w:tc>
          <w:tcPr>
            <w:tcW w:w="680" w:type="dxa"/>
          </w:tcPr>
          <w:p w:rsidR="00720A4B" w:rsidRPr="009A5C42" w:rsidRDefault="00720A4B" w:rsidP="00B66B15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720A4B" w:rsidRPr="009A5C42" w:rsidRDefault="00720A4B" w:rsidP="00E27254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При формировании плана закупок на 2017 год и плановый период 2018-2019 годов, как правильно заполнять «текущий финансовый год» и «плановый период»?</w:t>
            </w:r>
          </w:p>
        </w:tc>
        <w:tc>
          <w:tcPr>
            <w:tcW w:w="7796" w:type="dxa"/>
          </w:tcPr>
          <w:p w:rsidR="00720A4B" w:rsidRPr="009A5C42" w:rsidRDefault="00720A4B" w:rsidP="00720A4B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При формировании плана закупок на 2017 год и плановый период 2018-2019 годов, в поле «текущий финансовый год»  - необходимо указать 2017 год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а в «плановом периоде» - 2018-2019</w:t>
            </w:r>
          </w:p>
        </w:tc>
      </w:tr>
      <w:tr w:rsidR="00720A4B" w:rsidRPr="009A5C42" w:rsidTr="00B66B15">
        <w:tc>
          <w:tcPr>
            <w:tcW w:w="680" w:type="dxa"/>
          </w:tcPr>
          <w:p w:rsidR="00720A4B" w:rsidRPr="009A5C42" w:rsidRDefault="00720A4B" w:rsidP="00B66B15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720A4B" w:rsidRPr="009A5C42" w:rsidRDefault="00720A4B" w:rsidP="00720A4B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Должен ли План-график закупок точно совпадать по суммам с планом закупок в разрезе ИКЗ или по итоговым суммам?</w:t>
            </w:r>
          </w:p>
        </w:tc>
        <w:tc>
          <w:tcPr>
            <w:tcW w:w="7796" w:type="dxa"/>
          </w:tcPr>
          <w:p w:rsidR="00720A4B" w:rsidRPr="009A5C42" w:rsidRDefault="00720A4B" w:rsidP="00720A4B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плана-графика закупок осуществляется на </w:t>
            </w:r>
            <w:proofErr w:type="spell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непревышение</w:t>
            </w:r>
            <w:proofErr w:type="spell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плана закупок. Поэтому в плане-графике закупок суммы могут быть меньше, чем в плане закупок как в разрезе ИКЗ, так и по итоговым суммам</w:t>
            </w:r>
            <w:r w:rsidR="000654D0" w:rsidRPr="009A5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D6330" w:rsidRPr="009A5C42" w:rsidTr="002C65EC">
        <w:trPr>
          <w:cantSplit/>
        </w:trPr>
        <w:tc>
          <w:tcPr>
            <w:tcW w:w="680" w:type="dxa"/>
          </w:tcPr>
          <w:p w:rsidR="00ED6330" w:rsidRPr="009A5C42" w:rsidRDefault="00ED6330" w:rsidP="002C65EC">
            <w:pPr>
              <w:pStyle w:val="a8"/>
              <w:keepLines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ED6330" w:rsidRPr="009A5C42" w:rsidRDefault="00ED6330" w:rsidP="002C65EC">
            <w:pPr>
              <w:keepLines/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Должны ли совпадать ИКЗ в позициях Плана закупок и в созданных на их основе позициях Плана-графика закупок </w:t>
            </w:r>
          </w:p>
        </w:tc>
        <w:tc>
          <w:tcPr>
            <w:tcW w:w="7796" w:type="dxa"/>
          </w:tcPr>
          <w:p w:rsidR="00ED6330" w:rsidRPr="009A5C42" w:rsidRDefault="00ED6330" w:rsidP="00ED6330">
            <w:pPr>
              <w:pStyle w:val="a8"/>
              <w:keepLines/>
              <w:widowControl w:val="0"/>
              <w:tabs>
                <w:tab w:val="left" w:pos="7655"/>
              </w:tabs>
              <w:spacing w:beforeLines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В 27-29 разрядах плана закупок должны стоять «000», в созданных на его основе позициях плана-графика закупок в этих разрядах могут стоять только значения в диапазоне от «001» до «999». Значения остальных разрядов ИКЗ должны совпадать.</w:t>
            </w:r>
          </w:p>
        </w:tc>
      </w:tr>
      <w:tr w:rsidR="002C65EC" w:rsidRPr="009A5C42" w:rsidTr="002C65EC">
        <w:trPr>
          <w:cantSplit/>
        </w:trPr>
        <w:tc>
          <w:tcPr>
            <w:tcW w:w="680" w:type="dxa"/>
          </w:tcPr>
          <w:p w:rsidR="002C65EC" w:rsidRPr="009A5C42" w:rsidRDefault="002C65EC" w:rsidP="002C65EC">
            <w:pPr>
              <w:pStyle w:val="a8"/>
              <w:keepLines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2C65EC" w:rsidRPr="009A5C42" w:rsidRDefault="002C65EC" w:rsidP="002C65EC">
            <w:pPr>
              <w:keepLines/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 вкладке "Основные сведения" появилась возможность поставить признак "Закупка содержит несколько ОКПД 2". Но указать можно только один ОКПД. Каким образом применять эту 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функцию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по 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каким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критериям выбирать ОКПД 2 из нескольких?</w:t>
            </w:r>
          </w:p>
          <w:p w:rsidR="002C65EC" w:rsidRPr="009A5C42" w:rsidRDefault="002C65EC" w:rsidP="002C65EC">
            <w:pPr>
              <w:keepLines/>
              <w:widowControl w:val="0"/>
              <w:tabs>
                <w:tab w:val="left" w:pos="284"/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5EC" w:rsidRPr="009A5C42" w:rsidRDefault="002C65EC" w:rsidP="002C65EC">
            <w:pPr>
              <w:keepLines/>
              <w:widowControl w:val="0"/>
              <w:tabs>
                <w:tab w:val="left" w:pos="284"/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  <w:p w:rsidR="002C65EC" w:rsidRPr="009A5C42" w:rsidRDefault="002C65EC" w:rsidP="002C65EC">
            <w:pPr>
              <w:keepLines/>
              <w:widowControl w:val="0"/>
              <w:tabs>
                <w:tab w:val="left" w:pos="284"/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5EC" w:rsidRPr="009A5C42" w:rsidRDefault="002C65EC" w:rsidP="002C65EC">
            <w:pPr>
              <w:keepLines/>
              <w:widowControl w:val="0"/>
              <w:tabs>
                <w:tab w:val="left" w:pos="284"/>
                <w:tab w:val="left" w:pos="76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Идентификационный код закупки представляют собой 36-значный цифровой код, в котором 30 - 33 разряды – содержит информацию о коде объекта закупки по каталогу товаров, работ, услуг для обеспечения государственных и муниципальных нужд, формируемому на основе общероссийского классификатора продукции по видам экономической деятельности, с детализацией до группы товаров (работ, услуг). </w:t>
            </w:r>
          </w:p>
          <w:p w:rsidR="002C65EC" w:rsidRPr="009A5C42" w:rsidRDefault="002C65EC" w:rsidP="002C65EC">
            <w:pPr>
              <w:keepLines/>
              <w:widowControl w:val="0"/>
              <w:tabs>
                <w:tab w:val="left" w:pos="284"/>
                <w:tab w:val="left" w:pos="76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Например, ППЗ «Услуги по водоснабжению и водоотведению»</w:t>
            </w:r>
          </w:p>
          <w:p w:rsidR="002C65EC" w:rsidRPr="009A5C42" w:rsidRDefault="002C65EC" w:rsidP="002C65EC">
            <w:pPr>
              <w:pStyle w:val="1"/>
              <w:keepLines/>
              <w:widowControl w:val="0"/>
              <w:tabs>
                <w:tab w:val="left" w:pos="7655"/>
              </w:tabs>
              <w:spacing w:before="0" w:beforeAutospacing="0" w:after="0" w:afterAutospacing="0"/>
              <w:jc w:val="both"/>
              <w:outlineLvl w:val="0"/>
              <w:rPr>
                <w:b w:val="0"/>
                <w:sz w:val="20"/>
                <w:szCs w:val="20"/>
              </w:rPr>
            </w:pPr>
            <w:r w:rsidRPr="009A5C42">
              <w:rPr>
                <w:b w:val="0"/>
                <w:sz w:val="20"/>
                <w:szCs w:val="20"/>
              </w:rPr>
              <w:t>водоснабжение 36.00.11 (100000.00)</w:t>
            </w:r>
          </w:p>
          <w:p w:rsidR="002C65EC" w:rsidRPr="009A5C42" w:rsidRDefault="002C65EC" w:rsidP="002C65EC">
            <w:pPr>
              <w:keepLines/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водоотведение 37.00.11 (120000,00)</w:t>
            </w:r>
          </w:p>
          <w:p w:rsidR="002C65EC" w:rsidRPr="009A5C42" w:rsidRDefault="002C65EC" w:rsidP="002C65EC">
            <w:pPr>
              <w:keepLines/>
              <w:widowControl w:val="0"/>
              <w:tabs>
                <w:tab w:val="left" w:pos="76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данной закупке будет присвоен ИКЗ  </w:t>
            </w:r>
          </w:p>
          <w:p w:rsidR="002C65EC" w:rsidRPr="009A5C42" w:rsidRDefault="002C65EC" w:rsidP="002C65EC">
            <w:pPr>
              <w:keepLines/>
              <w:widowControl w:val="0"/>
              <w:tabs>
                <w:tab w:val="left" w:pos="76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(год закупки) + (ИКУ) + (номер закупки) + ("000") + 3700+ (код вида расходов)</w:t>
            </w:r>
          </w:p>
          <w:p w:rsidR="002C65EC" w:rsidRPr="009A5C42" w:rsidRDefault="002C65EC" w:rsidP="002C65EC">
            <w:pPr>
              <w:keepLines/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Вопрос: будет ли возможность сформировать на основе данной ППЗ 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следующие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ППГ: </w:t>
            </w:r>
          </w:p>
          <w:p w:rsidR="002C65EC" w:rsidRPr="009A5C42" w:rsidRDefault="002C65EC" w:rsidP="002C65EC">
            <w:pPr>
              <w:keepLines/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а) ППГ «услуги по водоснабжению» - 20000,00</w:t>
            </w:r>
          </w:p>
          <w:p w:rsidR="002C65EC" w:rsidRPr="009A5C42" w:rsidRDefault="002C65EC" w:rsidP="002C65EC">
            <w:pPr>
              <w:keepLines/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б) ППГ «услуги по водоснабжению и водоотведению» (водоснабжение 15000,00, водоотведение -10000,00)</w:t>
            </w:r>
          </w:p>
          <w:p w:rsidR="002C65EC" w:rsidRPr="009A5C42" w:rsidRDefault="002C65EC" w:rsidP="002C65EC">
            <w:pPr>
              <w:keepLines/>
              <w:widowControl w:val="0"/>
              <w:tabs>
                <w:tab w:val="left" w:pos="284"/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2C65EC" w:rsidRPr="009A5C42" w:rsidRDefault="002C65EC" w:rsidP="002C65EC">
            <w:pPr>
              <w:pStyle w:val="a8"/>
              <w:keepLines/>
              <w:widowControl w:val="0"/>
              <w:tabs>
                <w:tab w:val="left" w:pos="7655"/>
              </w:tabs>
              <w:spacing w:beforeLines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При необходимости осуществления закупки по нескольким ОКПД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 на вкладке «Основные сведения» позиции плана-закупок установить признак «Закупка содержит несколько ОКПД2». В этом случае поле «ОКПД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для ИКЗ» автоматически заполняется значением «00.00», так же этот признак устанавливается в случае создания позиции плана закупок с типом закупки «Товары, работы услуги, не превышающие 100 тыс. руб. (п.4 ч.1 ст. 93 Федерального закона 44-ФЗ)».</w:t>
            </w:r>
          </w:p>
          <w:p w:rsidR="002C65EC" w:rsidRPr="009A5C42" w:rsidRDefault="002C65EC" w:rsidP="002C65EC">
            <w:pPr>
              <w:pStyle w:val="a8"/>
              <w:keepLines/>
              <w:widowControl w:val="0"/>
              <w:tabs>
                <w:tab w:val="left" w:pos="7655"/>
              </w:tabs>
              <w:spacing w:beforeLines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Детализация объекта закупки по ОКПД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, в том числе, указание нескольких кодов ОКПД2, доступна на этапе формирования позиции плана-графика.</w:t>
            </w:r>
          </w:p>
          <w:p w:rsidR="002C65EC" w:rsidRPr="009A5C42" w:rsidRDefault="002C65EC" w:rsidP="002C65EC">
            <w:pPr>
              <w:keepLines/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B15" w:rsidRPr="009A5C42" w:rsidTr="00B66B15">
        <w:tc>
          <w:tcPr>
            <w:tcW w:w="680" w:type="dxa"/>
          </w:tcPr>
          <w:p w:rsidR="00B66B15" w:rsidRPr="009A5C42" w:rsidRDefault="00B66B15" w:rsidP="00075BFD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075BFD" w:rsidRPr="009A5C42" w:rsidRDefault="00075BFD" w:rsidP="00075BFD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 вкладке "Объем финансового обеспечения" при формировании позиции плана закупок 200, после обновления системы при выборе кода вида расходов (КВР) пропал 242 КВР?</w:t>
            </w:r>
          </w:p>
          <w:p w:rsidR="00075BFD" w:rsidRPr="009A5C42" w:rsidRDefault="00075BFD" w:rsidP="00075BFD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Также появилось окно "КВР для ИКЗ" и "КВР не 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". В каких случаях применять данный функционал?</w:t>
            </w:r>
          </w:p>
          <w:p w:rsidR="00B66B15" w:rsidRPr="009A5C42" w:rsidRDefault="00B66B15" w:rsidP="00BC12FD">
            <w:pPr>
              <w:widowControl w:val="0"/>
              <w:tabs>
                <w:tab w:val="left" w:pos="284"/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75BFD" w:rsidRPr="009A5C42" w:rsidRDefault="00075BFD" w:rsidP="00075BFD">
            <w:pPr>
              <w:pStyle w:val="a8"/>
              <w:widowControl w:val="0"/>
              <w:tabs>
                <w:tab w:val="left" w:pos="7655"/>
              </w:tabs>
              <w:spacing w:beforeLines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Прежде чем заполнять раздел «Объем финансового обеспечения на осуществление закупки» необходимо проставить один из признаков:</w:t>
            </w:r>
          </w:p>
          <w:p w:rsidR="00075BFD" w:rsidRPr="009A5C42" w:rsidRDefault="00075BFD" w:rsidP="00075BFD">
            <w:pPr>
              <w:pStyle w:val="a8"/>
              <w:widowControl w:val="0"/>
              <w:tabs>
                <w:tab w:val="left" w:pos="7655"/>
              </w:tabs>
              <w:spacing w:beforeLines="0" w:line="240" w:lineRule="auto"/>
              <w:ind w:firstLine="0"/>
              <w:rPr>
                <w:rStyle w:val="z-radio"/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A5C42">
              <w:rPr>
                <w:rStyle w:val="z-radio"/>
                <w:rFonts w:ascii="Times New Roman" w:hAnsi="Times New Roman" w:cs="Times New Roman"/>
                <w:sz w:val="20"/>
                <w:szCs w:val="20"/>
              </w:rPr>
              <w:t>закупки федерального государственного заказчика (за исключением зарубежного аппарата);</w:t>
            </w:r>
          </w:p>
          <w:p w:rsidR="00075BFD" w:rsidRPr="009A5C42" w:rsidRDefault="00075BFD" w:rsidP="00075BFD">
            <w:pPr>
              <w:widowControl w:val="0"/>
              <w:tabs>
                <w:tab w:val="left" w:pos="7655"/>
              </w:tabs>
              <w:rPr>
                <w:rStyle w:val="z-radio"/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Style w:val="z-radio"/>
                <w:rFonts w:ascii="Times New Roman" w:hAnsi="Times New Roman" w:cs="Times New Roman"/>
                <w:sz w:val="20"/>
                <w:szCs w:val="20"/>
              </w:rPr>
              <w:t>- закупки зарубежного аппарата федерального государственного заказчика;</w:t>
            </w:r>
          </w:p>
          <w:p w:rsidR="00075BFD" w:rsidRPr="009A5C42" w:rsidRDefault="00075BFD" w:rsidP="00075BFD">
            <w:pPr>
              <w:widowControl w:val="0"/>
              <w:tabs>
                <w:tab w:val="left" w:pos="7655"/>
              </w:tabs>
              <w:rPr>
                <w:rStyle w:val="z-radio"/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Style w:val="z-radio"/>
                <w:rFonts w:ascii="Times New Roman" w:hAnsi="Times New Roman" w:cs="Times New Roman"/>
                <w:sz w:val="20"/>
                <w:szCs w:val="20"/>
              </w:rPr>
              <w:t>- закупки в сфере информационно-коммуникационных технологий.</w:t>
            </w:r>
          </w:p>
          <w:p w:rsidR="00075BFD" w:rsidRPr="009A5C42" w:rsidRDefault="00075BFD" w:rsidP="00075BFD">
            <w:pPr>
              <w:pStyle w:val="a8"/>
              <w:widowControl w:val="0"/>
              <w:tabs>
                <w:tab w:val="left" w:pos="7655"/>
              </w:tabs>
              <w:spacing w:beforeLines="0" w:line="240" w:lineRule="auto"/>
              <w:ind w:firstLine="0"/>
              <w:rPr>
                <w:rStyle w:val="z-radio"/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Style w:val="z-radio"/>
                <w:rFonts w:ascii="Times New Roman" w:hAnsi="Times New Roman" w:cs="Times New Roman"/>
                <w:sz w:val="20"/>
                <w:szCs w:val="20"/>
              </w:rPr>
              <w:t>Для каждого из признаков будет свой набор полей.</w:t>
            </w:r>
          </w:p>
          <w:p w:rsidR="00A71A03" w:rsidRPr="009A5C42" w:rsidRDefault="00075BFD" w:rsidP="00075BFD">
            <w:pPr>
              <w:pStyle w:val="a8"/>
              <w:widowControl w:val="0"/>
              <w:tabs>
                <w:tab w:val="left" w:pos="7655"/>
              </w:tabs>
              <w:spacing w:beforeLines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Поле «КВР для ИКЗ» заполняется в случае, если закупка </w:t>
            </w:r>
            <w:r w:rsidR="00A71A03" w:rsidRPr="009A5C42">
              <w:rPr>
                <w:rFonts w:ascii="Times New Roman" w:hAnsi="Times New Roman" w:cs="Times New Roman"/>
                <w:sz w:val="20"/>
                <w:szCs w:val="20"/>
              </w:rPr>
              <w:t>осуществляется по одному КБК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75BFD" w:rsidRPr="009A5C42" w:rsidRDefault="00A71A03" w:rsidP="00075BFD">
            <w:pPr>
              <w:pStyle w:val="a8"/>
              <w:widowControl w:val="0"/>
              <w:tabs>
                <w:tab w:val="left" w:pos="7655"/>
              </w:tabs>
              <w:spacing w:beforeLines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Поле «КВР не 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определен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» заполняется в случае, если закупка осуществляется по нескольким КБК. </w:t>
            </w:r>
            <w:r w:rsidR="00075BFD" w:rsidRPr="009A5C42">
              <w:rPr>
                <w:rFonts w:ascii="Times New Roman" w:hAnsi="Times New Roman" w:cs="Times New Roman"/>
                <w:sz w:val="20"/>
                <w:szCs w:val="20"/>
              </w:rPr>
              <w:t>В этом случае поле «КВР для ИКЗ» заполняется значением «000».</w:t>
            </w:r>
          </w:p>
          <w:p w:rsidR="00B66B15" w:rsidRPr="009A5C42" w:rsidRDefault="00B66B15" w:rsidP="00546E79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B15" w:rsidRPr="009A5C42" w:rsidTr="00B66B15">
        <w:tc>
          <w:tcPr>
            <w:tcW w:w="680" w:type="dxa"/>
          </w:tcPr>
          <w:p w:rsidR="00B66B15" w:rsidRPr="009A5C42" w:rsidRDefault="00B66B15" w:rsidP="00075BFD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B66B15" w:rsidRPr="009A5C42" w:rsidRDefault="00075BFD" w:rsidP="00BF35AE">
            <w:pPr>
              <w:widowControl w:val="0"/>
              <w:tabs>
                <w:tab w:val="left" w:pos="284"/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 вкладке "Обоснование закупок" в окне "Нормативно-правовые (правовые) акты, устанавливающие требования к отдельным видам товаров, работ, и услуг (в том числе предельные цены товаров, работ и услуг) и (или) к определению нормативных затрат (ст.19 Федерального закона № 44-ФЗ)", </w:t>
            </w:r>
            <w:r w:rsidRPr="009A5C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при выборе из меню нормативного акта не нашли документ по которому проводится нормирование в Пенсионном фонде России, а именно "</w:t>
            </w:r>
            <w:r w:rsidRPr="009A5C4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Распоряжение правления Пенсионного</w:t>
            </w:r>
            <w:proofErr w:type="gramEnd"/>
            <w:r w:rsidRPr="009A5C4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фонда России от 27 мая 2016 г. № 256 </w:t>
            </w:r>
            <w:proofErr w:type="gramStart"/>
            <w:r w:rsidRPr="009A5C4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9A5C4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"Об утверждении нормативных затрат на обеспечение функций фонда, его территориальных органов и информационного центра персонифицированного учета (ИЦПУ)"</w:t>
            </w:r>
          </w:p>
        </w:tc>
        <w:tc>
          <w:tcPr>
            <w:tcW w:w="7796" w:type="dxa"/>
          </w:tcPr>
          <w:p w:rsidR="00B66B15" w:rsidRPr="009A5C42" w:rsidRDefault="00075BFD" w:rsidP="00BF35AE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внебюджетных фондов на данный момент времени справочник «</w:t>
            </w:r>
            <w:r w:rsidRPr="009A5C42">
              <w:rPr>
                <w:rStyle w:val="z-label"/>
                <w:rFonts w:ascii="Times New Roman" w:hAnsi="Times New Roman" w:cs="Times New Roman"/>
                <w:sz w:val="20"/>
                <w:szCs w:val="20"/>
              </w:rPr>
              <w:t xml:space="preserve">Нормативно-правовые (правовые) акты, устанавливающие требования к отдельным видам товаров, работ и услуг (в том числе предельные цены товаров, работ и услуг) и (или) к определению нормативных затрат (ст. 19 Федерального закона № 44-ФЗ)» не заполнен, </w:t>
            </w:r>
            <w:r w:rsidR="00BF35AE" w:rsidRPr="009A5C42">
              <w:rPr>
                <w:rStyle w:val="z-label"/>
                <w:rFonts w:ascii="Times New Roman" w:hAnsi="Times New Roman" w:cs="Times New Roman"/>
                <w:sz w:val="20"/>
                <w:szCs w:val="20"/>
              </w:rPr>
              <w:lastRenderedPageBreak/>
              <w:t>необходимо</w:t>
            </w:r>
            <w:r w:rsidRPr="009A5C42">
              <w:rPr>
                <w:rStyle w:val="z-label"/>
                <w:rFonts w:ascii="Times New Roman" w:hAnsi="Times New Roman" w:cs="Times New Roman"/>
                <w:sz w:val="20"/>
                <w:szCs w:val="20"/>
              </w:rPr>
              <w:t xml:space="preserve"> заполнить поля, доступные для заполнения вручную. </w:t>
            </w:r>
          </w:p>
        </w:tc>
      </w:tr>
      <w:tr w:rsidR="00B66B15" w:rsidRPr="009A5C42" w:rsidTr="00B66B15">
        <w:tc>
          <w:tcPr>
            <w:tcW w:w="680" w:type="dxa"/>
          </w:tcPr>
          <w:p w:rsidR="00B66B15" w:rsidRPr="009A5C42" w:rsidRDefault="00B66B15" w:rsidP="00075BFD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075BFD" w:rsidRPr="009A5C42" w:rsidRDefault="00075BFD" w:rsidP="00075BFD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 использовании функции "Проверка документа" выдается ошибка "Сумма финансового обеспечения по ППЗ превышает остаток ЛБО по КБК остаток ЛБО "0".</w:t>
            </w:r>
          </w:p>
          <w:p w:rsidR="00D41A1C" w:rsidRPr="009A5C42" w:rsidRDefault="00D41A1C" w:rsidP="00D41A1C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***</w:t>
            </w:r>
          </w:p>
          <w:p w:rsidR="00D41A1C" w:rsidRPr="009A5C42" w:rsidRDefault="00D41A1C" w:rsidP="00D41A1C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Возникает ошибка «сумма финансового обеспечения по ППЗ превышает остаток ЛБО на 2017, 2018, 2019 </w:t>
            </w:r>
            <w:proofErr w:type="spell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.» как ее исправить?</w:t>
            </w:r>
          </w:p>
          <w:p w:rsidR="00D41A1C" w:rsidRPr="009A5C42" w:rsidRDefault="00D41A1C" w:rsidP="00075BFD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66B15" w:rsidRPr="009A5C42" w:rsidRDefault="00B66B15" w:rsidP="00BC12FD">
            <w:pPr>
              <w:widowControl w:val="0"/>
              <w:tabs>
                <w:tab w:val="left" w:pos="284"/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75BFD" w:rsidRPr="009A5C42" w:rsidRDefault="00075BFD" w:rsidP="0086749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В настоящее время в ПУЗ </w:t>
            </w:r>
            <w:r w:rsidR="00867493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информация о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доведен</w:t>
            </w:r>
            <w:r w:rsidR="00867493" w:rsidRPr="009A5C42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лимит</w:t>
            </w:r>
            <w:r w:rsidR="00867493" w:rsidRPr="009A5C42"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бюджетных обязательств до получателей бюджетных средств</w:t>
            </w:r>
            <w:r w:rsidR="00867493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(показателей выплат на закупку товаров, работ, услуг, включенные в планы финансово-хозяйственной деятельности)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, поэтому при проверке документов по планированию срабатывает контроль на </w:t>
            </w:r>
            <w:r w:rsidR="00867493" w:rsidRPr="009A5C42">
              <w:rPr>
                <w:rFonts w:ascii="Times New Roman" w:hAnsi="Times New Roman" w:cs="Times New Roman"/>
                <w:sz w:val="20"/>
                <w:szCs w:val="20"/>
              </w:rPr>
              <w:t>превышение финансового обеспечения закупки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7493" w:rsidRPr="009A5C42">
              <w:rPr>
                <w:rFonts w:ascii="Times New Roman" w:hAnsi="Times New Roman" w:cs="Times New Roman"/>
                <w:sz w:val="20"/>
                <w:szCs w:val="20"/>
              </w:rPr>
              <w:t>При этом к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онтроль не является </w:t>
            </w:r>
            <w:r w:rsidR="00867493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блокирующим -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возможно дальнейшее сохранение и утверждение документов.</w:t>
            </w:r>
          </w:p>
          <w:p w:rsidR="00B66B15" w:rsidRPr="009A5C42" w:rsidRDefault="00B66B15" w:rsidP="00546E79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306" w:rsidRPr="009A5C42" w:rsidTr="00B66B15">
        <w:tc>
          <w:tcPr>
            <w:tcW w:w="680" w:type="dxa"/>
          </w:tcPr>
          <w:p w:rsidR="001E3306" w:rsidRPr="009A5C42" w:rsidRDefault="001E3306" w:rsidP="00075BFD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1E3306" w:rsidRPr="009A5C42" w:rsidRDefault="008B7B2C" w:rsidP="00BC12FD">
            <w:pPr>
              <w:widowControl w:val="0"/>
              <w:tabs>
                <w:tab w:val="left" w:pos="284"/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связи с тем, что в карточках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ППЗ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есть поле «</w:t>
            </w:r>
            <w:r w:rsidR="00BC772B" w:rsidRPr="009A5C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ланируемый год размещения извещения», каким образом правильно формировать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ППЗ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в случае осуществления ежегодной закупки?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сли необходимо формировать отдельно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ППЗ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на каждый год планового периода, можно ли копировать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ППЗ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на 2017 год для создания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ППЗ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на 2018 и 2019 годы. </w:t>
            </w:r>
          </w:p>
          <w:p w:rsidR="001E3306" w:rsidRPr="009A5C42" w:rsidRDefault="00A632CF" w:rsidP="00E27254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i/>
                <w:sz w:val="20"/>
                <w:szCs w:val="20"/>
              </w:rPr>
              <w:t>вариант 1</w:t>
            </w:r>
          </w:p>
          <w:tbl>
            <w:tblPr>
              <w:tblStyle w:val="a3"/>
              <w:tblW w:w="6586" w:type="dxa"/>
              <w:tblLayout w:type="fixed"/>
              <w:tblLook w:val="04A0" w:firstRow="1" w:lastRow="0" w:firstColumn="1" w:lastColumn="0" w:noHBand="0" w:noVBand="1"/>
            </w:tblPr>
            <w:tblGrid>
              <w:gridCol w:w="2192"/>
              <w:gridCol w:w="1418"/>
              <w:gridCol w:w="992"/>
              <w:gridCol w:w="992"/>
              <w:gridCol w:w="992"/>
            </w:tblGrid>
            <w:tr w:rsidR="001E3306" w:rsidRPr="009A5C42" w:rsidTr="008B7B2C">
              <w:trPr>
                <w:trHeight w:val="196"/>
              </w:trPr>
              <w:tc>
                <w:tcPr>
                  <w:tcW w:w="21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06" w:rsidRPr="009A5C42" w:rsidRDefault="001E3306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306" w:rsidRPr="009A5C42" w:rsidRDefault="00A632CF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5C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планируемый год размещения извещения</w:t>
                  </w:r>
                </w:p>
              </w:tc>
              <w:tc>
                <w:tcPr>
                  <w:tcW w:w="29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306" w:rsidRPr="009A5C42" w:rsidRDefault="00A632CF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5C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объем финансового обеспечения</w:t>
                  </w:r>
                </w:p>
              </w:tc>
            </w:tr>
            <w:tr w:rsidR="001E3306" w:rsidRPr="009A5C42" w:rsidTr="008B7B2C">
              <w:trPr>
                <w:trHeight w:val="53"/>
              </w:trPr>
              <w:tc>
                <w:tcPr>
                  <w:tcW w:w="21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E3306" w:rsidRPr="009A5C42" w:rsidRDefault="001E3306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E3306" w:rsidRPr="009A5C42" w:rsidRDefault="001E3306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306" w:rsidRPr="009A5C42" w:rsidRDefault="00A632CF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5C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306" w:rsidRPr="009A5C42" w:rsidRDefault="00A632CF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5C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306" w:rsidRPr="009A5C42" w:rsidRDefault="00A632CF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5C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2019</w:t>
                  </w:r>
                </w:p>
              </w:tc>
            </w:tr>
            <w:tr w:rsidR="001E3306" w:rsidRPr="009A5C42" w:rsidTr="008B7B2C"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06" w:rsidRPr="009A5C42" w:rsidRDefault="001E3306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06" w:rsidRPr="009A5C42" w:rsidRDefault="001E3306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06" w:rsidRPr="009A5C42" w:rsidRDefault="001E3306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06" w:rsidRPr="009A5C42" w:rsidRDefault="001E3306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06" w:rsidRPr="009A5C42" w:rsidRDefault="001E3306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E3306" w:rsidRPr="009A5C42" w:rsidTr="008B7B2C"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306" w:rsidRPr="009A5C42" w:rsidRDefault="00A632CF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5C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поставка канцелярских  товаров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306" w:rsidRPr="009A5C42" w:rsidRDefault="00A632CF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5C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306" w:rsidRPr="009A5C42" w:rsidRDefault="00A632CF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5C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100 000,00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06" w:rsidRPr="009A5C42" w:rsidRDefault="001E3306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06" w:rsidRPr="009A5C42" w:rsidRDefault="001E3306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E3306" w:rsidRPr="009A5C42" w:rsidTr="008B7B2C"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306" w:rsidRPr="009A5C42" w:rsidRDefault="00A632CF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5C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поставка канцелярских  товаров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306" w:rsidRPr="009A5C42" w:rsidRDefault="00A632CF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5C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06" w:rsidRPr="009A5C42" w:rsidRDefault="001E3306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306" w:rsidRPr="009A5C42" w:rsidRDefault="00A632CF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5C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100 000,00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06" w:rsidRPr="009A5C42" w:rsidRDefault="001E3306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E3306" w:rsidRPr="009A5C42" w:rsidTr="008B7B2C"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306" w:rsidRPr="009A5C42" w:rsidRDefault="00A632CF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5C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поставка канцелярских  товаров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306" w:rsidRPr="009A5C42" w:rsidRDefault="00A632CF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5C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06" w:rsidRPr="009A5C42" w:rsidRDefault="001E3306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06" w:rsidRPr="009A5C42" w:rsidRDefault="001E3306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306" w:rsidRPr="009A5C42" w:rsidRDefault="00A632CF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5C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100 000,00</w:t>
                  </w:r>
                </w:p>
              </w:tc>
            </w:tr>
          </w:tbl>
          <w:p w:rsidR="001E3306" w:rsidRPr="009A5C42" w:rsidRDefault="00A632CF" w:rsidP="00E27254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A5C42">
              <w:rPr>
                <w:rFonts w:ascii="Times New Roman" w:hAnsi="Times New Roman" w:cs="Times New Roman"/>
                <w:i/>
                <w:sz w:val="20"/>
                <w:szCs w:val="20"/>
              </w:rPr>
              <w:t>вариант 2</w:t>
            </w:r>
          </w:p>
          <w:tbl>
            <w:tblPr>
              <w:tblStyle w:val="a3"/>
              <w:tblW w:w="6586" w:type="dxa"/>
              <w:tblLayout w:type="fixed"/>
              <w:tblLook w:val="04A0" w:firstRow="1" w:lastRow="0" w:firstColumn="1" w:lastColumn="0" w:noHBand="0" w:noVBand="1"/>
            </w:tblPr>
            <w:tblGrid>
              <w:gridCol w:w="2192"/>
              <w:gridCol w:w="1418"/>
              <w:gridCol w:w="992"/>
              <w:gridCol w:w="992"/>
              <w:gridCol w:w="992"/>
            </w:tblGrid>
            <w:tr w:rsidR="001E3306" w:rsidRPr="009A5C42" w:rsidTr="008B7B2C">
              <w:trPr>
                <w:trHeight w:val="196"/>
              </w:trPr>
              <w:tc>
                <w:tcPr>
                  <w:tcW w:w="21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06" w:rsidRPr="009A5C42" w:rsidRDefault="001E3306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306" w:rsidRPr="009A5C42" w:rsidRDefault="00A632CF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5C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планируемый год размещения извещения</w:t>
                  </w:r>
                </w:p>
              </w:tc>
              <w:tc>
                <w:tcPr>
                  <w:tcW w:w="29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306" w:rsidRPr="009A5C42" w:rsidRDefault="00A632CF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5C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объем финансового обеспечения</w:t>
                  </w:r>
                </w:p>
              </w:tc>
            </w:tr>
            <w:tr w:rsidR="001E3306" w:rsidRPr="009A5C42" w:rsidTr="008B7B2C">
              <w:trPr>
                <w:trHeight w:val="53"/>
              </w:trPr>
              <w:tc>
                <w:tcPr>
                  <w:tcW w:w="21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E3306" w:rsidRPr="009A5C42" w:rsidRDefault="001E3306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E3306" w:rsidRPr="009A5C42" w:rsidRDefault="001E3306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306" w:rsidRPr="009A5C42" w:rsidRDefault="00A632CF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5C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306" w:rsidRPr="009A5C42" w:rsidRDefault="00A632CF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5C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306" w:rsidRPr="009A5C42" w:rsidRDefault="00A632CF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5C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2019</w:t>
                  </w:r>
                </w:p>
              </w:tc>
            </w:tr>
            <w:tr w:rsidR="001E3306" w:rsidRPr="009A5C42" w:rsidTr="008B7B2C"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06" w:rsidRPr="009A5C42" w:rsidRDefault="001E3306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06" w:rsidRPr="009A5C42" w:rsidRDefault="001E3306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06" w:rsidRPr="009A5C42" w:rsidRDefault="001E3306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06" w:rsidRPr="009A5C42" w:rsidRDefault="001E3306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06" w:rsidRPr="009A5C42" w:rsidRDefault="001E3306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E3306" w:rsidRPr="009A5C42" w:rsidTr="008B7B2C"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306" w:rsidRPr="009A5C42" w:rsidRDefault="00A632CF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5C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поставка канцелярских  товаров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306" w:rsidRPr="009A5C42" w:rsidRDefault="00A632CF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5C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306" w:rsidRPr="009A5C42" w:rsidRDefault="00A632CF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5C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100 000,00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306" w:rsidRPr="009A5C42" w:rsidRDefault="00A632CF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5C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100 000,00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306" w:rsidRPr="009A5C42" w:rsidRDefault="00A632CF" w:rsidP="00E27254">
                  <w:pPr>
                    <w:widowControl w:val="0"/>
                    <w:tabs>
                      <w:tab w:val="left" w:pos="765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5C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100 000,00</w:t>
                  </w:r>
                </w:p>
              </w:tc>
            </w:tr>
          </w:tbl>
          <w:p w:rsidR="001824B2" w:rsidRPr="009A5C42" w:rsidRDefault="00555388" w:rsidP="00857263">
            <w:pPr>
              <w:widowControl w:val="0"/>
              <w:tabs>
                <w:tab w:val="left" w:pos="284"/>
                <w:tab w:val="left" w:pos="76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96" w:type="dxa"/>
          </w:tcPr>
          <w:p w:rsidR="001D4AE7" w:rsidRPr="009A5C42" w:rsidRDefault="008B7B2C" w:rsidP="00546E79">
            <w:pPr>
              <w:widowControl w:val="0"/>
              <w:tabs>
                <w:tab w:val="left" w:pos="7655"/>
              </w:tabs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лок «</w:t>
            </w:r>
            <w:r w:rsidR="00E32F9C"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</w:t>
            </w:r>
            <w:r w:rsidR="00A632CF"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б</w:t>
            </w:r>
            <w:r w:rsidR="00A632CF"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ъ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ем ф</w:t>
            </w:r>
            <w:r w:rsidR="00A632CF" w:rsidRPr="009A5C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</w:t>
            </w:r>
            <w:r w:rsidR="00A632CF"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 w:rsidR="00A632CF" w:rsidRPr="009A5C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="00A632CF"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632CF"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="00A632CF" w:rsidRPr="009A5C4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в</w:t>
            </w:r>
            <w:r w:rsidR="00A632CF"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="00A632CF" w:rsidRPr="009A5C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A632CF"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A632CF"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б</w:t>
            </w:r>
            <w:r w:rsidR="00A632CF" w:rsidRPr="009A5C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632CF" w:rsidRPr="009A5C4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п</w:t>
            </w:r>
            <w:r w:rsidR="00A632CF" w:rsidRPr="009A5C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че</w:t>
            </w:r>
            <w:r w:rsidR="00A632CF"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 w:rsidR="00A632CF"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A632CF" w:rsidRPr="009A5C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632CF"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</w:t>
            </w:r>
            <w:r w:rsidR="00A632CF" w:rsidRPr="009A5C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632CF"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ществ</w:t>
            </w:r>
            <w:r w:rsidR="00A632CF" w:rsidRPr="009A5C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A632CF"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 w:rsidR="00A632CF"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</w:t>
            </w:r>
            <w:r w:rsidR="00A632CF"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з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ак</w:t>
            </w:r>
            <w:r w:rsidR="00A632CF" w:rsidRPr="009A5C4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у</w:t>
            </w:r>
            <w:r w:rsidR="00A632CF"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п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A632CF" w:rsidRPr="009A5C4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и» вкладки «</w:t>
            </w:r>
            <w:r w:rsidR="00E32F9C" w:rsidRPr="009A5C4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Х</w:t>
            </w:r>
            <w:r w:rsidR="00A632CF" w:rsidRPr="009A5C4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арактеристика финансового обеспечения» позиции плана закупок заполняется в разрезе планируемого года размещения извещения, соответственно объем финансового обеспечения на осуществление закупки должен проставляться исходя из того, в каком году будет размещено извещение по данной закупке. </w:t>
            </w:r>
          </w:p>
          <w:p w:rsidR="001D4AE7" w:rsidRPr="009A5C42" w:rsidRDefault="001D4AE7" w:rsidP="00546E79">
            <w:pPr>
              <w:widowControl w:val="0"/>
              <w:tabs>
                <w:tab w:val="left" w:pos="7655"/>
              </w:tabs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9A5C4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Закупка</w:t>
            </w:r>
            <w:r w:rsidR="00857263" w:rsidRPr="009A5C4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,</w:t>
            </w:r>
            <w:r w:rsidRPr="009A5C4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осуществляемая ежегодно</w:t>
            </w:r>
            <w:r w:rsidR="00857263" w:rsidRPr="009A5C4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,</w:t>
            </w:r>
            <w:r w:rsidRPr="009A5C4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должна отражаться</w:t>
            </w:r>
            <w:r w:rsidR="00857263" w:rsidRPr="009A5C4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в плане закупок</w:t>
            </w:r>
            <w:r w:rsidRPr="009A5C4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разными строками </w:t>
            </w:r>
            <w:r w:rsidR="00857263" w:rsidRPr="009A5C4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по количеству годов размещения извещения – верный вариант 1</w:t>
            </w:r>
            <w:r w:rsidRPr="009A5C4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.</w:t>
            </w:r>
          </w:p>
          <w:p w:rsidR="00BC12FD" w:rsidRPr="009A5C42" w:rsidRDefault="00BC12FD" w:rsidP="00555388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2FD" w:rsidRPr="009A5C42" w:rsidRDefault="00BC12FD" w:rsidP="00555388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2FD" w:rsidRPr="009A5C42" w:rsidRDefault="00BC12FD" w:rsidP="00555388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2FD" w:rsidRPr="009A5C42" w:rsidRDefault="00BC12FD" w:rsidP="00555388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2FD" w:rsidRPr="009A5C42" w:rsidRDefault="00BC12FD" w:rsidP="00555388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2FD" w:rsidRPr="009A5C42" w:rsidRDefault="00BC12FD" w:rsidP="00555388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2FD" w:rsidRPr="009A5C42" w:rsidRDefault="00BC12FD" w:rsidP="00555388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2FD" w:rsidRPr="009A5C42" w:rsidRDefault="00BC12FD" w:rsidP="00555388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2FD" w:rsidRPr="009A5C42" w:rsidRDefault="00BC12FD" w:rsidP="00555388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2FD" w:rsidRPr="009A5C42" w:rsidRDefault="00BC12FD" w:rsidP="00555388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2FD" w:rsidRPr="009A5C42" w:rsidRDefault="00BC12FD" w:rsidP="00555388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2FD" w:rsidRPr="009A5C42" w:rsidRDefault="00BC12FD" w:rsidP="00555388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2FD" w:rsidRPr="009A5C42" w:rsidRDefault="00BC12FD" w:rsidP="00555388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2FD" w:rsidRPr="009A5C42" w:rsidRDefault="00BC12FD" w:rsidP="00555388">
            <w:pPr>
              <w:widowControl w:val="0"/>
              <w:tabs>
                <w:tab w:val="left" w:pos="7655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2FD" w:rsidRPr="009A5C42" w:rsidRDefault="00BC12FD" w:rsidP="00555388">
            <w:pPr>
              <w:widowControl w:val="0"/>
              <w:tabs>
                <w:tab w:val="left" w:pos="7655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306" w:rsidRPr="009A5C42" w:rsidRDefault="001E3306" w:rsidP="00857263">
            <w:pPr>
              <w:widowControl w:val="0"/>
              <w:tabs>
                <w:tab w:val="left" w:pos="7655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263" w:rsidRPr="009A5C42" w:rsidTr="00B66B15">
        <w:tc>
          <w:tcPr>
            <w:tcW w:w="680" w:type="dxa"/>
          </w:tcPr>
          <w:p w:rsidR="00857263" w:rsidRPr="009A5C42" w:rsidRDefault="00857263" w:rsidP="00075BFD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857263" w:rsidRPr="009A5C42" w:rsidRDefault="00857263" w:rsidP="00857263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РП ПУЗ ГИИС управления общественными финансами «Электронный бюджет» в части планирования закупок, версии 1.3.  описан процесс создания позиции плана закупок на основе 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раннее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созданного ППЗ с выделением части финансового обеспечения (4.6.3.4.). Все значения из базовой ППЗ копируются в новую копию (за исключением даты создания, идентификационный номер закупки, номер позиции плана закупок). Если позиция плана закупок была создана на основе КУЗ, то копия наследует связь с этой же КУЗ. Дата создания устанавливается текущая. Далее необходимо внести изменения в строки финансового обеспечения в копии позиции плана закупок. При этом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в РП оговаривается, что финансовое обеспечение копии ППЗ не должно быть равным или быть больше, чем в базовой ППЗ. Если формировать ППЗ копированием базовой ППЗ будет ли сохраняться какая-либо связь между данными ППЗ, которая в дальнейшем приведет к невозможности размещения ПЗ? </w:t>
            </w:r>
          </w:p>
          <w:p w:rsidR="00857263" w:rsidRPr="009A5C42" w:rsidRDefault="00857263" w:rsidP="001824B2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857263" w:rsidRPr="009A5C42" w:rsidRDefault="00793C9C" w:rsidP="00D41A1C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Создание позиций плана закупок путем копирования (с помощью нажатия на кнопку «</w:t>
            </w:r>
            <w:r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Вы</w:t>
            </w:r>
            <w:r w:rsidRPr="009A5C4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A5C4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л</w:t>
            </w:r>
            <w:r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ть</w:t>
            </w:r>
            <w:r w:rsidRPr="009A5C4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</w:t>
            </w:r>
            <w:r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финансового обеспечения</w:t>
            </w:r>
            <w:r w:rsidRPr="009A5C4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9A5C4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тд</w:t>
            </w:r>
            <w:r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ль</w:t>
            </w:r>
            <w:r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 w:rsidRPr="009A5C4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9A5C4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по</w:t>
            </w:r>
            <w:r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зи</w:t>
            </w:r>
            <w:r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ц</w:t>
            </w:r>
            <w:r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ю») происходит путем копирования всех данных исходной позиции плана закупок, кроме</w:t>
            </w:r>
            <w:r w:rsidRPr="009A5C42">
              <w:rPr>
                <w:rFonts w:ascii="Times New Roman" w:eastAsia="Times New Roman" w:hAnsi="Times New Roman" w:cs="Times New Roman"/>
                <w:spacing w:val="66"/>
                <w:sz w:val="20"/>
                <w:szCs w:val="20"/>
              </w:rPr>
              <w:t xml:space="preserve"> </w:t>
            </w:r>
            <w:r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 w:rsidRPr="009A5C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ты </w:t>
            </w:r>
            <w:r w:rsidRPr="009A5C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зд</w:t>
            </w:r>
            <w:r w:rsidRPr="009A5C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я, </w:t>
            </w:r>
            <w:r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ИКЗ</w:t>
            </w:r>
            <w:r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но</w:t>
            </w:r>
            <w:r w:rsidRPr="009A5C4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м</w:t>
            </w:r>
            <w:r w:rsidRPr="009A5C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 </w:t>
            </w:r>
            <w:r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по</w:t>
            </w:r>
            <w:r w:rsidRPr="009A5C4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з</w:t>
            </w:r>
            <w:r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ц</w:t>
            </w:r>
            <w:r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A5C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п</w:t>
            </w:r>
            <w:r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</w:t>
            </w:r>
            <w:r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з</w:t>
            </w:r>
            <w:r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акуп</w:t>
            </w:r>
            <w:r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</w:t>
            </w:r>
            <w:r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к. При этом происходит уменьшение первоначальной (родительской) позиции плана закупок на сумму финансового </w:t>
            </w:r>
            <w:proofErr w:type="gramStart"/>
            <w:r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 копии позиции плана закупок</w:t>
            </w:r>
            <w:proofErr w:type="gramEnd"/>
            <w:r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. В дальнейшем, при внесении последующих изменений во вновь созданную путем копирования позицию плана закупок, связь с родительским документом не сохраняется. То есть, данная функция актуальна, если необходимо создать несколько позиций с одинаковым предметом закупки, но различной суммой финансового обеспечения.</w:t>
            </w:r>
          </w:p>
        </w:tc>
      </w:tr>
      <w:tr w:rsidR="001E3306" w:rsidRPr="009A5C42" w:rsidTr="00B66B15">
        <w:tc>
          <w:tcPr>
            <w:tcW w:w="680" w:type="dxa"/>
          </w:tcPr>
          <w:p w:rsidR="001E3306" w:rsidRPr="009A5C42" w:rsidRDefault="001E3306" w:rsidP="00075BFD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1E3306" w:rsidRPr="009A5C42" w:rsidRDefault="001824B2" w:rsidP="001824B2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ак необходимо вносить </w:t>
            </w:r>
            <w:proofErr w:type="gramStart"/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C12FD" w:rsidRPr="009A5C42">
              <w:rPr>
                <w:rFonts w:ascii="Times New Roman" w:hAnsi="Times New Roman" w:cs="Times New Roman"/>
                <w:sz w:val="20"/>
                <w:szCs w:val="20"/>
              </w:rPr>
              <w:t>ПУЗ</w:t>
            </w:r>
            <w:proofErr w:type="gramEnd"/>
            <w:r w:rsidR="00BC12FD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5388" w:rsidRPr="009A5C42">
              <w:rPr>
                <w:rFonts w:ascii="Times New Roman" w:hAnsi="Times New Roman" w:cs="Times New Roman"/>
                <w:sz w:val="20"/>
                <w:szCs w:val="20"/>
              </w:rPr>
              <w:t>ЭБ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закупки до 100 тыс. по виду расхода (242,</w:t>
            </w:r>
            <w:r w:rsidR="00553DC7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244)</w:t>
            </w:r>
            <w:r w:rsidR="00BC12FD" w:rsidRPr="009A5C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одной строкой (на общую сумму) или по каждой малой закупке? </w:t>
            </w:r>
          </w:p>
          <w:p w:rsidR="001E3306" w:rsidRPr="009A5C42" w:rsidRDefault="001E3306" w:rsidP="00E27254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1E3306" w:rsidRPr="009A5C42" w:rsidRDefault="00555388" w:rsidP="005176BF">
            <w:pPr>
              <w:widowControl w:val="0"/>
              <w:tabs>
                <w:tab w:val="left" w:pos="7655"/>
              </w:tabs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огласно ч. 5 ст. 17 </w:t>
            </w:r>
            <w:r w:rsidR="001824B2" w:rsidRPr="009A5C42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едерального закона от 05.04.2013 № 44-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контрактной системе в сфере закупок товаров, работ, услуг для обеспечения государственных и муниципальных нужд» (далее – 44-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) порядок формирования плана закупок установлен постановлением </w:t>
            </w:r>
            <w:r w:rsidR="005176BF" w:rsidRPr="009A5C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равительства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от 05.06.2015 № 552 «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б утверждении правил формирования, утверждения и ведения планов закупок товаров, работ, услуг для обеспечения федеральных нужд» (далее –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остановление № 552).</w:t>
            </w:r>
            <w:proofErr w:type="gramEnd"/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с п. «б» ч. 2 </w:t>
            </w:r>
            <w:r w:rsidR="005176BF" w:rsidRPr="009A5C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остановления № 552 информация о закупках, которые планируется осуществлять, руководствуясь п. 4 ч. 1 ст. 93 44-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, указывается в плане закупок одной строкой по каждому включенному в состав идентификационного кода закупки коду </w:t>
            </w:r>
            <w:hyperlink r:id="rId10" w:history="1">
              <w:r w:rsidR="00A632CF" w:rsidRPr="009A5C42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бюджетной классификации</w:t>
              </w:r>
            </w:hyperlink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в размере годового объема финансового обеспечения по каждому объекту закупки. </w:t>
            </w:r>
            <w:r w:rsidR="005176BF" w:rsidRPr="009A5C4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огласно ч. 4 ст. 21 44-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порядок формирования планов-графиков закупок установлен постановлением </w:t>
            </w:r>
            <w:r w:rsidR="005176BF" w:rsidRPr="009A5C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равительства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от 05.06.2015 № 553 «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б утверждении правил формирования, утверждения и ведения плана-графика закупок товаров, работ, услуг для обеспечения федеральных нужд» (далее –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остановление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№ 553). </w:t>
            </w:r>
            <w:r w:rsidR="005176BF" w:rsidRPr="009A5C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с ч.</w:t>
            </w:r>
            <w:r w:rsidR="005176B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2 п. 2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остановления № 553 информация о закупках, которые планируется осуществлять, руководствуясь п. 4 ч. 1 ст. 93 44-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, указывается в плане-графике закупок одной строкой по каждому включенному в состав идентификационного кода закупки коду </w:t>
            </w:r>
            <w:hyperlink r:id="rId11" w:history="1">
              <w:r w:rsidR="00A632CF" w:rsidRPr="009A5C42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бюджетной классификации</w:t>
              </w:r>
            </w:hyperlink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в размере годового объема финансового обеспечения по каждому объекту закупки. </w:t>
            </w:r>
          </w:p>
          <w:p w:rsidR="001E3306" w:rsidRPr="009A5C42" w:rsidRDefault="00555388" w:rsidP="00B85767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ПУЗ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5767" w:rsidRPr="009A5C42">
              <w:rPr>
                <w:rFonts w:ascii="Times New Roman" w:hAnsi="Times New Roman" w:cs="Times New Roman"/>
                <w:sz w:val="20"/>
                <w:szCs w:val="20"/>
              </w:rPr>
              <w:t>в блоке «Сведения о закупках государственного заказчика» в поле «Тип закупки» выпадающий список содержит перечень значений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.  </w:t>
            </w:r>
            <w:r w:rsidR="005176BF" w:rsidRPr="009A5C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ри </w:t>
            </w:r>
            <w:r w:rsidR="00B85767" w:rsidRPr="009A5C42">
              <w:rPr>
                <w:rFonts w:ascii="Times New Roman" w:hAnsi="Times New Roman" w:cs="Times New Roman"/>
                <w:sz w:val="20"/>
                <w:szCs w:val="20"/>
              </w:rPr>
              <w:t>формировании ППЗ (ППГЗ) для за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купки</w:t>
            </w:r>
            <w:r w:rsidR="00B85767" w:rsidRPr="009A5C42">
              <w:rPr>
                <w:rFonts w:ascii="Times New Roman" w:hAnsi="Times New Roman" w:cs="Times New Roman"/>
                <w:sz w:val="20"/>
                <w:szCs w:val="20"/>
              </w:rPr>
              <w:t>, осуществляемой в соответствии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5767" w:rsidRPr="009A5C4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п. 4 ч. 1 ст. 93 44-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  <w:r w:rsidR="00B85767" w:rsidRPr="009A5C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5767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 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выбра</w:t>
            </w:r>
            <w:r w:rsidR="00B85767" w:rsidRPr="009A5C42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соответственно «</w:t>
            </w:r>
            <w:r w:rsidR="00BC12FD" w:rsidRPr="009A5C4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овары, работы, услуги, не превышающие 100 тыс. рублей (п.4. ч.1 ст. 93 44-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), при заполнении вкладки «</w:t>
            </w:r>
            <w:r w:rsidR="00BC12FD" w:rsidRPr="009A5C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сновные сведения», проставляется отметка в поле «</w:t>
            </w:r>
            <w:r w:rsidR="00BC12FD" w:rsidRPr="009A5C4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акупка содержит несколько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ОКПД</w:t>
            </w:r>
            <w:proofErr w:type="gramStart"/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1E3306" w:rsidRPr="009A5C42" w:rsidTr="00B66B15">
        <w:tc>
          <w:tcPr>
            <w:tcW w:w="680" w:type="dxa"/>
          </w:tcPr>
          <w:p w:rsidR="001E3306" w:rsidRPr="009A5C42" w:rsidRDefault="001E3306" w:rsidP="00075BFD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1E3306" w:rsidRPr="009A5C42" w:rsidRDefault="005176BF" w:rsidP="005176BF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о внебюджетным фондам </w:t>
            </w:r>
            <w:r w:rsidR="00EF2BA7" w:rsidRPr="009A5C42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останутся 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нулевыми или появится возможность изменить</w:t>
            </w:r>
            <w:r w:rsidR="00652ED9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их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вручную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? Л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ибо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КБК 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будут подтягиваться автом</w:t>
            </w:r>
            <w:r w:rsidR="00EF2BA7" w:rsidRPr="009A5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тически?</w:t>
            </w:r>
          </w:p>
          <w:p w:rsidR="00022A42" w:rsidRPr="009A5C42" w:rsidRDefault="00022A42" w:rsidP="005176BF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A42" w:rsidRPr="009A5C42" w:rsidRDefault="00022A42" w:rsidP="005176BF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1E3306" w:rsidRPr="009A5C42" w:rsidRDefault="00EF2BA7" w:rsidP="00E27254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ля внебюджетных фондов возможно использование </w:t>
            </w:r>
            <w:r w:rsidR="00B85767" w:rsidRPr="009A5C4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нулевых</w:t>
            </w:r>
            <w:r w:rsidR="00B85767" w:rsidRPr="009A5C4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цепочек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  <w:r w:rsidR="00B85767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35B96" w:rsidRPr="009A5C42">
              <w:rPr>
                <w:rFonts w:ascii="Times New Roman" w:hAnsi="Times New Roman" w:cs="Times New Roman"/>
                <w:sz w:val="20"/>
                <w:szCs w:val="20"/>
              </w:rPr>
              <w:t>содержащихся</w:t>
            </w:r>
            <w:r w:rsidR="00B85767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в ПУЗ,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5767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в которых </w:t>
            </w:r>
            <w:proofErr w:type="gramStart"/>
            <w:r w:rsidR="00B85767" w:rsidRPr="009A5C42">
              <w:rPr>
                <w:rFonts w:ascii="Times New Roman" w:hAnsi="Times New Roman" w:cs="Times New Roman"/>
                <w:sz w:val="20"/>
                <w:szCs w:val="20"/>
              </w:rPr>
              <w:t>указан</w:t>
            </w:r>
            <w:proofErr w:type="gramEnd"/>
            <w:r w:rsidR="00B85767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только </w:t>
            </w:r>
            <w:r w:rsidR="00BC12FD" w:rsidRPr="009A5C42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  <w:r w:rsidR="00B85767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35B96" w:rsidRPr="009A5C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85767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остальные разряды </w:t>
            </w:r>
            <w:r w:rsidR="00235B96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КБК </w:t>
            </w:r>
            <w:r w:rsidR="00B85767" w:rsidRPr="009A5C42">
              <w:rPr>
                <w:rFonts w:ascii="Times New Roman" w:hAnsi="Times New Roman" w:cs="Times New Roman"/>
                <w:sz w:val="20"/>
                <w:szCs w:val="20"/>
              </w:rPr>
              <w:t>содержат значение «0»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E3306" w:rsidRPr="009A5C42" w:rsidRDefault="001E3306" w:rsidP="00E27254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90F" w:rsidRPr="009A5C42" w:rsidTr="000654D0">
        <w:trPr>
          <w:cantSplit/>
        </w:trPr>
        <w:tc>
          <w:tcPr>
            <w:tcW w:w="680" w:type="dxa"/>
          </w:tcPr>
          <w:p w:rsidR="004E590F" w:rsidRPr="009A5C42" w:rsidRDefault="004E590F" w:rsidP="000654D0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4E590F" w:rsidRPr="009A5C42" w:rsidRDefault="004E590F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ИКЗ будет формироваться автоматически? Если да, 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каком этапе?</w:t>
            </w:r>
            <w:r w:rsidRPr="009A5C42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A5C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После обновления системы во вкладке "Основные сведения" в окне "Порядковый номер для ИКЗ" автоматически проставляется номер.</w:t>
            </w:r>
            <w:r w:rsidRPr="009A5C42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A5C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закупках, заведенных до обновления, системы данное окно пустое. Каким образом его заполнять, чтобы не нарушилась нумерация?</w:t>
            </w:r>
            <w:r w:rsidRPr="009A5C42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4E590F" w:rsidRPr="009A5C42" w:rsidRDefault="004E590F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4E590F" w:rsidRPr="009A5C42" w:rsidRDefault="004E590F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ИКЗ формируется на этапе формирования позиции плана закупок. Заполнение поля «Порядковый номер для ИКЗ» происходит при включении позиции плана закупок в план закупок. При этом функционалом предусмотрена возможность заполнения поля «Порядковый номер для ИКЗ» вручную на этапе формирования позиции плана закупок, а также возможность редактирования порядкового номера ИКЗ после его автоматического формирования. </w:t>
            </w:r>
          </w:p>
          <w:p w:rsidR="004E590F" w:rsidRPr="009A5C42" w:rsidRDefault="004E590F" w:rsidP="000654D0">
            <w:pPr>
              <w:pStyle w:val="a8"/>
              <w:widowControl w:val="0"/>
              <w:tabs>
                <w:tab w:val="left" w:pos="7655"/>
              </w:tabs>
              <w:spacing w:beforeLines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E3306" w:rsidRPr="009A5C42" w:rsidTr="00B66B15">
        <w:tc>
          <w:tcPr>
            <w:tcW w:w="680" w:type="dxa"/>
          </w:tcPr>
          <w:p w:rsidR="001E3306" w:rsidRPr="009A5C42" w:rsidRDefault="001E3306" w:rsidP="00075BFD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1067BE" w:rsidRPr="009A5C42" w:rsidRDefault="00EF2BA7" w:rsidP="001067BE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ри формировании позиций плана закупок на 2017 год и планируемый период </w:t>
            </w:r>
            <w:proofErr w:type="gramStart"/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C12FD" w:rsidRPr="009A5C42">
              <w:rPr>
                <w:rFonts w:ascii="Times New Roman" w:hAnsi="Times New Roman" w:cs="Times New Roman"/>
                <w:sz w:val="20"/>
                <w:szCs w:val="20"/>
              </w:rPr>
              <w:t>ПУЗ</w:t>
            </w:r>
            <w:proofErr w:type="gramEnd"/>
            <w:r w:rsidR="00BC12FD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ЭБ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r w:rsidR="005176BF" w:rsidRPr="009A5C42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едеральных бюджетных учреждений в закладке </w:t>
            </w:r>
            <w:r w:rsidR="005176BF" w:rsidRPr="009A5C4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C12FD" w:rsidRPr="009A5C42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инансовое обеспечение</w:t>
            </w:r>
            <w:r w:rsidR="005176BF" w:rsidRPr="009A5C4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недоступным для просмотра и редактирования является поле «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ИКЗ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 w:rsidR="005176BF" w:rsidRPr="009A5C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ри обращении к справочнику появляется сообщение «</w:t>
            </w:r>
            <w:r w:rsidR="00BC12FD" w:rsidRPr="009A5C4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анные не найдены». </w:t>
            </w:r>
          </w:p>
          <w:p w:rsidR="001067BE" w:rsidRPr="009A5C42" w:rsidRDefault="001067BE" w:rsidP="001067BE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7BE" w:rsidRPr="009A5C42" w:rsidRDefault="001067BE" w:rsidP="001067BE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7BE" w:rsidRPr="009A5C42" w:rsidRDefault="001067BE" w:rsidP="001067BE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306" w:rsidRPr="009A5C42" w:rsidRDefault="001E3306" w:rsidP="00C8410C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1E3306" w:rsidRPr="009A5C42" w:rsidRDefault="00EF2BA7" w:rsidP="005176BF">
            <w:pPr>
              <w:widowControl w:val="0"/>
              <w:tabs>
                <w:tab w:val="left" w:pos="765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632CF"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="00A632CF"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A632CF" w:rsidRPr="009A5C42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="00A632CF"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«</w:t>
            </w:r>
            <w:r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КВР</w:t>
            </w:r>
            <w:r w:rsidR="00A632CF" w:rsidRPr="009A5C4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A632CF"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 w:rsidR="00A632CF"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A632CF" w:rsidRPr="009A5C42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9A5C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A632CF" w:rsidRPr="009A5C42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A632CF"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="00A632CF"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б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язате</w:t>
            </w:r>
            <w:r w:rsidR="00A632CF"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льн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A632CF" w:rsidRPr="009A5C42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A632CF"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 w:rsidR="00A632CF"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A632CF" w:rsidRPr="009A5C42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="00A632CF" w:rsidRPr="009A5C4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з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A632CF"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по</w:t>
            </w:r>
            <w:r w:rsidR="00A632CF" w:rsidRPr="009A5C4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л</w:t>
            </w:r>
            <w:r w:rsidR="00A632CF"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 w:rsidR="00A632CF" w:rsidRPr="009A5C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A632CF"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ни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я,</w:t>
            </w:r>
            <w:r w:rsidR="00A632CF" w:rsidRPr="009A5C4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если</w:t>
            </w:r>
            <w:r w:rsidR="00A632CF" w:rsidRPr="009A5C42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="00A632CF"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A632CF" w:rsidRPr="009A5C42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="00A632CF" w:rsidRPr="009A5C4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ста</w:t>
            </w:r>
            <w:r w:rsidR="00A632CF"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но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A632CF"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A632CF"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</w:t>
            </w:r>
            <w:r w:rsidR="00A632CF"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тмет</w:t>
            </w:r>
            <w:r w:rsidR="00A632CF" w:rsidRPr="009A5C4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к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</w:t>
            </w:r>
            <w:r w:rsidR="00A632CF"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«</w:t>
            </w:r>
            <w:r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КВР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632CF"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A632CF" w:rsidRPr="009A5C4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gramStart"/>
            <w:r w:rsidR="00A632CF"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="00A632CF" w:rsidRPr="009A5C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 w:rsidR="00A632CF"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 w:rsidR="00A632CF" w:rsidRPr="009A5C4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="00A632CF"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елен</w:t>
            </w:r>
            <w:proofErr w:type="gramEnd"/>
            <w:r w:rsidR="00A632CF" w:rsidRPr="009A5C4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»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18632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ункционалом </w:t>
            </w:r>
            <w:proofErr w:type="gramStart"/>
            <w:r w:rsidR="001067BE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ПУЗ</w:t>
            </w:r>
            <w:proofErr w:type="gramEnd"/>
            <w:r w:rsidR="001067BE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 ручной ввод данных в поле «</w:t>
            </w:r>
            <w:r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КВР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r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ИКЗ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1067BE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, а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67BE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акже предусмотрен выбор </w:t>
            </w:r>
            <w:r w:rsidR="001067BE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КВР </w:t>
            </w:r>
            <w:r w:rsidR="00A632CF" w:rsidRPr="009A5C42">
              <w:rPr>
                <w:rFonts w:ascii="Times New Roman" w:eastAsia="Times New Roman" w:hAnsi="Times New Roman" w:cs="Times New Roman"/>
                <w:sz w:val="20"/>
                <w:szCs w:val="20"/>
              </w:rPr>
              <w:t>из справочника.</w:t>
            </w:r>
          </w:p>
          <w:p w:rsidR="00EF2BA7" w:rsidRPr="009A5C42" w:rsidRDefault="00EF2BA7" w:rsidP="005176BF">
            <w:pPr>
              <w:pStyle w:val="a8"/>
              <w:widowControl w:val="0"/>
              <w:tabs>
                <w:tab w:val="left" w:pos="7655"/>
              </w:tabs>
              <w:spacing w:beforeLines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случае, если поле «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КВР для ИКЗ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» недоступно для редактирования, необходимо убедиться, что редактируемая позиция плана закупок находится в статусе «</w:t>
            </w:r>
            <w:r w:rsidR="001067BE" w:rsidRPr="009A5C4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ерновик» и открыта с помощью кнопки «</w:t>
            </w:r>
            <w:r w:rsidR="001067BE" w:rsidRPr="009A5C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ткрыть документ на редактирование». </w:t>
            </w:r>
          </w:p>
          <w:p w:rsidR="001E3306" w:rsidRPr="009A5C42" w:rsidRDefault="00EF2BA7" w:rsidP="005176BF">
            <w:pPr>
              <w:pStyle w:val="a8"/>
              <w:widowControl w:val="0"/>
              <w:tabs>
                <w:tab w:val="left" w:pos="7655"/>
              </w:tabs>
              <w:spacing w:beforeLines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ля устранения ошибок необходимо корректно заполнить поле «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КВР для ИКЗ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:rsidR="0018632F" w:rsidRPr="009A5C42" w:rsidRDefault="0018632F" w:rsidP="005176BF">
            <w:pPr>
              <w:pStyle w:val="a8"/>
              <w:widowControl w:val="0"/>
              <w:tabs>
                <w:tab w:val="left" w:pos="7655"/>
              </w:tabs>
              <w:spacing w:beforeLines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повторения ошибки необходимо обратиться в службу поддержки ЭБ. </w:t>
            </w:r>
          </w:p>
          <w:p w:rsidR="001067BE" w:rsidRPr="009A5C42" w:rsidRDefault="001067BE" w:rsidP="005176BF">
            <w:pPr>
              <w:pStyle w:val="a8"/>
              <w:widowControl w:val="0"/>
              <w:tabs>
                <w:tab w:val="left" w:pos="7655"/>
              </w:tabs>
              <w:spacing w:beforeLines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6BF" w:rsidRPr="009A5C42" w:rsidRDefault="005176BF" w:rsidP="00C8410C">
            <w:pPr>
              <w:pStyle w:val="a8"/>
              <w:widowControl w:val="0"/>
              <w:tabs>
                <w:tab w:val="left" w:pos="7655"/>
              </w:tabs>
              <w:spacing w:beforeLines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10C" w:rsidRPr="009A5C42" w:rsidTr="00B66B15">
        <w:tc>
          <w:tcPr>
            <w:tcW w:w="680" w:type="dxa"/>
          </w:tcPr>
          <w:p w:rsidR="00C8410C" w:rsidRPr="009A5C42" w:rsidRDefault="00C8410C" w:rsidP="00075BFD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C8410C" w:rsidRPr="009A5C42" w:rsidRDefault="00C8410C" w:rsidP="00E27254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Позиции плана закупок формируются с ошибкой: в ИКЗ в значениях КВР стоят нули.</w:t>
            </w:r>
          </w:p>
        </w:tc>
        <w:tc>
          <w:tcPr>
            <w:tcW w:w="7796" w:type="dxa"/>
          </w:tcPr>
          <w:p w:rsidR="00C8410C" w:rsidRPr="009A5C42" w:rsidRDefault="00C8410C" w:rsidP="00C8410C">
            <w:pPr>
              <w:pStyle w:val="a8"/>
              <w:widowControl w:val="0"/>
              <w:tabs>
                <w:tab w:val="left" w:pos="7655"/>
              </w:tabs>
              <w:spacing w:beforeLines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Возможно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выбран признак «КВР не определен»</w:t>
            </w:r>
            <w:r w:rsidR="0018632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- в этом случае в ИКЗ в значениях КВР автоматически указывается значения «0». </w:t>
            </w:r>
          </w:p>
          <w:p w:rsidR="00C8410C" w:rsidRPr="009A5C42" w:rsidRDefault="00C8410C" w:rsidP="00C8410C">
            <w:pPr>
              <w:pStyle w:val="a8"/>
              <w:widowControl w:val="0"/>
              <w:tabs>
                <w:tab w:val="left" w:pos="7655"/>
              </w:tabs>
              <w:spacing w:beforeLines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Если это не связано с указа</w:t>
            </w:r>
            <w:r w:rsidR="0018632F" w:rsidRPr="009A5C42">
              <w:rPr>
                <w:rFonts w:ascii="Times New Roman" w:hAnsi="Times New Roman" w:cs="Times New Roman"/>
                <w:sz w:val="20"/>
                <w:szCs w:val="20"/>
              </w:rPr>
              <w:t>нным признаком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, необходимо обратиться в службу поддержки ЭБ.</w:t>
            </w:r>
          </w:p>
          <w:p w:rsidR="00C8410C" w:rsidRPr="009A5C42" w:rsidRDefault="00C8410C" w:rsidP="00E27254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CE2" w:rsidRPr="009A5C42" w:rsidTr="000654D0">
        <w:tc>
          <w:tcPr>
            <w:tcW w:w="680" w:type="dxa"/>
          </w:tcPr>
          <w:p w:rsidR="00C63CE2" w:rsidRPr="009A5C42" w:rsidRDefault="00C63CE2" w:rsidP="000654D0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Должен ли заказчик отразить в плане закупок внебюджетные средства? Если должен, 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каким образом?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*** 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Может ли заказчик включить в план закупок и в план график закупку, которую в последствии он оплатит частично за счет средств Федерального бюджета и частично за счет внебюджетных средств?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>При формировании плана закупок, в него включается информация о закупках, осуществляемых в соответствии с Федеральным законом № 44-ФЗ за счет всех источников финансирования. План-график формируется на основании плана закупок.</w:t>
            </w:r>
          </w:p>
        </w:tc>
      </w:tr>
      <w:tr w:rsidR="00C63CE2" w:rsidRPr="009A5C42" w:rsidTr="00C63CE2">
        <w:trPr>
          <w:cantSplit/>
        </w:trPr>
        <w:tc>
          <w:tcPr>
            <w:tcW w:w="680" w:type="dxa"/>
          </w:tcPr>
          <w:p w:rsidR="00C63CE2" w:rsidRPr="009A5C42" w:rsidRDefault="00C63CE2" w:rsidP="000654D0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Все ли закупки на планируемый год должны включаться в первый план график? Есть ли возможность добавлять закупки в план график в течение года?</w:t>
            </w:r>
          </w:p>
        </w:tc>
        <w:tc>
          <w:tcPr>
            <w:tcW w:w="7796" w:type="dxa"/>
          </w:tcPr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63CE2" w:rsidRPr="009A5C42" w:rsidRDefault="00C63CE2" w:rsidP="00065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соответствии с ч. 2 статьи 21 Федерального закона № 44-ФЗ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планы-графики формируются заказчиками в соответствии с планами закупок.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соответствии с п. 8 Правил формирования, утверждения и ведения плана-графика закупок товаров, работ, услуг для обеспечения Федеральных нужд, утвержденных постановлением Правительства Российской Федерации от 5 июня 2015 г. № 553 (далее – правила) план-график закупок формируется ежегодно на очередной финансовый год в соответствии с планом закупок. 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>Внесение изменений в план-график закупок осуществляется в случае внесения изменений в планы закупок, а также в следующих случаях, в том числе не требующих внесения изменений в планы закупок: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>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контракта;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>в) отмена заказчиком закупки, предусмотренной планом-графиком закупок;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>г) использование в соответствии с законодательством российской федерации экономии, полученной при осуществлении закупки;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>д) выдача предписания органами контроля, определенными статьей 99 федерального закона, в том числе об аннулировании процедуры определения поставщиков (подрядчиков, исполнителей);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>е) реализация решения, принятого заказчиком по итогам обязательного общественного обсуждения закупки;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ж) возникновение иных обстоятельств, предвидеть которые на дату утверждения плана-графика закупок было невозможно. </w:t>
            </w:r>
          </w:p>
          <w:p w:rsidR="00C63CE2" w:rsidRPr="009A5C42" w:rsidRDefault="00C63CE2" w:rsidP="00C63CE2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Учитывая изложенное, по мнению </w:t>
            </w:r>
            <w:proofErr w:type="gramStart"/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Федерального</w:t>
            </w:r>
            <w:proofErr w:type="gramEnd"/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казначейства, все закупки, включенные заказчиком в план закупок, должны быть включены заказчиком в план-график.   </w:t>
            </w:r>
          </w:p>
        </w:tc>
      </w:tr>
      <w:tr w:rsidR="00C63CE2" w:rsidRPr="009A5C42" w:rsidTr="000654D0">
        <w:tc>
          <w:tcPr>
            <w:tcW w:w="680" w:type="dxa"/>
          </w:tcPr>
          <w:p w:rsidR="00C63CE2" w:rsidRPr="009A5C42" w:rsidRDefault="00C63CE2" w:rsidP="000654D0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C63CE2" w:rsidRPr="009A5C42" w:rsidRDefault="009A5C4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Проблема:</w:t>
            </w:r>
            <w:r w:rsidR="00C63CE2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«Отсутствует цепочка КБК» как можно разрешить данную ситуацию.</w:t>
            </w:r>
          </w:p>
        </w:tc>
        <w:tc>
          <w:tcPr>
            <w:tcW w:w="7796" w:type="dxa"/>
          </w:tcPr>
          <w:p w:rsidR="00C63CE2" w:rsidRPr="009A5C42" w:rsidRDefault="00C63CE2" w:rsidP="000654D0">
            <w:pPr>
              <w:pStyle w:val="a8"/>
              <w:widowControl w:val="0"/>
              <w:tabs>
                <w:tab w:val="left" w:pos="7655"/>
              </w:tabs>
              <w:spacing w:beforeLines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Нормативными правовыми актами (Постановления Правительства Российской Федерации от 05.06.2015 № 552, 553, 554, от 21.11.2013 № 1043) не предусмотрено указание цепочек КБК в плане закупок и плане-графике закупок. Из 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ПУЗ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в ЕИС КБК не передаются, а используется только код вида расходов для формирования ИКЗ.</w:t>
            </w:r>
          </w:p>
          <w:p w:rsidR="00C63CE2" w:rsidRPr="009A5C42" w:rsidRDefault="00C63CE2" w:rsidP="00C63CE2">
            <w:pPr>
              <w:pStyle w:val="a8"/>
              <w:widowControl w:val="0"/>
              <w:tabs>
                <w:tab w:val="left" w:pos="7655"/>
              </w:tabs>
              <w:spacing w:beforeLines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При формировании позиций планов закупок и планов-графиков закупок можно использовать нулевые (технические) цепочки КБК, содержащиеся в ПУЗ, в которых 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указан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только КВР, а остальные разряды КБК содержат значение «0», если ГРБС не доводил до ПБС «живые» цепочки КБК из подсистемы бюджетного планирования.</w:t>
            </w:r>
          </w:p>
        </w:tc>
      </w:tr>
      <w:tr w:rsidR="00C63CE2" w:rsidRPr="009A5C42" w:rsidTr="000654D0">
        <w:tc>
          <w:tcPr>
            <w:tcW w:w="680" w:type="dxa"/>
          </w:tcPr>
          <w:p w:rsidR="00C63CE2" w:rsidRPr="009A5C42" w:rsidRDefault="00C63CE2" w:rsidP="000654D0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ПУЗ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ЭБ при формировании сводного плана закупок отсутствуют позиции плана закупок, доступные для включения в единый документ; все позиции плана закупок находятся в стадии «Утверждено».</w:t>
            </w:r>
          </w:p>
        </w:tc>
        <w:tc>
          <w:tcPr>
            <w:tcW w:w="7796" w:type="dxa"/>
          </w:tcPr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План закупок формируется в соответствии 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4.8. руководства пользователя ПУЗ ЭБ планирование закупок. Чтобы включить позиции плана закупок в план закупок, позиции плана закупок должны соответствовать следующим условиям: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1. позиции плана закупок должны находиться в статусе «Утверждено»;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2. планируемый год размещения извещения (вкладка позиции плана закупок «Характеристика финансового обеспечения») должен соответствовать году плана закупок;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3. планируемый период плана закупок и позиций плана закупок должны быть идентичны (2017-2019гг.) 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4D0" w:rsidRPr="009A5C42" w:rsidTr="000654D0">
        <w:tc>
          <w:tcPr>
            <w:tcW w:w="680" w:type="dxa"/>
          </w:tcPr>
          <w:p w:rsidR="000654D0" w:rsidRPr="009A5C42" w:rsidRDefault="000654D0" w:rsidP="000654D0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0654D0" w:rsidRPr="009A5C42" w:rsidRDefault="000654D0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Как уполномоченному органу, уполномоченному учреждению включить позицию плана-графика заказчика в извещение об осуществлении закупки</w:t>
            </w:r>
          </w:p>
        </w:tc>
        <w:tc>
          <w:tcPr>
            <w:tcW w:w="7796" w:type="dxa"/>
          </w:tcPr>
          <w:p w:rsidR="000654D0" w:rsidRPr="009A5C42" w:rsidRDefault="000654D0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Для этого уполномоченный орган, уполномоченное учреждение должно быть указано в позиции плана-графика закупок заказчика (колонка 31)</w:t>
            </w:r>
          </w:p>
        </w:tc>
      </w:tr>
      <w:tr w:rsidR="000654D0" w:rsidRPr="009A5C42" w:rsidTr="000654D0">
        <w:tc>
          <w:tcPr>
            <w:tcW w:w="680" w:type="dxa"/>
          </w:tcPr>
          <w:p w:rsidR="000654D0" w:rsidRPr="009A5C42" w:rsidRDefault="000654D0" w:rsidP="000654D0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0654D0" w:rsidRPr="009A5C42" w:rsidRDefault="0025464C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Может ли НМЦК, указанная в позиции плана-графика быть меньше чем НМЦК указанная в извещении об осуществлении закупки</w:t>
            </w:r>
          </w:p>
        </w:tc>
        <w:tc>
          <w:tcPr>
            <w:tcW w:w="7796" w:type="dxa"/>
          </w:tcPr>
          <w:p w:rsidR="000654D0" w:rsidRPr="009A5C42" w:rsidRDefault="0025464C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Нет, НМЦК в позиции плана-графика должна быть равна НМЦК, указанной в извещении</w:t>
            </w:r>
          </w:p>
        </w:tc>
      </w:tr>
      <w:tr w:rsidR="004E590F" w:rsidRPr="009A5C42" w:rsidTr="000654D0">
        <w:tc>
          <w:tcPr>
            <w:tcW w:w="15309" w:type="dxa"/>
            <w:gridSpan w:val="3"/>
          </w:tcPr>
          <w:p w:rsidR="004E590F" w:rsidRPr="009A5C42" w:rsidRDefault="004E590F" w:rsidP="00C63CE2">
            <w:pPr>
              <w:keepNext/>
              <w:widowControl w:val="0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контракте</w:t>
            </w:r>
          </w:p>
        </w:tc>
      </w:tr>
      <w:tr w:rsidR="00ED7AD4" w:rsidRPr="009A5C42" w:rsidTr="00C63CE2">
        <w:trPr>
          <w:cantSplit/>
        </w:trPr>
        <w:tc>
          <w:tcPr>
            <w:tcW w:w="680" w:type="dxa"/>
          </w:tcPr>
          <w:p w:rsidR="00ED7AD4" w:rsidRPr="009A5C42" w:rsidRDefault="00ED7AD4" w:rsidP="00075BFD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D33A00" w:rsidRPr="009A5C42" w:rsidRDefault="007F576A" w:rsidP="004E590F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аключено соглашение о расторжении контракта.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осле чего в подсистеме управления закупками была сформирована информация об исполнении (расторжении) государственного контракта.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целью ее размещения в </w:t>
            </w:r>
            <w:r w:rsidR="008E2CD4" w:rsidRPr="009A5C42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были сформированы и направлены в </w:t>
            </w:r>
            <w:r w:rsidR="008E2CD4" w:rsidRPr="009A5C42">
              <w:rPr>
                <w:rFonts w:ascii="Times New Roman" w:hAnsi="Times New Roman" w:cs="Times New Roman"/>
                <w:sz w:val="20"/>
                <w:szCs w:val="20"/>
              </w:rPr>
              <w:t>УФК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</w:t>
            </w:r>
            <w:r w:rsidR="008E2CD4" w:rsidRPr="009A5C42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, оформленные с нарушениями.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ведения о </w:t>
            </w:r>
            <w:r w:rsidR="008E2CD4" w:rsidRPr="009A5C42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были отказаны в </w:t>
            </w:r>
            <w:r w:rsidR="008E2CD4" w:rsidRPr="009A5C42">
              <w:rPr>
                <w:rFonts w:ascii="Times New Roman" w:hAnsi="Times New Roman" w:cs="Times New Roman"/>
                <w:sz w:val="20"/>
                <w:szCs w:val="20"/>
              </w:rPr>
              <w:t>ПУР ЭБ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, а информация об исполнении (расторжении) государственного контракта была успешно размещена в </w:t>
            </w:r>
            <w:r w:rsidR="008E2CD4" w:rsidRPr="009A5C42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еперь запись по данному государственному контракту неактивна (статус «</w:t>
            </w:r>
            <w:r w:rsidR="00FD2B37" w:rsidRPr="009A5C4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сполнение завершено»), и не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воз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мож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сформировать новые сведения о </w:t>
            </w:r>
            <w:r w:rsidR="008E2CD4" w:rsidRPr="009A5C42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в подсистеме управления закупками.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ак и где сформировать новые сведения о </w:t>
            </w:r>
            <w:r w:rsidR="008E2CD4" w:rsidRPr="009A5C42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8E2CD4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96" w:type="dxa"/>
          </w:tcPr>
          <w:p w:rsidR="00ED7AD4" w:rsidRPr="009A5C42" w:rsidRDefault="008E2CD4" w:rsidP="00E27254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сли при формировании сведений о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ошибка допущена без необходимости внесения изменений в информацию о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(его расторжении), то сведения о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можно откорректировать через функцию «</w:t>
            </w:r>
            <w:r w:rsidR="00FD2B37" w:rsidRPr="009A5C4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зменение сведений о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:rsidR="00ED7AD4" w:rsidRPr="009A5C42" w:rsidRDefault="008E2CD4" w:rsidP="00E27254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случае необходимости внесения изменений в сведения о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, затрагивающих информацию о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, после размещения информации о расторжении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, внесение изменений в информацию о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невозможно. </w:t>
            </w:r>
            <w:r w:rsidR="00D33A00" w:rsidRPr="009A5C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этом случае необходимо рассмотреть возможность сформировать сведения о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через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СУФД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12FD" w:rsidRPr="009A5C42" w:rsidRDefault="00BC12FD" w:rsidP="00E27254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D4" w:rsidRPr="009A5C42" w:rsidRDefault="00D33A00" w:rsidP="008F36F6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590F" w:rsidRPr="009A5C42" w:rsidTr="000654D0">
        <w:tc>
          <w:tcPr>
            <w:tcW w:w="680" w:type="dxa"/>
          </w:tcPr>
          <w:p w:rsidR="004E590F" w:rsidRPr="009A5C42" w:rsidRDefault="004E590F" w:rsidP="000654D0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4E590F" w:rsidRPr="009A5C42" w:rsidRDefault="004E590F" w:rsidP="004E590F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Может ли клиент в информации о заключенном контракте указать несколько контрагентов?</w:t>
            </w:r>
          </w:p>
        </w:tc>
        <w:tc>
          <w:tcPr>
            <w:tcW w:w="7796" w:type="dxa"/>
          </w:tcPr>
          <w:p w:rsidR="004E590F" w:rsidRPr="009A5C42" w:rsidRDefault="004E590F" w:rsidP="004E590F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В информации о заключенном контракте отсутствует возможность указания нескольких  контрагентов.</w:t>
            </w:r>
          </w:p>
        </w:tc>
      </w:tr>
      <w:tr w:rsidR="00C63CE2" w:rsidRPr="009A5C42" w:rsidTr="000654D0">
        <w:tc>
          <w:tcPr>
            <w:tcW w:w="680" w:type="dxa"/>
          </w:tcPr>
          <w:p w:rsidR="00C63CE2" w:rsidRPr="009A5C42" w:rsidRDefault="00C63CE2" w:rsidP="000654D0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Закупки муниципального уровня. 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Получатели бюджетных средств заключают контракты по субсидиям и субвенциям, где предусмотрено </w:t>
            </w:r>
            <w:proofErr w:type="spell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(федеральный, областной, местный бюджеты) или полностью за счет средств Федерального бюджета. При заключении контракта клиент обязан проставлять источник средств. Должны ли они указывать в контракте «Средства Федерального бюджета», когда только за счет средств Федерального бюджета?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Каким образом будет проходить контроль у финансовых органов по данным контрактам в ЕИС?</w:t>
            </w:r>
          </w:p>
          <w:p w:rsidR="00C63CE2" w:rsidRPr="009A5C42" w:rsidRDefault="00C63CE2" w:rsidP="000654D0">
            <w:pPr>
              <w:pStyle w:val="a8"/>
              <w:widowControl w:val="0"/>
              <w:tabs>
                <w:tab w:val="left" w:pos="7655"/>
              </w:tabs>
              <w:spacing w:beforeLines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Закупки не могут осуществляться за счет средств нескольких бюджетов.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огласно части 5 статьи 99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Федерального закона</w:t>
            </w:r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 44–ФЗ финансовые органы субъектов Российской Федерации и муниципальных образований осуществляют контроль </w:t>
            </w:r>
            <w:proofErr w:type="gramStart"/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gramEnd"/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>1) соответствием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заказчика;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>2) соответствием информации об идентификационных кодах закупок и об объеме финансового обеспечения для осуществления данных закупок, содержащейся: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>а) в планах-графиках, информации, содержащейся в планах закупок;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>б) в извещениях об осуществлении закупок, в документации о закупках, информации, содержащейся в планах-графиках;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в) в протоколах определения поставщиков (подрядчиков, исполнителей), информации, содержащейся в документации о закупках;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>г) в условиях проектов контрактов, направляемых участникам закупок, с которыми заключаются контракты, информации, содержащейся в протоколах определения поставщиков (подрядчиков, исполнителей);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>д) в реестре контрактов, заключенных заказчиками, условиям контрактов.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>При этом в соответствии с частью 6 статьи 99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</w:t>
            </w:r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 44–ФЗ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Pr="009A5C42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правила</w:t>
              </w:r>
            </w:hyperlink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осуществления контроля, предусмотренного </w:t>
            </w:r>
            <w:hyperlink r:id="rId13" w:history="1">
              <w:r w:rsidRPr="009A5C42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частью 5 статьи 99</w:t>
              </w:r>
            </w:hyperlink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№ 44-ФЗ</w:t>
            </w:r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в том числе </w:t>
            </w:r>
            <w:hyperlink r:id="rId14" w:history="1">
              <w:r w:rsidRPr="009A5C42">
                <w:rPr>
                  <w:rStyle w:val="a9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порядок</w:t>
              </w:r>
            </w:hyperlink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действий органов контроля при выявлении несоответствия контролируемой информации, установлен постановлением Правительства Российской Федерации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от 12 декабря 2015 г. № 1367. 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Состав контролируемой финансовыми органами информации установлен подпунктом «б» пункта 13 Правил и не включает в себя </w:t>
            </w:r>
            <w:proofErr w:type="gramStart"/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9A5C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указанием в контрактах источников финансового обеспечения расходных обязательств муниципальных образований.</w:t>
            </w:r>
          </w:p>
        </w:tc>
      </w:tr>
      <w:tr w:rsidR="00C63CE2" w:rsidRPr="009A5C42" w:rsidTr="000654D0">
        <w:tc>
          <w:tcPr>
            <w:tcW w:w="680" w:type="dxa"/>
          </w:tcPr>
          <w:p w:rsidR="00C63CE2" w:rsidRPr="009A5C42" w:rsidRDefault="00C63CE2" w:rsidP="000654D0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C63CE2" w:rsidRPr="009A5C42" w:rsidRDefault="00C63CE2" w:rsidP="000654D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C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результате отрицательного решения </w:t>
            </w:r>
            <w:proofErr w:type="spellStart"/>
            <w:r w:rsidRPr="009A5C42">
              <w:rPr>
                <w:rFonts w:ascii="Times New Roman" w:eastAsia="Calibri" w:hAnsi="Times New Roman" w:cs="Times New Roman"/>
                <w:sz w:val="20"/>
                <w:szCs w:val="20"/>
              </w:rPr>
              <w:t>ОрФК</w:t>
            </w:r>
            <w:proofErr w:type="spellEnd"/>
            <w:r w:rsidRPr="009A5C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контролю Сведений о контракте у заказчика возникает необходимость внесения изменений в государственный контракт, при этом у заказчика нет возможности внести изменения в контракт дополнительным соглашением, так как основной контракт не размещен в Реестре контрактов. Какие действия может предпринять в данной ситуации заказчик?</w:t>
            </w:r>
          </w:p>
          <w:p w:rsidR="00C63CE2" w:rsidRPr="009A5C42" w:rsidRDefault="00C63CE2" w:rsidP="000654D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C63CE2" w:rsidRPr="009A5C42" w:rsidRDefault="00C63CE2" w:rsidP="00065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несоответствия информации об идентификационном коде закупок или об объеме финансового обеспечения для осуществления данных закупок в информации и документах, подлежащих включению в реестр контрактов, заключенных заказчиками, условиям контракта заказчик должен привести сведения о контракте в соответствие с условиями контракта. </w:t>
            </w:r>
          </w:p>
          <w:p w:rsidR="00C63CE2" w:rsidRPr="009A5C42" w:rsidRDefault="00C63CE2" w:rsidP="000654D0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90F" w:rsidRPr="009A5C42" w:rsidTr="000654D0">
        <w:tc>
          <w:tcPr>
            <w:tcW w:w="15309" w:type="dxa"/>
            <w:gridSpan w:val="3"/>
          </w:tcPr>
          <w:p w:rsidR="004E590F" w:rsidRPr="009A5C42" w:rsidRDefault="004E590F" w:rsidP="004E590F">
            <w:pPr>
              <w:keepNext/>
              <w:widowControl w:val="0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ошибки</w:t>
            </w:r>
          </w:p>
        </w:tc>
      </w:tr>
      <w:tr w:rsidR="008F36F6" w:rsidRPr="009A5C42" w:rsidTr="004E590F">
        <w:trPr>
          <w:cantSplit/>
        </w:trPr>
        <w:tc>
          <w:tcPr>
            <w:tcW w:w="680" w:type="dxa"/>
          </w:tcPr>
          <w:p w:rsidR="008F36F6" w:rsidRPr="009A5C42" w:rsidRDefault="008F36F6" w:rsidP="00075BFD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8F36F6" w:rsidRPr="009A5C42" w:rsidRDefault="008F36F6" w:rsidP="00FD2B37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В ЕИС была размещена не полная скан-копия государственного контракта (отсутствовал ряд страниц). Сведения о БО по данному государственному контракту были отказаны в ПУР ЭБ. Клиент разместил в ЕИС 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правильную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(полную) скан-копию государственного контракта и направил повторно сведения о БО. Однако во вложениях к данным сведениям не видно актуальную версию контракта (хотя в ЕИС она действительно доступна). Что должен делать в этой ситуации клиент, чтобы к сведениям о БО подцепилась актуальная версия 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скан-копии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документа-основания?</w:t>
            </w:r>
          </w:p>
          <w:p w:rsidR="008F36F6" w:rsidRPr="009A5C42" w:rsidRDefault="008F36F6" w:rsidP="00FD2B37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8F36F6" w:rsidRPr="009A5C42" w:rsidRDefault="008F36F6" w:rsidP="008F36F6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При внесении изменения в информацию о ГК необходимо сформировать сведения о БО и направить в органы ФК. Информация об изменении ГК размещается в ЕИС, а в орган ФК передаются заново сформированные сведения о БО. Если сведения о БО до органа ФК доходят некорректно, необходимо завести обращение с описанием проблемы в службу </w:t>
            </w:r>
            <w:r w:rsidR="00514F57" w:rsidRPr="009A5C42"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поддержки. </w:t>
            </w:r>
          </w:p>
          <w:p w:rsidR="008F36F6" w:rsidRPr="009A5C42" w:rsidRDefault="008F36F6" w:rsidP="00D33A0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BE0" w:rsidRPr="009A5C42" w:rsidTr="000654D0">
        <w:tc>
          <w:tcPr>
            <w:tcW w:w="680" w:type="dxa"/>
          </w:tcPr>
          <w:p w:rsidR="00216BE0" w:rsidRPr="009A5C42" w:rsidRDefault="00216BE0" w:rsidP="000654D0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216BE0" w:rsidRPr="009A5C42" w:rsidRDefault="00216BE0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Технические проблемы не позволяют сформировать или направить на размещение планы закупок или планы-графики закупок 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ПУЗ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ЭБ</w:t>
            </w:r>
          </w:p>
        </w:tc>
        <w:tc>
          <w:tcPr>
            <w:tcW w:w="7796" w:type="dxa"/>
          </w:tcPr>
          <w:p w:rsidR="00216BE0" w:rsidRPr="009A5C42" w:rsidRDefault="00216BE0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Рекомендуем перейти на формирование планов закупок или планов-графиков закупок в версию подсистемы ГИИС "Электронный бюджет" </w:t>
            </w:r>
          </w:p>
          <w:p w:rsidR="00216BE0" w:rsidRPr="009A5C42" w:rsidRDefault="00216BE0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BE0" w:rsidRPr="009A5C42" w:rsidTr="000654D0">
        <w:tc>
          <w:tcPr>
            <w:tcW w:w="15309" w:type="dxa"/>
            <w:gridSpan w:val="3"/>
          </w:tcPr>
          <w:p w:rsidR="00216BE0" w:rsidRPr="009A5C42" w:rsidRDefault="00C63CE2" w:rsidP="000654D0">
            <w:pPr>
              <w:widowControl w:val="0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Регистрация </w:t>
            </w:r>
          </w:p>
        </w:tc>
      </w:tr>
      <w:tr w:rsidR="000654D0" w:rsidRPr="009A5C42" w:rsidTr="00B66B15">
        <w:tc>
          <w:tcPr>
            <w:tcW w:w="680" w:type="dxa"/>
          </w:tcPr>
          <w:p w:rsidR="000654D0" w:rsidRPr="009A5C42" w:rsidRDefault="000654D0" w:rsidP="00075BFD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0654D0" w:rsidRPr="009A5C42" w:rsidRDefault="000654D0" w:rsidP="00FD2B37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Какая ЭЦП должна 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применяться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чтобы можно было размещать информацию в ЕИС из личного кабинета органа контроля? </w:t>
            </w:r>
          </w:p>
        </w:tc>
        <w:tc>
          <w:tcPr>
            <w:tcW w:w="7796" w:type="dxa"/>
          </w:tcPr>
          <w:p w:rsidR="000654D0" w:rsidRPr="009A5C42" w:rsidRDefault="000654D0" w:rsidP="00D33A0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ЭЦП 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выданная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удостоверяющим центром ФК для работы в ЕИС.</w:t>
            </w:r>
          </w:p>
        </w:tc>
      </w:tr>
      <w:tr w:rsidR="00ED7AD4" w:rsidRPr="009A5C42" w:rsidTr="00B66B15">
        <w:tc>
          <w:tcPr>
            <w:tcW w:w="680" w:type="dxa"/>
          </w:tcPr>
          <w:p w:rsidR="00ED7AD4" w:rsidRPr="009A5C42" w:rsidRDefault="00ED7AD4" w:rsidP="00075BFD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ED7AD4" w:rsidRPr="009A5C42" w:rsidRDefault="00551C4D" w:rsidP="00FD2B37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r w:rsidR="00FD2B37" w:rsidRPr="009A5C42">
              <w:rPr>
                <w:rFonts w:ascii="Times New Roman" w:hAnsi="Times New Roman" w:cs="Times New Roman"/>
                <w:sz w:val="20"/>
                <w:szCs w:val="20"/>
              </w:rPr>
              <w:t>им образом б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удет обеспечен доступ к </w:t>
            </w:r>
            <w:r w:rsidR="00FD2B37" w:rsidRPr="009A5C42">
              <w:rPr>
                <w:rFonts w:ascii="Times New Roman" w:hAnsi="Times New Roman" w:cs="Times New Roman"/>
                <w:sz w:val="20"/>
                <w:szCs w:val="20"/>
              </w:rPr>
              <w:t>ПУЗ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2B37" w:rsidRPr="009A5C42">
              <w:rPr>
                <w:rFonts w:ascii="Times New Roman" w:hAnsi="Times New Roman" w:cs="Times New Roman"/>
                <w:sz w:val="20"/>
                <w:szCs w:val="20"/>
              </w:rPr>
              <w:t>ЭБ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государственных заказчиков, действующих от имени </w:t>
            </w:r>
            <w:r w:rsidR="00D33A00" w:rsidRPr="009A5C4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оссийской </w:t>
            </w:r>
            <w:r w:rsidR="00D33A00" w:rsidRPr="009A5C42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едерации и находящихся в ведении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ФСБ Р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оссии с целью размещения ими планов закупок, планов-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графиков, в то время как сами организации либо не включены в сводный реестр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ГИИС "Э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лектронный бюджет" (вышестоящая организация в закрытом реестре), либо вклю</w:t>
            </w:r>
            <w:r w:rsidR="00FD2B37" w:rsidRPr="009A5C42">
              <w:rPr>
                <w:rFonts w:ascii="Times New Roman" w:hAnsi="Times New Roman" w:cs="Times New Roman"/>
                <w:sz w:val="20"/>
                <w:szCs w:val="20"/>
              </w:rPr>
              <w:t>чены в закрытый сводный реестр?</w:t>
            </w:r>
            <w:proofErr w:type="gramEnd"/>
          </w:p>
        </w:tc>
        <w:tc>
          <w:tcPr>
            <w:tcW w:w="7796" w:type="dxa"/>
          </w:tcPr>
          <w:p w:rsidR="00ED7AD4" w:rsidRPr="009A5C42" w:rsidRDefault="00551C4D" w:rsidP="00D33A0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письме </w:t>
            </w:r>
            <w:r w:rsidR="00D33A00" w:rsidRPr="009A5C42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едерального казначейства от 21.12.2017 № 07-04-05/13-988 даны подробные разъяснения по порядку внесения изменений в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 об организациях, включенных в закрытую часть сводного реестра, а также о том, что указания о порядке 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перерегистрации в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приказом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едерального казначейства от 30.12.2015 № 27н «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б утверждении порядка регистрации в единой информационной системе в сфере закупок и признании утратившим силу приказа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едерального казначейства от 25 марта 2014 г. №4н» для таких организаций будут доведены дополнительно.</w:t>
            </w:r>
          </w:p>
          <w:p w:rsidR="00D33A00" w:rsidRPr="009A5C42" w:rsidRDefault="00D33A00" w:rsidP="00D33A0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391" w:rsidRPr="009A5C42" w:rsidTr="00B66B15">
        <w:tc>
          <w:tcPr>
            <w:tcW w:w="680" w:type="dxa"/>
          </w:tcPr>
          <w:p w:rsidR="00811391" w:rsidRPr="009A5C42" w:rsidRDefault="00811391" w:rsidP="00075BFD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FD2B37" w:rsidRPr="009A5C42" w:rsidRDefault="009E140C" w:rsidP="009A5C42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ри перерегистрации руководителя </w:t>
            </w:r>
            <w:r w:rsidR="009A5C42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осуществила отвязку единственной подписи руководителя и теперь выходит окно «</w:t>
            </w:r>
            <w:r w:rsidR="00FD2B37" w:rsidRPr="009A5C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редъявленный вами сертификат не закреплен за учетной записью уполномоченного лица организации в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  <w:r w:rsidR="00A632CF" w:rsidRPr="009A5C4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7796" w:type="dxa"/>
          </w:tcPr>
          <w:p w:rsidR="00D22E97" w:rsidRPr="009A5C42" w:rsidRDefault="00D22E97" w:rsidP="00235B96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 обратиться в техподдержку </w:t>
            </w:r>
            <w:r w:rsidR="00235B96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ЕИС и завести обращение с просьбой выполнить скрипт по </w:t>
            </w:r>
            <w:proofErr w:type="spellStart"/>
            <w:r w:rsidR="00235B96" w:rsidRPr="009A5C42">
              <w:rPr>
                <w:rFonts w:ascii="Times New Roman" w:hAnsi="Times New Roman" w:cs="Times New Roman"/>
                <w:sz w:val="20"/>
                <w:szCs w:val="20"/>
              </w:rPr>
              <w:t>перевыгрузке</w:t>
            </w:r>
            <w:proofErr w:type="spellEnd"/>
            <w:r w:rsidR="00235B96"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 об организации из Сводного реестра в ЕИС. </w:t>
            </w:r>
          </w:p>
        </w:tc>
      </w:tr>
      <w:tr w:rsidR="00C63CE2" w:rsidRPr="009A5C42" w:rsidTr="000654D0">
        <w:tc>
          <w:tcPr>
            <w:tcW w:w="680" w:type="dxa"/>
          </w:tcPr>
          <w:p w:rsidR="00C63CE2" w:rsidRPr="009A5C42" w:rsidRDefault="00C63CE2" w:rsidP="000654D0">
            <w:pPr>
              <w:pStyle w:val="a8"/>
              <w:widowControl w:val="0"/>
              <w:numPr>
                <w:ilvl w:val="0"/>
                <w:numId w:val="14"/>
              </w:numPr>
              <w:tabs>
                <w:tab w:val="left" w:pos="7655"/>
              </w:tabs>
              <w:spacing w:beforeLines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</w:tcPr>
          <w:p w:rsidR="00C63CE2" w:rsidRPr="009A5C42" w:rsidRDefault="00C63CE2" w:rsidP="000654D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Поступают запросы от Акционерных обществ (далее – АО), получающих средства федерального бюджета в рамках целевых программ, в отношении привязки АО к органу контроля. АО включены в Сводный реестр Министерством промышленности и торговли Российской Федерации с полномочиями в сфере закупок «Заказчик» и «Заказчик, осуществляющий закупки в соответствии с частью 5 статьи 15 Федерального закона № 44-ФЗ». Так, в Управление обратилось ОТКРЫТОЕ АКЦИОНЕРНОЕ ОБЩЕСТВО "УРАЛЬСКОЕ ПРОЕКТНО-КОНСТРУКТОРСКОЕ БЮРО "ДЕТАЛЬ" (ИНН 6612011546, код по </w:t>
            </w:r>
            <w:proofErr w:type="spellStart"/>
            <w:r w:rsidRPr="009A5C42">
              <w:rPr>
                <w:rFonts w:ascii="Times New Roman" w:eastAsia="Calibri" w:hAnsi="Times New Roman" w:cs="Times New Roman"/>
                <w:sz w:val="20"/>
                <w:szCs w:val="20"/>
              </w:rPr>
              <w:t>СвР</w:t>
            </w:r>
            <w:proofErr w:type="spellEnd"/>
            <w:r w:rsidRPr="009A5C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001Э8937), испытывающее трудности при работе в Единой информационной системе в сфере закупок, поскольку в личном кабинете всплывает уведомление о необходимости привязки к органу контроля. При этом организации открыт 41-й счет в рамках казначейского сопровождения (счета с типом 03 и 14 не открыты). Техническая поддержка сайта направляет организацию в орган контроля для установки соответствующего признака включения. </w:t>
            </w:r>
            <w:r w:rsidRPr="009A5C4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Ранее ОТКРЫТОЕ АКЦИОНЕРНОЕ ОБЩЕСТВО "УРАЛЬСКОЕ ПРОЕКТНО-КОНСТРУКТОРСКОЕ БЮРО "ДЕТАЛЬ" было включено в Сводный перечень заказчиков с кодом СПЗ 13620000001. В СПЗ в качестве вышестоящей организации указано Открытое акционерное общество "Корпорация "Тактическое ракетное вооружение", которому, со слов представителя «Детали», соответствующее УФК проставило связь с органом контроля. Просим разъяснить порядок действий в части контроля в отношении таких </w:t>
            </w:r>
            <w:proofErr w:type="gramStart"/>
            <w:r w:rsidRPr="009A5C4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организаций</w:t>
            </w:r>
            <w:proofErr w:type="gramEnd"/>
            <w:r w:rsidRPr="009A5C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для органа контроля, так и для самого заказчика.</w:t>
            </w:r>
          </w:p>
          <w:p w:rsidR="00C63CE2" w:rsidRPr="009A5C42" w:rsidRDefault="00C63CE2" w:rsidP="000654D0">
            <w:pPr>
              <w:widowControl w:val="0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C63CE2" w:rsidRPr="009A5C42" w:rsidRDefault="00C63CE2" w:rsidP="00065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В соответствии со ст. 3 Федерального закона № 44-ФЗ:</w:t>
            </w:r>
          </w:p>
          <w:p w:rsidR="00C63CE2" w:rsidRPr="009A5C42" w:rsidRDefault="00C63CE2" w:rsidP="00065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- закупка товара, работы, услуги для обеспечения государственных или муниципальных нужд (далее - закупка) - совокупность действий,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нужд. Закупка начинается с определения поставщика (подрядчика, исполнителя) и завершается исполнением обязатель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ств ст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оронами контракта. В случае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обязательств сторонами контракта;</w:t>
            </w:r>
          </w:p>
          <w:p w:rsidR="00C63CE2" w:rsidRPr="009A5C42" w:rsidRDefault="00C63CE2" w:rsidP="00065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- государственный заказчик - государственный орган (в том числе орган государственной власти), Государственная корпорация по атомной энергии "</w:t>
            </w:r>
            <w:proofErr w:type="spell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", Государственная корпорация по космической деятельности "</w:t>
            </w:r>
            <w:proofErr w:type="spell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Роскосмос</w:t>
            </w:r>
            <w:proofErr w:type="spell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", орган управления государственным внебюджетным фондом либо государственное казенное учреждение, действующие от имени Российской Федерации или субъекта Российской Федерации,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осуществляющие закупки;</w:t>
            </w:r>
          </w:p>
          <w:p w:rsidR="00C63CE2" w:rsidRPr="009A5C42" w:rsidRDefault="00C63CE2" w:rsidP="00065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- муниципальный заказчик - муниципальный орган или муниципальное казенное учреждение, действующие от имени муниципального образования,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закупки;</w:t>
            </w:r>
          </w:p>
          <w:p w:rsidR="00C63CE2" w:rsidRPr="009A5C42" w:rsidRDefault="00C63CE2" w:rsidP="00065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- заказчик - государственный или муниципальный заказчик либо в соответствии с </w:t>
            </w:r>
            <w:hyperlink r:id="rId15" w:history="1">
              <w:r w:rsidRPr="009A5C42">
                <w:rPr>
                  <w:rFonts w:ascii="Times New Roman" w:hAnsi="Times New Roman" w:cs="Times New Roman"/>
                  <w:sz w:val="20"/>
                  <w:szCs w:val="20"/>
                </w:rPr>
                <w:t>частями 1</w:t>
              </w:r>
            </w:hyperlink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16" w:history="1">
              <w:r w:rsidRPr="009A5C42">
                <w:rPr>
                  <w:rFonts w:ascii="Times New Roman" w:hAnsi="Times New Roman" w:cs="Times New Roman"/>
                  <w:sz w:val="20"/>
                  <w:szCs w:val="20"/>
                </w:rPr>
                <w:t>2.1 статьи 15</w:t>
              </w:r>
            </w:hyperlink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Федерального закона бюджетное учреждение, государственное, муниципальное унитарные предприятия, осуществляющие закупки.</w:t>
            </w:r>
          </w:p>
          <w:p w:rsidR="00C63CE2" w:rsidRPr="009A5C42" w:rsidRDefault="00C63CE2" w:rsidP="00065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ч. 5 ст. 15 Федерального закона № 44-ФЗ при предоставлении в соответствии с Бюджетным </w:t>
            </w:r>
            <w:hyperlink r:id="rId17" w:history="1">
              <w:r w:rsidRPr="009A5C42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кодексом</w:t>
              </w:r>
            </w:hyperlink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бюджетных инвестиций юридическому лицу, не являющемуся государственным или муниципальным учреждением, государственным или муниципальным унитарным предприятием, в </w:t>
            </w:r>
            <w:r w:rsidRPr="009A5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случае реализации инвестиционных проектов по строительству, реконструкции и техническому перевооружению объектов капитального строительства на такое юридическое лицо при осуществлении им закупок за счет указанных средств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 распространяются положения настоящего Федерального закона, регулирующие деятельность заказчика, в случаях и в пределах, которые определены в соответствии с бюджетным законодательством Российской Федерации в рамках договоров об участии Российской Федерации, субъекта Российской Федерации или муниципального образования в собственности субъекта инвестиций.</w:t>
            </w:r>
          </w:p>
          <w:p w:rsidR="00C63CE2" w:rsidRPr="009A5C42" w:rsidRDefault="00C63CE2" w:rsidP="00065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На акционерные общества в случае, указанном в  ч. 5 ст. 15 Федерального закона № 44-ФЗ распространяются положения Федерального закона № 44-ФЗ только в части осуществления закупки. </w:t>
            </w:r>
            <w:r w:rsidRPr="009A5C42">
              <w:rPr>
                <w:rFonts w:ascii="Times New Roman" w:eastAsia="Calibri" w:hAnsi="Times New Roman" w:cs="Times New Roman"/>
                <w:sz w:val="20"/>
                <w:szCs w:val="20"/>
              </w:rPr>
              <w:t>На такие организации не распространяются положения Федерального закона № 44-ФЗ в части осуществления контроля, предусмотренного ч. 5 ст. 99 Федерального закона № 44-ФЗ.</w:t>
            </w:r>
          </w:p>
          <w:p w:rsidR="00C63CE2" w:rsidRPr="009A5C42" w:rsidRDefault="00C63CE2" w:rsidP="00065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 xml:space="preserve">Учитывая изложенное, в соответствии с Федеральным законом № 44-ФЗ акционерные общества не являются заказчиками и не могут иметь полномочие в сфере закупок «Заказчик» в Сводном реестре. В отношении организаций, имеющих полномочие в сфере закупок «Заказчик» в Сводном реестре, при направлении информации и документов на размещение в ЕИС осуществляется контроль, </w:t>
            </w:r>
            <w:r w:rsidRPr="009A5C42">
              <w:rPr>
                <w:rFonts w:ascii="Times New Roman" w:eastAsia="Calibri" w:hAnsi="Times New Roman" w:cs="Times New Roman"/>
                <w:sz w:val="20"/>
                <w:szCs w:val="20"/>
              </w:rPr>
              <w:t>предусмотренный ч. 5 ст. 99 Федерального закона № 44-ФЗ.</w:t>
            </w:r>
          </w:p>
          <w:p w:rsidR="00C63CE2" w:rsidRPr="009A5C42" w:rsidRDefault="00C63CE2" w:rsidP="000654D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У акционерных обще</w:t>
            </w:r>
            <w:proofErr w:type="gramStart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ств в сл</w:t>
            </w:r>
            <w:proofErr w:type="gramEnd"/>
            <w:r w:rsidRPr="009A5C42">
              <w:rPr>
                <w:rFonts w:ascii="Times New Roman" w:hAnsi="Times New Roman" w:cs="Times New Roman"/>
                <w:sz w:val="20"/>
                <w:szCs w:val="20"/>
              </w:rPr>
              <w:t>учае, указанном в  ч. 5 ст. 15 Федерального закона № 44-ФЗ в Сводный реестр должно быть включено полномочие  «</w:t>
            </w:r>
            <w:r w:rsidRPr="009A5C42">
              <w:rPr>
                <w:rFonts w:ascii="Times New Roman" w:eastAsia="Calibri" w:hAnsi="Times New Roman" w:cs="Times New Roman"/>
                <w:sz w:val="20"/>
                <w:szCs w:val="20"/>
              </w:rPr>
              <w:t>Заказчик, осуществляющий закупки в соответствии с частью 5 статьи 15 Федерального закона № 44-ФЗ».</w:t>
            </w:r>
          </w:p>
          <w:p w:rsidR="00C63CE2" w:rsidRPr="009A5C42" w:rsidRDefault="00C63CE2" w:rsidP="00065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6B82" w:rsidRDefault="004C048A" w:rsidP="00E27254">
      <w:pPr>
        <w:widowControl w:val="0"/>
        <w:tabs>
          <w:tab w:val="left" w:pos="7655"/>
        </w:tabs>
        <w:spacing w:after="0" w:line="240" w:lineRule="auto"/>
      </w:pPr>
      <w:r>
        <w:lastRenderedPageBreak/>
        <w:t xml:space="preserve"> </w:t>
      </w:r>
    </w:p>
    <w:sectPr w:rsidR="005D6B82" w:rsidSect="007B49A6">
      <w:headerReference w:type="default" r:id="rId18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4D0" w:rsidRDefault="000654D0" w:rsidP="007B49A6">
      <w:pPr>
        <w:spacing w:after="0" w:line="240" w:lineRule="auto"/>
      </w:pPr>
      <w:r>
        <w:separator/>
      </w:r>
    </w:p>
  </w:endnote>
  <w:endnote w:type="continuationSeparator" w:id="0">
    <w:p w:rsidR="000654D0" w:rsidRDefault="000654D0" w:rsidP="007B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4D0" w:rsidRDefault="000654D0" w:rsidP="007B49A6">
      <w:pPr>
        <w:spacing w:after="0" w:line="240" w:lineRule="auto"/>
      </w:pPr>
      <w:r>
        <w:separator/>
      </w:r>
    </w:p>
  </w:footnote>
  <w:footnote w:type="continuationSeparator" w:id="0">
    <w:p w:rsidR="000654D0" w:rsidRDefault="000654D0" w:rsidP="007B4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0169822"/>
      <w:docPartObj>
        <w:docPartGallery w:val="Page Numbers (Top of Page)"/>
        <w:docPartUnique/>
      </w:docPartObj>
    </w:sdtPr>
    <w:sdtContent>
      <w:p w:rsidR="000654D0" w:rsidRDefault="000654D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C42">
          <w:rPr>
            <w:noProof/>
          </w:rPr>
          <w:t>2</w:t>
        </w:r>
        <w:r>
          <w:fldChar w:fldCharType="end"/>
        </w:r>
      </w:p>
    </w:sdtContent>
  </w:sdt>
  <w:p w:rsidR="000654D0" w:rsidRDefault="000654D0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71D6"/>
    <w:multiLevelType w:val="hybridMultilevel"/>
    <w:tmpl w:val="45CC00D8"/>
    <w:lvl w:ilvl="0" w:tplc="9F505F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91BEF"/>
    <w:multiLevelType w:val="hybridMultilevel"/>
    <w:tmpl w:val="63808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629C4"/>
    <w:multiLevelType w:val="hybridMultilevel"/>
    <w:tmpl w:val="8B9EC440"/>
    <w:lvl w:ilvl="0" w:tplc="0419000F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212F4104"/>
    <w:multiLevelType w:val="hybridMultilevel"/>
    <w:tmpl w:val="6FFC8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E50D7"/>
    <w:multiLevelType w:val="hybridMultilevel"/>
    <w:tmpl w:val="1EDEB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07416"/>
    <w:multiLevelType w:val="hybridMultilevel"/>
    <w:tmpl w:val="1EDEB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8530B"/>
    <w:multiLevelType w:val="hybridMultilevel"/>
    <w:tmpl w:val="441EB000"/>
    <w:lvl w:ilvl="0" w:tplc="69EE51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28D4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4C49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BE5E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D641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649F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6642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D826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6E3F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2B15139"/>
    <w:multiLevelType w:val="hybridMultilevel"/>
    <w:tmpl w:val="57864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E4EDB"/>
    <w:multiLevelType w:val="hybridMultilevel"/>
    <w:tmpl w:val="3F924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35654"/>
    <w:multiLevelType w:val="hybridMultilevel"/>
    <w:tmpl w:val="94F86F8E"/>
    <w:lvl w:ilvl="0" w:tplc="CCF8FE7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D812D2B"/>
    <w:multiLevelType w:val="hybridMultilevel"/>
    <w:tmpl w:val="D67A9074"/>
    <w:lvl w:ilvl="0" w:tplc="DE76D11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953C0C"/>
    <w:multiLevelType w:val="hybridMultilevel"/>
    <w:tmpl w:val="B5E0FF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7B361A7A"/>
    <w:multiLevelType w:val="hybridMultilevel"/>
    <w:tmpl w:val="83A02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10"/>
  </w:num>
  <w:num w:numId="14">
    <w:abstractNumId w:val="7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74"/>
    <w:rsid w:val="000019DD"/>
    <w:rsid w:val="000050F0"/>
    <w:rsid w:val="000075EE"/>
    <w:rsid w:val="00010949"/>
    <w:rsid w:val="0001443F"/>
    <w:rsid w:val="00022A42"/>
    <w:rsid w:val="00061A0D"/>
    <w:rsid w:val="000654D0"/>
    <w:rsid w:val="0007320C"/>
    <w:rsid w:val="00075BFD"/>
    <w:rsid w:val="00082A5C"/>
    <w:rsid w:val="000969D2"/>
    <w:rsid w:val="000C469B"/>
    <w:rsid w:val="00103192"/>
    <w:rsid w:val="00105A53"/>
    <w:rsid w:val="001067BE"/>
    <w:rsid w:val="00133783"/>
    <w:rsid w:val="001377D1"/>
    <w:rsid w:val="001732C4"/>
    <w:rsid w:val="001824B2"/>
    <w:rsid w:val="0018632F"/>
    <w:rsid w:val="001A5957"/>
    <w:rsid w:val="001C6B4D"/>
    <w:rsid w:val="001D4AE7"/>
    <w:rsid w:val="001E3306"/>
    <w:rsid w:val="001E3D2B"/>
    <w:rsid w:val="001E7A07"/>
    <w:rsid w:val="001F118A"/>
    <w:rsid w:val="00215294"/>
    <w:rsid w:val="002159BF"/>
    <w:rsid w:val="00216BE0"/>
    <w:rsid w:val="002348F0"/>
    <w:rsid w:val="00235B96"/>
    <w:rsid w:val="00251A48"/>
    <w:rsid w:val="002536EE"/>
    <w:rsid w:val="0025464C"/>
    <w:rsid w:val="00271E73"/>
    <w:rsid w:val="00296885"/>
    <w:rsid w:val="002A327D"/>
    <w:rsid w:val="002C65EC"/>
    <w:rsid w:val="002D2A8B"/>
    <w:rsid w:val="002F271A"/>
    <w:rsid w:val="00305874"/>
    <w:rsid w:val="00320901"/>
    <w:rsid w:val="00343849"/>
    <w:rsid w:val="003835AE"/>
    <w:rsid w:val="003920E9"/>
    <w:rsid w:val="003D543C"/>
    <w:rsid w:val="00422E22"/>
    <w:rsid w:val="00435D47"/>
    <w:rsid w:val="004431C2"/>
    <w:rsid w:val="00462C56"/>
    <w:rsid w:val="004739EC"/>
    <w:rsid w:val="00474474"/>
    <w:rsid w:val="0048528B"/>
    <w:rsid w:val="004B042A"/>
    <w:rsid w:val="004B5A08"/>
    <w:rsid w:val="004C048A"/>
    <w:rsid w:val="004C2F66"/>
    <w:rsid w:val="004D74DA"/>
    <w:rsid w:val="004E590F"/>
    <w:rsid w:val="00514F57"/>
    <w:rsid w:val="005176BF"/>
    <w:rsid w:val="005276D9"/>
    <w:rsid w:val="00546E79"/>
    <w:rsid w:val="00551C4D"/>
    <w:rsid w:val="00553DC7"/>
    <w:rsid w:val="00555388"/>
    <w:rsid w:val="00555AC7"/>
    <w:rsid w:val="005737F0"/>
    <w:rsid w:val="0058564B"/>
    <w:rsid w:val="005A6765"/>
    <w:rsid w:val="005B2613"/>
    <w:rsid w:val="005C1EAD"/>
    <w:rsid w:val="005D6B82"/>
    <w:rsid w:val="005E1234"/>
    <w:rsid w:val="00602F67"/>
    <w:rsid w:val="00614CD6"/>
    <w:rsid w:val="00621C0E"/>
    <w:rsid w:val="00652ED9"/>
    <w:rsid w:val="00661831"/>
    <w:rsid w:val="006A3B51"/>
    <w:rsid w:val="006A6941"/>
    <w:rsid w:val="006E0DE7"/>
    <w:rsid w:val="006E7F88"/>
    <w:rsid w:val="00720A4B"/>
    <w:rsid w:val="00766CEB"/>
    <w:rsid w:val="007776EE"/>
    <w:rsid w:val="00793C9C"/>
    <w:rsid w:val="00796A60"/>
    <w:rsid w:val="007B3448"/>
    <w:rsid w:val="007B49A6"/>
    <w:rsid w:val="007F576A"/>
    <w:rsid w:val="008025AE"/>
    <w:rsid w:val="00811391"/>
    <w:rsid w:val="00845702"/>
    <w:rsid w:val="00857263"/>
    <w:rsid w:val="0086658D"/>
    <w:rsid w:val="00867493"/>
    <w:rsid w:val="0088737B"/>
    <w:rsid w:val="008B7B2C"/>
    <w:rsid w:val="008C3436"/>
    <w:rsid w:val="008E2CD4"/>
    <w:rsid w:val="008F1E1E"/>
    <w:rsid w:val="008F36F6"/>
    <w:rsid w:val="00916DBF"/>
    <w:rsid w:val="009420C7"/>
    <w:rsid w:val="00973537"/>
    <w:rsid w:val="009A5C42"/>
    <w:rsid w:val="009E140C"/>
    <w:rsid w:val="00A10FBA"/>
    <w:rsid w:val="00A12011"/>
    <w:rsid w:val="00A4622D"/>
    <w:rsid w:val="00A632CF"/>
    <w:rsid w:val="00A71A03"/>
    <w:rsid w:val="00AA5BDC"/>
    <w:rsid w:val="00AC02C5"/>
    <w:rsid w:val="00AD5B98"/>
    <w:rsid w:val="00B30DF1"/>
    <w:rsid w:val="00B45C59"/>
    <w:rsid w:val="00B66B15"/>
    <w:rsid w:val="00B741F3"/>
    <w:rsid w:val="00B85767"/>
    <w:rsid w:val="00BC12FD"/>
    <w:rsid w:val="00BC6890"/>
    <w:rsid w:val="00BC772B"/>
    <w:rsid w:val="00BE00BD"/>
    <w:rsid w:val="00BF35AE"/>
    <w:rsid w:val="00C00876"/>
    <w:rsid w:val="00C01F59"/>
    <w:rsid w:val="00C362E1"/>
    <w:rsid w:val="00C63CE2"/>
    <w:rsid w:val="00C82829"/>
    <w:rsid w:val="00C8410C"/>
    <w:rsid w:val="00C87575"/>
    <w:rsid w:val="00C90BEF"/>
    <w:rsid w:val="00CA1F83"/>
    <w:rsid w:val="00CC36DA"/>
    <w:rsid w:val="00CC5CF9"/>
    <w:rsid w:val="00CC6717"/>
    <w:rsid w:val="00CD5B4E"/>
    <w:rsid w:val="00CD62DC"/>
    <w:rsid w:val="00CE1282"/>
    <w:rsid w:val="00D22E97"/>
    <w:rsid w:val="00D30835"/>
    <w:rsid w:val="00D33A00"/>
    <w:rsid w:val="00D41A1C"/>
    <w:rsid w:val="00D77819"/>
    <w:rsid w:val="00D874CE"/>
    <w:rsid w:val="00DE71C1"/>
    <w:rsid w:val="00E259AB"/>
    <w:rsid w:val="00E27254"/>
    <w:rsid w:val="00E32F9C"/>
    <w:rsid w:val="00E63142"/>
    <w:rsid w:val="00E6665C"/>
    <w:rsid w:val="00E85663"/>
    <w:rsid w:val="00E933E4"/>
    <w:rsid w:val="00E93EA5"/>
    <w:rsid w:val="00EA3230"/>
    <w:rsid w:val="00EC2B82"/>
    <w:rsid w:val="00ED6330"/>
    <w:rsid w:val="00ED7AD4"/>
    <w:rsid w:val="00EE2DB8"/>
    <w:rsid w:val="00EF2BA7"/>
    <w:rsid w:val="00EF4B9C"/>
    <w:rsid w:val="00FA68E7"/>
    <w:rsid w:val="00FD1005"/>
    <w:rsid w:val="00FD2B37"/>
    <w:rsid w:val="00FD4043"/>
    <w:rsid w:val="00FE466D"/>
    <w:rsid w:val="00FE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E33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7320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07320C"/>
    <w:pPr>
      <w:spacing w:after="0" w:line="240" w:lineRule="auto"/>
    </w:pPr>
    <w:rPr>
      <w:rFonts w:ascii="Calibri" w:hAnsi="Calibri" w:cs="Times New Roman"/>
    </w:rPr>
  </w:style>
  <w:style w:type="character" w:customStyle="1" w:styleId="a6">
    <w:name w:val="Текст Знак"/>
    <w:basedOn w:val="a0"/>
    <w:link w:val="a5"/>
    <w:uiPriority w:val="99"/>
    <w:rsid w:val="0007320C"/>
    <w:rPr>
      <w:rFonts w:ascii="Calibri" w:hAnsi="Calibri" w:cs="Times New Roman"/>
    </w:rPr>
  </w:style>
  <w:style w:type="character" w:customStyle="1" w:styleId="apple-converted-space">
    <w:name w:val="apple-converted-space"/>
    <w:basedOn w:val="a0"/>
    <w:rsid w:val="0007320C"/>
  </w:style>
  <w:style w:type="character" w:customStyle="1" w:styleId="a7">
    <w:name w:val="Абзац списка Знак"/>
    <w:aliases w:val="4.2.2 Знак"/>
    <w:basedOn w:val="a0"/>
    <w:link w:val="a8"/>
    <w:uiPriority w:val="34"/>
    <w:locked/>
    <w:rsid w:val="0007320C"/>
    <w:rPr>
      <w:rFonts w:ascii="Calibri" w:hAnsi="Calibri"/>
    </w:rPr>
  </w:style>
  <w:style w:type="paragraph" w:styleId="a8">
    <w:name w:val="List Paragraph"/>
    <w:aliases w:val="4.2.2"/>
    <w:basedOn w:val="a"/>
    <w:link w:val="a7"/>
    <w:uiPriority w:val="34"/>
    <w:qFormat/>
    <w:rsid w:val="0007320C"/>
    <w:pPr>
      <w:spacing w:beforeLines="120" w:line="276" w:lineRule="auto"/>
      <w:ind w:firstLine="720"/>
      <w:contextualSpacing/>
      <w:jc w:val="both"/>
    </w:pPr>
    <w:rPr>
      <w:rFonts w:ascii="Calibri" w:hAnsi="Calibri"/>
    </w:rPr>
  </w:style>
  <w:style w:type="character" w:customStyle="1" w:styleId="z-radio">
    <w:name w:val="z-radio"/>
    <w:basedOn w:val="a0"/>
    <w:rsid w:val="0007320C"/>
  </w:style>
  <w:style w:type="character" w:customStyle="1" w:styleId="z-label">
    <w:name w:val="z-label"/>
    <w:basedOn w:val="a0"/>
    <w:rsid w:val="0007320C"/>
  </w:style>
  <w:style w:type="character" w:customStyle="1" w:styleId="10">
    <w:name w:val="Заголовок 1 Знак"/>
    <w:basedOn w:val="a0"/>
    <w:link w:val="1"/>
    <w:rsid w:val="001E33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1E3306"/>
    <w:rPr>
      <w:color w:val="0563C1"/>
      <w:u w:val="single"/>
    </w:rPr>
  </w:style>
  <w:style w:type="character" w:customStyle="1" w:styleId="z-treecell-text">
    <w:name w:val="z-treecell-text"/>
    <w:basedOn w:val="a0"/>
    <w:rsid w:val="001C6B4D"/>
  </w:style>
  <w:style w:type="paragraph" w:styleId="aa">
    <w:name w:val="No Spacing"/>
    <w:uiPriority w:val="1"/>
    <w:qFormat/>
    <w:rsid w:val="00FD1005"/>
    <w:pPr>
      <w:spacing w:after="0" w:line="240" w:lineRule="auto"/>
    </w:pPr>
  </w:style>
  <w:style w:type="character" w:customStyle="1" w:styleId="blk">
    <w:name w:val="blk"/>
    <w:basedOn w:val="a0"/>
    <w:rsid w:val="00FD1005"/>
  </w:style>
  <w:style w:type="paragraph" w:styleId="ab">
    <w:name w:val="Balloon Text"/>
    <w:basedOn w:val="a"/>
    <w:link w:val="ac"/>
    <w:uiPriority w:val="99"/>
    <w:semiHidden/>
    <w:unhideWhenUsed/>
    <w:rsid w:val="00C36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362E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6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D22E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22E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22E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22E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22E97"/>
    <w:rPr>
      <w:b/>
      <w:bCs/>
      <w:sz w:val="20"/>
      <w:szCs w:val="20"/>
    </w:rPr>
  </w:style>
  <w:style w:type="paragraph" w:customStyle="1" w:styleId="ConsPlusNormal">
    <w:name w:val="ConsPlusNormal"/>
    <w:rsid w:val="00AA5B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2">
    <w:name w:val="header"/>
    <w:basedOn w:val="a"/>
    <w:link w:val="af3"/>
    <w:uiPriority w:val="99"/>
    <w:unhideWhenUsed/>
    <w:rsid w:val="007B4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B49A6"/>
  </w:style>
  <w:style w:type="paragraph" w:styleId="af4">
    <w:name w:val="footer"/>
    <w:basedOn w:val="a"/>
    <w:link w:val="af5"/>
    <w:uiPriority w:val="99"/>
    <w:unhideWhenUsed/>
    <w:rsid w:val="007B4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B49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E33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7320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07320C"/>
    <w:pPr>
      <w:spacing w:after="0" w:line="240" w:lineRule="auto"/>
    </w:pPr>
    <w:rPr>
      <w:rFonts w:ascii="Calibri" w:hAnsi="Calibri" w:cs="Times New Roman"/>
    </w:rPr>
  </w:style>
  <w:style w:type="character" w:customStyle="1" w:styleId="a6">
    <w:name w:val="Текст Знак"/>
    <w:basedOn w:val="a0"/>
    <w:link w:val="a5"/>
    <w:uiPriority w:val="99"/>
    <w:rsid w:val="0007320C"/>
    <w:rPr>
      <w:rFonts w:ascii="Calibri" w:hAnsi="Calibri" w:cs="Times New Roman"/>
    </w:rPr>
  </w:style>
  <w:style w:type="character" w:customStyle="1" w:styleId="apple-converted-space">
    <w:name w:val="apple-converted-space"/>
    <w:basedOn w:val="a0"/>
    <w:rsid w:val="0007320C"/>
  </w:style>
  <w:style w:type="character" w:customStyle="1" w:styleId="a7">
    <w:name w:val="Абзац списка Знак"/>
    <w:aliases w:val="4.2.2 Знак"/>
    <w:basedOn w:val="a0"/>
    <w:link w:val="a8"/>
    <w:uiPriority w:val="34"/>
    <w:locked/>
    <w:rsid w:val="0007320C"/>
    <w:rPr>
      <w:rFonts w:ascii="Calibri" w:hAnsi="Calibri"/>
    </w:rPr>
  </w:style>
  <w:style w:type="paragraph" w:styleId="a8">
    <w:name w:val="List Paragraph"/>
    <w:aliases w:val="4.2.2"/>
    <w:basedOn w:val="a"/>
    <w:link w:val="a7"/>
    <w:uiPriority w:val="34"/>
    <w:qFormat/>
    <w:rsid w:val="0007320C"/>
    <w:pPr>
      <w:spacing w:beforeLines="120" w:line="276" w:lineRule="auto"/>
      <w:ind w:firstLine="720"/>
      <w:contextualSpacing/>
      <w:jc w:val="both"/>
    </w:pPr>
    <w:rPr>
      <w:rFonts w:ascii="Calibri" w:hAnsi="Calibri"/>
    </w:rPr>
  </w:style>
  <w:style w:type="character" w:customStyle="1" w:styleId="z-radio">
    <w:name w:val="z-radio"/>
    <w:basedOn w:val="a0"/>
    <w:rsid w:val="0007320C"/>
  </w:style>
  <w:style w:type="character" w:customStyle="1" w:styleId="z-label">
    <w:name w:val="z-label"/>
    <w:basedOn w:val="a0"/>
    <w:rsid w:val="0007320C"/>
  </w:style>
  <w:style w:type="character" w:customStyle="1" w:styleId="10">
    <w:name w:val="Заголовок 1 Знак"/>
    <w:basedOn w:val="a0"/>
    <w:link w:val="1"/>
    <w:rsid w:val="001E33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1E3306"/>
    <w:rPr>
      <w:color w:val="0563C1"/>
      <w:u w:val="single"/>
    </w:rPr>
  </w:style>
  <w:style w:type="character" w:customStyle="1" w:styleId="z-treecell-text">
    <w:name w:val="z-treecell-text"/>
    <w:basedOn w:val="a0"/>
    <w:rsid w:val="001C6B4D"/>
  </w:style>
  <w:style w:type="paragraph" w:styleId="aa">
    <w:name w:val="No Spacing"/>
    <w:uiPriority w:val="1"/>
    <w:qFormat/>
    <w:rsid w:val="00FD1005"/>
    <w:pPr>
      <w:spacing w:after="0" w:line="240" w:lineRule="auto"/>
    </w:pPr>
  </w:style>
  <w:style w:type="character" w:customStyle="1" w:styleId="blk">
    <w:name w:val="blk"/>
    <w:basedOn w:val="a0"/>
    <w:rsid w:val="00FD1005"/>
  </w:style>
  <w:style w:type="paragraph" w:styleId="ab">
    <w:name w:val="Balloon Text"/>
    <w:basedOn w:val="a"/>
    <w:link w:val="ac"/>
    <w:uiPriority w:val="99"/>
    <w:semiHidden/>
    <w:unhideWhenUsed/>
    <w:rsid w:val="00C36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362E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6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D22E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22E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22E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22E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22E97"/>
    <w:rPr>
      <w:b/>
      <w:bCs/>
      <w:sz w:val="20"/>
      <w:szCs w:val="20"/>
    </w:rPr>
  </w:style>
  <w:style w:type="paragraph" w:customStyle="1" w:styleId="ConsPlusNormal">
    <w:name w:val="ConsPlusNormal"/>
    <w:rsid w:val="00AA5B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2">
    <w:name w:val="header"/>
    <w:basedOn w:val="a"/>
    <w:link w:val="af3"/>
    <w:uiPriority w:val="99"/>
    <w:unhideWhenUsed/>
    <w:rsid w:val="007B4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B49A6"/>
  </w:style>
  <w:style w:type="paragraph" w:styleId="af4">
    <w:name w:val="footer"/>
    <w:basedOn w:val="a"/>
    <w:link w:val="af5"/>
    <w:uiPriority w:val="99"/>
    <w:unhideWhenUsed/>
    <w:rsid w:val="007B4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B4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4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2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9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9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376FD796E154AB3115F620B2C2D4105F48B3ABFF226F8EC288B6F2144C20DB377E01A3FDFD28A67mByE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376FD796E154AB3115F620B2C2D4105F7823ABAF024F8EC288B6F2144C20DB377E01A3FDFD3896EmBy6R" TargetMode="External"/><Relationship Id="rId17" Type="http://schemas.openxmlformats.org/officeDocument/2006/relationships/hyperlink" Target="consultantplus://offline/ref=29B1BF38F27BC6E9390F92A4236013EE24360D7BBEC8D5B7F9DE922C5BU86B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12E3ED026AEE1394352B956818EC35D902040E8DEC77283BA2868A1F90069DE38738B176Eu90F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308460.0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12E3ED026AEE1394352B956818EC35D902040E8DEC77283BA2868A1F90069DE38738B14699CEDCBu70DL" TargetMode="External"/><Relationship Id="rId10" Type="http://schemas.openxmlformats.org/officeDocument/2006/relationships/hyperlink" Target="garantf1://70308460.0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oskazna.ru/gis/ehlektronnyj-byudzhet/upravlenie-zakupkami/" TargetMode="External"/><Relationship Id="rId14" Type="http://schemas.openxmlformats.org/officeDocument/2006/relationships/hyperlink" Target="consultantplus://offline/ref=1503016CE1B70A10720B8D7CFAFFEC50B56A3A1B38F790748BB258CA8021A50BAD1210BADA0B4F77U9v4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0F8A6-553A-434B-8A21-0A032AAC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4785</Words>
  <Characters>27277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Кутнова Елена Валерьевна</dc:creator>
  <cp:lastModifiedBy>Карловский Дмитрий Анатольевич</cp:lastModifiedBy>
  <cp:revision>3</cp:revision>
  <cp:lastPrinted>2017-01-24T10:00:00Z</cp:lastPrinted>
  <dcterms:created xsi:type="dcterms:W3CDTF">2017-01-31T11:57:00Z</dcterms:created>
  <dcterms:modified xsi:type="dcterms:W3CDTF">2017-01-31T11:59:00Z</dcterms:modified>
</cp:coreProperties>
</file>